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Robusthet og beredskap</w:t>
      </w:r>
    </w:p>
    <w:p>
      <w:pPr>
        <w:spacing w:after="120"/>
      </w:pPr>
      <w:r>
        <w:t xml:space="preserve">Hvorfor energismarte boliger her er mer robuste ved strombrudd og prissvingninger.</w:t>
      </w:r>
    </w:p>
    <w:p>
      <w:pPr>
        <w:spacing w:after="120"/>
      </w:pPr>
      <w:r>
        <w:rPr>
          <w:i/>
          <w:iCs/>
        </w:rPr>
        <w:t xml:space="preserve">Forbehold: Alle tall er indikative estimater (per juni 2026) og krever profesjonell verifikasjon. Antall tomter, priser, storrelser og fremdrift oppgis nar reguleringen er klar. Dette er ikke et tilbud.</w:t>
      </w:r>
    </w:p>
    <w:p>
      <w:pPr>
        <w:pStyle w:val="Heading1"/>
        <w:spacing w:after="160" w:before="200"/>
      </w:pPr>
      <w:r>
        <w:t xml:space="preserve">Strombrudd</w:t>
      </w:r>
    </w:p>
    <w:p>
      <w:pPr>
        <w:spacing w:after="120"/>
      </w:pPr>
      <w:r>
        <w:t xml:space="preserve">Kystnaere Agder ser vaerdrevne strombrudd. Med solceller og batteri kan en bolig holde kritiske laster gaende: varmepumpe, kjol/frys, belysning, pumpe og ruter. Solladning om dagen forlenger varigheten, mest om sommeren.</w:t>
      </w:r>
    </w:p>
    <w:p>
      <w:pPr>
        <w:pStyle w:val="Heading1"/>
        <w:spacing w:after="160" w:before="200"/>
      </w:pPr>
      <w:r>
        <w:t xml:space="preserve">Prisrobusthet</w:t>
      </w:r>
    </w:p>
    <w:p>
      <w:pPr>
        <w:spacing w:after="120"/>
      </w:pPr>
      <w:r>
        <w:t xml:space="preserve">Rodberg ligger i prisomrade NO2, historisk blant Norges hoyeste og mest volatile. ordinaer stromstotte dekker 90 prosent av spot over 77 ore/kWh eks. mva. (96,25 inkl.), opptil 5 000 kWh/maned, vedtatt ut 31. desember 2029. Norgespris er fast 50 ore/kWh inkl. mva. (40 i nord), bundet ut 2026. Egenprodusert og selvforbrukt stromm unngar spot, nettleie og avgifter, og reduserer eksponeringen mot pristopper.</w:t>
      </w:r>
    </w:p>
    <w:p>
      <w:pPr>
        <w:pStyle w:val="Heading1"/>
        <w:spacing w:after="160" w:before="200"/>
      </w:pPr>
      <w:r>
        <w:t xml:space="preserve">Forutsetninger</w:t>
      </w:r>
    </w:p>
    <w:p>
      <w:pPr>
        <w:spacing w:after="120"/>
      </w:pPr>
      <w:r>
        <w:t xml:space="preserve">Backup-timer og prisscenarier er indikative og bruker samme modeller som verktoyene pa nettstedet. Reelt varmebehov, batteriprodukt og apparatpark verifiseres for bygging.</w:t>
      </w:r>
    </w:p>
    <w:p>
      <w:pPr>
        <w:pStyle w:val="Heading2"/>
        <w:spacing w:after="160" w:before="200"/>
      </w:pPr>
      <w:r>
        <w:t xml:space="preserve">Kilder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PVGIS (Photovoltaic Geographical Information System), solinnstraling.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SSB, husholdningenes energibruk.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regjeringen.no og NVE, stromstotte og Norgespris (kontrollert juni 2026).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NVE, plusskunde og energideling.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Kartverket Hoydedata (terreng, CC BY 4.0).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NS 3700 (passivhus) og NS 3720 (klimagassberegninger).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2026-06-20T19:28:57.127Z</dcterms:created>
  <dcterms:modified xsi:type="dcterms:W3CDTF">2026-06-20T19:28:57.127Z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