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6B1" w:rsidRDefault="006E26B1" w:rsidP="006E26B1">
      <w:pPr>
        <w:ind w:left="99"/>
        <w:jc w:val="center"/>
        <w:rPr>
          <w:rFonts w:ascii="Calibri" w:eastAsia="Calibri" w:hAnsi="Calibri" w:cs="Calibri"/>
          <w:b/>
          <w:bCs/>
          <w:color w:val="1F487C"/>
          <w:sz w:val="48"/>
          <w:szCs w:val="48"/>
          <w:lang w:val="en-GB"/>
        </w:rPr>
      </w:pPr>
    </w:p>
    <w:p w:rsidR="006E26B1" w:rsidRDefault="006E26B1" w:rsidP="006E26B1">
      <w:pPr>
        <w:ind w:left="99"/>
        <w:jc w:val="center"/>
        <w:rPr>
          <w:rFonts w:ascii="Calibri" w:eastAsia="Calibri" w:hAnsi="Calibri" w:cs="Calibri"/>
          <w:b/>
          <w:bCs/>
          <w:color w:val="1F487C"/>
          <w:sz w:val="48"/>
          <w:szCs w:val="48"/>
          <w:lang w:val="en-GB"/>
        </w:rPr>
      </w:pPr>
    </w:p>
    <w:p w:rsidR="006E26B1" w:rsidRDefault="006E26B1" w:rsidP="006E26B1">
      <w:pPr>
        <w:ind w:left="99"/>
        <w:jc w:val="center"/>
        <w:rPr>
          <w:rFonts w:ascii="Calibri" w:eastAsia="Calibri" w:hAnsi="Calibri" w:cs="Calibri"/>
          <w:b/>
          <w:bCs/>
          <w:color w:val="1F487C"/>
          <w:sz w:val="48"/>
          <w:szCs w:val="48"/>
          <w:lang w:val="en-GB"/>
        </w:rPr>
      </w:pPr>
    </w:p>
    <w:p w:rsidR="006E26B1" w:rsidRDefault="006E26B1" w:rsidP="006E26B1">
      <w:pPr>
        <w:ind w:left="99"/>
        <w:jc w:val="center"/>
        <w:rPr>
          <w:rFonts w:ascii="Calibri" w:eastAsia="Calibri" w:hAnsi="Calibri" w:cs="Calibri"/>
          <w:b/>
          <w:bCs/>
          <w:color w:val="1F487C"/>
          <w:sz w:val="48"/>
          <w:szCs w:val="48"/>
          <w:lang w:val="en-GB"/>
        </w:rPr>
      </w:pPr>
    </w:p>
    <w:p w:rsidR="006E26B1" w:rsidRDefault="006E26B1" w:rsidP="006E26B1">
      <w:pPr>
        <w:ind w:left="99"/>
        <w:jc w:val="center"/>
        <w:rPr>
          <w:rFonts w:ascii="Calibri" w:eastAsia="Calibri" w:hAnsi="Calibri" w:cs="Calibri"/>
          <w:b/>
          <w:bCs/>
          <w:color w:val="1F487C"/>
          <w:sz w:val="48"/>
          <w:szCs w:val="48"/>
          <w:lang w:val="en-GB"/>
        </w:rPr>
      </w:pPr>
      <w:r>
        <w:rPr>
          <w:rFonts w:ascii="Calibri" w:eastAsia="Calibri" w:hAnsi="Calibri" w:cs="Calibri"/>
          <w:b/>
          <w:bCs/>
          <w:color w:val="1F487C"/>
          <w:sz w:val="48"/>
          <w:szCs w:val="48"/>
          <w:lang w:val="en-GB"/>
        </w:rPr>
        <w:t xml:space="preserve">Review of Palestine SEFSec </w:t>
      </w:r>
    </w:p>
    <w:p w:rsidR="006E26B1" w:rsidRDefault="006E26B1" w:rsidP="006E26B1">
      <w:pPr>
        <w:ind w:left="99"/>
        <w:jc w:val="center"/>
        <w:rPr>
          <w:rFonts w:ascii="Calibri" w:eastAsia="Calibri" w:hAnsi="Calibri" w:cs="Calibri"/>
          <w:b/>
          <w:bCs/>
          <w:color w:val="1F487C"/>
          <w:sz w:val="48"/>
          <w:szCs w:val="48"/>
          <w:lang w:val="en-GB"/>
        </w:rPr>
      </w:pPr>
      <w:r>
        <w:rPr>
          <w:rFonts w:ascii="Calibri" w:eastAsia="Calibri" w:hAnsi="Calibri" w:cs="Calibri"/>
          <w:b/>
          <w:bCs/>
          <w:color w:val="1F487C"/>
          <w:sz w:val="48"/>
          <w:szCs w:val="48"/>
          <w:lang w:val="en-GB"/>
        </w:rPr>
        <w:t>Food Security Analysis Methodology</w:t>
      </w:r>
    </w:p>
    <w:p w:rsidR="006E26B1" w:rsidRPr="0012150D" w:rsidRDefault="006E26B1" w:rsidP="006E26B1">
      <w:pPr>
        <w:ind w:left="99"/>
        <w:jc w:val="center"/>
        <w:rPr>
          <w:rFonts w:ascii="Arial" w:hAnsi="Arial" w:cs="Arial"/>
          <w:b/>
          <w:i/>
          <w:lang w:val="en-GB"/>
        </w:rPr>
      </w:pPr>
      <w:r>
        <w:rPr>
          <w:rFonts w:ascii="Calibri" w:eastAsia="Calibri" w:hAnsi="Calibri" w:cs="Calibri"/>
          <w:b/>
          <w:bCs/>
          <w:color w:val="1F487C"/>
          <w:sz w:val="48"/>
          <w:szCs w:val="48"/>
          <w:lang w:val="en-GB"/>
        </w:rPr>
        <w:t>Phase II</w:t>
      </w:r>
    </w:p>
    <w:p w:rsidR="006E26B1" w:rsidRPr="0012150D" w:rsidRDefault="006E26B1" w:rsidP="006E26B1">
      <w:pPr>
        <w:spacing w:line="264" w:lineRule="auto"/>
        <w:contextualSpacing/>
        <w:rPr>
          <w:sz w:val="16"/>
          <w:szCs w:val="16"/>
          <w:lang w:val="en-GB"/>
        </w:rPr>
      </w:pPr>
    </w:p>
    <w:p w:rsidR="006E26B1" w:rsidRPr="0012150D" w:rsidRDefault="006E26B1" w:rsidP="006E26B1">
      <w:pPr>
        <w:spacing w:line="264" w:lineRule="auto"/>
        <w:contextualSpacing/>
        <w:rPr>
          <w:sz w:val="20"/>
          <w:szCs w:val="20"/>
          <w:lang w:val="en-GB"/>
        </w:rPr>
      </w:pPr>
    </w:p>
    <w:p w:rsidR="006E26B1" w:rsidRDefault="006E26B1" w:rsidP="006E26B1">
      <w:pPr>
        <w:spacing w:line="264" w:lineRule="auto"/>
        <w:contextualSpacing/>
        <w:rPr>
          <w:sz w:val="20"/>
          <w:szCs w:val="20"/>
          <w:lang w:val="en-GB"/>
        </w:rPr>
      </w:pPr>
    </w:p>
    <w:p w:rsidR="006E26B1" w:rsidRDefault="006E26B1" w:rsidP="006E26B1">
      <w:pPr>
        <w:spacing w:line="264" w:lineRule="auto"/>
        <w:contextualSpacing/>
        <w:rPr>
          <w:sz w:val="20"/>
          <w:szCs w:val="20"/>
          <w:lang w:val="en-GB"/>
        </w:rPr>
      </w:pPr>
    </w:p>
    <w:p w:rsidR="006E26B1" w:rsidRDefault="006E26B1" w:rsidP="006E26B1">
      <w:pPr>
        <w:spacing w:line="264" w:lineRule="auto"/>
        <w:contextualSpacing/>
        <w:rPr>
          <w:sz w:val="20"/>
          <w:szCs w:val="20"/>
          <w:lang w:val="en-GB"/>
        </w:rPr>
      </w:pPr>
    </w:p>
    <w:p w:rsidR="006E26B1" w:rsidRPr="0012150D" w:rsidRDefault="006E26B1" w:rsidP="006E26B1">
      <w:pPr>
        <w:spacing w:line="264" w:lineRule="auto"/>
        <w:contextualSpacing/>
        <w:rPr>
          <w:sz w:val="20"/>
          <w:szCs w:val="20"/>
          <w:lang w:val="en-GB"/>
        </w:rPr>
      </w:pPr>
    </w:p>
    <w:p w:rsidR="006E26B1" w:rsidRDefault="006E26B1" w:rsidP="006E26B1">
      <w:pPr>
        <w:spacing w:line="264" w:lineRule="auto"/>
        <w:ind w:left="163"/>
        <w:contextualSpacing/>
        <w:jc w:val="center"/>
        <w:rPr>
          <w:sz w:val="20"/>
          <w:szCs w:val="20"/>
          <w:lang w:val="en-GB"/>
        </w:rPr>
      </w:pPr>
    </w:p>
    <w:p w:rsidR="006E26B1" w:rsidRPr="0012150D" w:rsidRDefault="006E26B1" w:rsidP="006E26B1">
      <w:pPr>
        <w:spacing w:line="264" w:lineRule="auto"/>
        <w:ind w:left="163"/>
        <w:contextualSpacing/>
        <w:jc w:val="center"/>
        <w:rPr>
          <w:sz w:val="20"/>
          <w:szCs w:val="20"/>
          <w:lang w:val="en-GB"/>
        </w:rPr>
      </w:pPr>
    </w:p>
    <w:p w:rsidR="006E26B1" w:rsidRPr="001C048C" w:rsidRDefault="006E26B1" w:rsidP="006E26B1">
      <w:pPr>
        <w:spacing w:line="264" w:lineRule="auto"/>
        <w:ind w:left="155"/>
        <w:contextualSpacing/>
        <w:jc w:val="center"/>
        <w:rPr>
          <w:rFonts w:asciiTheme="minorHAnsi" w:hAnsiTheme="minorHAnsi"/>
          <w:lang w:val="en-GB"/>
        </w:rPr>
      </w:pPr>
    </w:p>
    <w:p w:rsidR="006E26B1" w:rsidRPr="00B02B95" w:rsidRDefault="006E26B1" w:rsidP="006E26B1">
      <w:pPr>
        <w:spacing w:line="264" w:lineRule="auto"/>
        <w:ind w:left="155"/>
        <w:contextualSpacing/>
        <w:jc w:val="center"/>
        <w:rPr>
          <w:rFonts w:asciiTheme="minorHAnsi" w:hAnsiTheme="minorHAnsi"/>
          <w:sz w:val="28"/>
          <w:szCs w:val="28"/>
          <w:lang w:val="en-GB"/>
        </w:rPr>
      </w:pPr>
      <w:r w:rsidRPr="00B02B95">
        <w:rPr>
          <w:rFonts w:asciiTheme="minorHAnsi" w:hAnsiTheme="minorHAnsi"/>
          <w:sz w:val="28"/>
          <w:szCs w:val="28"/>
          <w:lang w:val="en-GB"/>
        </w:rPr>
        <w:t xml:space="preserve">Lisa C. Smith </w:t>
      </w:r>
    </w:p>
    <w:p w:rsidR="006E26B1" w:rsidRPr="0012150D" w:rsidRDefault="006E26B1" w:rsidP="006E26B1">
      <w:pPr>
        <w:spacing w:line="264" w:lineRule="auto"/>
        <w:ind w:left="155"/>
        <w:contextualSpacing/>
        <w:jc w:val="center"/>
        <w:rPr>
          <w:rFonts w:ascii="Calibri" w:eastAsia="Calibri" w:hAnsi="Calibri" w:cs="Calibri"/>
          <w:sz w:val="32"/>
          <w:szCs w:val="32"/>
          <w:lang w:val="en-GB"/>
        </w:rPr>
      </w:pPr>
      <w:r w:rsidRPr="0012150D">
        <w:rPr>
          <w:rFonts w:ascii="Calibri" w:eastAsia="Calibri" w:hAnsi="Calibri" w:cs="Calibri"/>
          <w:b/>
          <w:bCs/>
          <w:sz w:val="32"/>
          <w:szCs w:val="32"/>
          <w:lang w:val="en-GB"/>
        </w:rPr>
        <w:t>TAN</w:t>
      </w:r>
      <w:r w:rsidRPr="0012150D">
        <w:rPr>
          <w:rFonts w:ascii="Calibri" w:eastAsia="Calibri" w:hAnsi="Calibri" w:cs="Calibri"/>
          <w:b/>
          <w:bCs/>
          <w:spacing w:val="1"/>
          <w:sz w:val="32"/>
          <w:szCs w:val="32"/>
          <w:lang w:val="en-GB"/>
        </w:rPr>
        <w:t>G</w:t>
      </w:r>
      <w:r w:rsidRPr="0012150D">
        <w:rPr>
          <w:rFonts w:ascii="Calibri" w:eastAsia="Calibri" w:hAnsi="Calibri" w:cs="Calibri"/>
          <w:b/>
          <w:bCs/>
          <w:sz w:val="32"/>
          <w:szCs w:val="32"/>
          <w:lang w:val="en-GB"/>
        </w:rPr>
        <w:t>O</w:t>
      </w:r>
      <w:r w:rsidRPr="0012150D">
        <w:rPr>
          <w:rFonts w:ascii="Calibri" w:eastAsia="Calibri" w:hAnsi="Calibri" w:cs="Calibri"/>
          <w:b/>
          <w:bCs/>
          <w:spacing w:val="-18"/>
          <w:sz w:val="32"/>
          <w:szCs w:val="32"/>
          <w:lang w:val="en-GB"/>
        </w:rPr>
        <w:t xml:space="preserve"> </w:t>
      </w:r>
      <w:r w:rsidRPr="0012150D">
        <w:rPr>
          <w:rFonts w:ascii="Calibri" w:eastAsia="Calibri" w:hAnsi="Calibri" w:cs="Calibri"/>
          <w:b/>
          <w:bCs/>
          <w:spacing w:val="-2"/>
          <w:sz w:val="32"/>
          <w:szCs w:val="32"/>
          <w:lang w:val="en-GB"/>
        </w:rPr>
        <w:t>I</w:t>
      </w:r>
      <w:r w:rsidRPr="0012150D">
        <w:rPr>
          <w:rFonts w:ascii="Calibri" w:eastAsia="Calibri" w:hAnsi="Calibri" w:cs="Calibri"/>
          <w:b/>
          <w:bCs/>
          <w:spacing w:val="-1"/>
          <w:sz w:val="32"/>
          <w:szCs w:val="32"/>
          <w:lang w:val="en-GB"/>
        </w:rPr>
        <w:t>n</w:t>
      </w:r>
      <w:r w:rsidRPr="0012150D">
        <w:rPr>
          <w:rFonts w:ascii="Calibri" w:eastAsia="Calibri" w:hAnsi="Calibri" w:cs="Calibri"/>
          <w:b/>
          <w:bCs/>
          <w:sz w:val="32"/>
          <w:szCs w:val="32"/>
          <w:lang w:val="en-GB"/>
        </w:rPr>
        <w:t>t</w:t>
      </w:r>
      <w:r w:rsidRPr="0012150D">
        <w:rPr>
          <w:rFonts w:ascii="Calibri" w:eastAsia="Calibri" w:hAnsi="Calibri" w:cs="Calibri"/>
          <w:b/>
          <w:bCs/>
          <w:spacing w:val="1"/>
          <w:sz w:val="32"/>
          <w:szCs w:val="32"/>
          <w:lang w:val="en-GB"/>
        </w:rPr>
        <w:t>e</w:t>
      </w:r>
      <w:r w:rsidRPr="0012150D">
        <w:rPr>
          <w:rFonts w:ascii="Calibri" w:eastAsia="Calibri" w:hAnsi="Calibri" w:cs="Calibri"/>
          <w:b/>
          <w:bCs/>
          <w:sz w:val="32"/>
          <w:szCs w:val="32"/>
          <w:lang w:val="en-GB"/>
        </w:rPr>
        <w:t>r</w:t>
      </w:r>
      <w:r w:rsidRPr="0012150D">
        <w:rPr>
          <w:rFonts w:ascii="Calibri" w:eastAsia="Calibri" w:hAnsi="Calibri" w:cs="Calibri"/>
          <w:b/>
          <w:bCs/>
          <w:spacing w:val="-2"/>
          <w:sz w:val="32"/>
          <w:szCs w:val="32"/>
          <w:lang w:val="en-GB"/>
        </w:rPr>
        <w:t>n</w:t>
      </w:r>
      <w:r w:rsidRPr="0012150D">
        <w:rPr>
          <w:rFonts w:ascii="Calibri" w:eastAsia="Calibri" w:hAnsi="Calibri" w:cs="Calibri"/>
          <w:b/>
          <w:bCs/>
          <w:sz w:val="32"/>
          <w:szCs w:val="32"/>
          <w:lang w:val="en-GB"/>
        </w:rPr>
        <w:t>ati</w:t>
      </w:r>
      <w:r w:rsidRPr="0012150D">
        <w:rPr>
          <w:rFonts w:ascii="Calibri" w:eastAsia="Calibri" w:hAnsi="Calibri" w:cs="Calibri"/>
          <w:b/>
          <w:bCs/>
          <w:spacing w:val="3"/>
          <w:sz w:val="32"/>
          <w:szCs w:val="32"/>
          <w:lang w:val="en-GB"/>
        </w:rPr>
        <w:t>o</w:t>
      </w:r>
      <w:r w:rsidRPr="0012150D">
        <w:rPr>
          <w:rFonts w:ascii="Calibri" w:eastAsia="Calibri" w:hAnsi="Calibri" w:cs="Calibri"/>
          <w:b/>
          <w:bCs/>
          <w:spacing w:val="-1"/>
          <w:sz w:val="32"/>
          <w:szCs w:val="32"/>
          <w:lang w:val="en-GB"/>
        </w:rPr>
        <w:t>n</w:t>
      </w:r>
      <w:r w:rsidRPr="0012150D">
        <w:rPr>
          <w:rFonts w:ascii="Calibri" w:eastAsia="Calibri" w:hAnsi="Calibri" w:cs="Calibri"/>
          <w:b/>
          <w:bCs/>
          <w:sz w:val="32"/>
          <w:szCs w:val="32"/>
          <w:lang w:val="en-GB"/>
        </w:rPr>
        <w:t>a</w:t>
      </w:r>
      <w:r w:rsidRPr="0012150D">
        <w:rPr>
          <w:rFonts w:ascii="Calibri" w:eastAsia="Calibri" w:hAnsi="Calibri" w:cs="Calibri"/>
          <w:b/>
          <w:bCs/>
          <w:spacing w:val="1"/>
          <w:sz w:val="32"/>
          <w:szCs w:val="32"/>
          <w:lang w:val="en-GB"/>
        </w:rPr>
        <w:t>l</w:t>
      </w:r>
      <w:r w:rsidRPr="0012150D">
        <w:rPr>
          <w:rFonts w:ascii="Calibri" w:eastAsia="Calibri" w:hAnsi="Calibri" w:cs="Calibri"/>
          <w:b/>
          <w:bCs/>
          <w:sz w:val="32"/>
          <w:szCs w:val="32"/>
          <w:lang w:val="en-GB"/>
        </w:rPr>
        <w:t>,</w:t>
      </w:r>
      <w:r w:rsidRPr="0012150D">
        <w:rPr>
          <w:rFonts w:ascii="Calibri" w:eastAsia="Calibri" w:hAnsi="Calibri" w:cs="Calibri"/>
          <w:b/>
          <w:bCs/>
          <w:spacing w:val="-17"/>
          <w:sz w:val="32"/>
          <w:szCs w:val="32"/>
          <w:lang w:val="en-GB"/>
        </w:rPr>
        <w:t xml:space="preserve"> </w:t>
      </w:r>
      <w:r w:rsidRPr="0012150D">
        <w:rPr>
          <w:rFonts w:ascii="Calibri" w:eastAsia="Calibri" w:hAnsi="Calibri" w:cs="Calibri"/>
          <w:b/>
          <w:bCs/>
          <w:sz w:val="32"/>
          <w:szCs w:val="32"/>
          <w:lang w:val="en-GB"/>
        </w:rPr>
        <w:t>Inc.</w:t>
      </w:r>
    </w:p>
    <w:p w:rsidR="006E26B1" w:rsidRPr="0012150D" w:rsidRDefault="006E26B1" w:rsidP="006E26B1">
      <w:pPr>
        <w:spacing w:line="264" w:lineRule="auto"/>
        <w:contextualSpacing/>
        <w:rPr>
          <w:sz w:val="12"/>
          <w:szCs w:val="12"/>
          <w:lang w:val="en-GB"/>
        </w:rPr>
      </w:pPr>
    </w:p>
    <w:p w:rsidR="006E26B1" w:rsidRDefault="006E26B1" w:rsidP="006E26B1">
      <w:pPr>
        <w:spacing w:line="264" w:lineRule="auto"/>
        <w:contextualSpacing/>
        <w:rPr>
          <w:sz w:val="20"/>
          <w:szCs w:val="20"/>
          <w:lang w:val="en-GB"/>
        </w:rPr>
      </w:pPr>
    </w:p>
    <w:p w:rsidR="006E26B1" w:rsidRDefault="006E26B1" w:rsidP="006E26B1">
      <w:pPr>
        <w:spacing w:line="264" w:lineRule="auto"/>
        <w:contextualSpacing/>
        <w:rPr>
          <w:sz w:val="20"/>
          <w:szCs w:val="20"/>
          <w:lang w:val="en-GB"/>
        </w:rPr>
      </w:pPr>
    </w:p>
    <w:p w:rsidR="006E26B1" w:rsidRDefault="006E26B1" w:rsidP="006E26B1">
      <w:pPr>
        <w:spacing w:line="264" w:lineRule="auto"/>
        <w:contextualSpacing/>
        <w:rPr>
          <w:sz w:val="20"/>
          <w:szCs w:val="20"/>
          <w:lang w:val="en-GB"/>
        </w:rPr>
      </w:pPr>
    </w:p>
    <w:p w:rsidR="006E26B1" w:rsidRDefault="006E26B1" w:rsidP="006E26B1">
      <w:pPr>
        <w:spacing w:line="264" w:lineRule="auto"/>
        <w:contextualSpacing/>
        <w:rPr>
          <w:sz w:val="20"/>
          <w:szCs w:val="20"/>
          <w:lang w:val="en-GB"/>
        </w:rPr>
      </w:pPr>
    </w:p>
    <w:p w:rsidR="006E26B1" w:rsidRDefault="006E26B1" w:rsidP="006E26B1">
      <w:pPr>
        <w:spacing w:line="264" w:lineRule="auto"/>
        <w:contextualSpacing/>
        <w:rPr>
          <w:sz w:val="20"/>
          <w:szCs w:val="20"/>
          <w:lang w:val="en-GB"/>
        </w:rPr>
      </w:pPr>
    </w:p>
    <w:p w:rsidR="006E26B1" w:rsidRDefault="006E26B1" w:rsidP="006E26B1">
      <w:pPr>
        <w:spacing w:line="264" w:lineRule="auto"/>
        <w:contextualSpacing/>
        <w:rPr>
          <w:sz w:val="20"/>
          <w:szCs w:val="20"/>
          <w:lang w:val="en-GB"/>
        </w:rPr>
      </w:pPr>
    </w:p>
    <w:p w:rsidR="006E26B1" w:rsidRDefault="006E26B1" w:rsidP="006E26B1">
      <w:pPr>
        <w:spacing w:line="264" w:lineRule="auto"/>
        <w:contextualSpacing/>
        <w:rPr>
          <w:sz w:val="20"/>
          <w:szCs w:val="20"/>
          <w:lang w:val="en-GB"/>
        </w:rPr>
      </w:pPr>
    </w:p>
    <w:p w:rsidR="006E26B1" w:rsidRDefault="006E26B1" w:rsidP="006E26B1">
      <w:pPr>
        <w:spacing w:line="264" w:lineRule="auto"/>
        <w:contextualSpacing/>
        <w:rPr>
          <w:sz w:val="20"/>
          <w:szCs w:val="20"/>
          <w:lang w:val="en-GB"/>
        </w:rPr>
      </w:pPr>
    </w:p>
    <w:p w:rsidR="006E26B1" w:rsidRDefault="006E26B1" w:rsidP="006E26B1">
      <w:pPr>
        <w:spacing w:line="264" w:lineRule="auto"/>
        <w:contextualSpacing/>
        <w:rPr>
          <w:sz w:val="20"/>
          <w:szCs w:val="20"/>
          <w:lang w:val="en-GB"/>
        </w:rPr>
      </w:pPr>
    </w:p>
    <w:p w:rsidR="006E26B1" w:rsidRDefault="006E26B1" w:rsidP="006E26B1">
      <w:pPr>
        <w:spacing w:line="264" w:lineRule="auto"/>
        <w:contextualSpacing/>
        <w:rPr>
          <w:sz w:val="20"/>
          <w:szCs w:val="20"/>
          <w:lang w:val="en-GB"/>
        </w:rPr>
      </w:pPr>
    </w:p>
    <w:p w:rsidR="006E26B1" w:rsidRDefault="006E26B1" w:rsidP="006E26B1">
      <w:pPr>
        <w:spacing w:line="264" w:lineRule="auto"/>
        <w:contextualSpacing/>
        <w:rPr>
          <w:sz w:val="20"/>
          <w:szCs w:val="20"/>
          <w:lang w:val="en-GB"/>
        </w:rPr>
      </w:pPr>
    </w:p>
    <w:p w:rsidR="006E26B1" w:rsidRDefault="006E26B1" w:rsidP="006E26B1">
      <w:pPr>
        <w:spacing w:line="264" w:lineRule="auto"/>
        <w:contextualSpacing/>
        <w:rPr>
          <w:sz w:val="20"/>
          <w:szCs w:val="20"/>
          <w:lang w:val="en-GB"/>
        </w:rPr>
      </w:pPr>
    </w:p>
    <w:p w:rsidR="006E26B1" w:rsidRPr="0012150D" w:rsidRDefault="006E26B1" w:rsidP="006E26B1">
      <w:pPr>
        <w:spacing w:line="264" w:lineRule="auto"/>
        <w:contextualSpacing/>
        <w:rPr>
          <w:sz w:val="20"/>
          <w:szCs w:val="20"/>
          <w:lang w:val="en-GB"/>
        </w:rPr>
      </w:pPr>
    </w:p>
    <w:p w:rsidR="006E26B1" w:rsidRPr="0012150D" w:rsidRDefault="006E26B1" w:rsidP="006E26B1">
      <w:pPr>
        <w:spacing w:line="264" w:lineRule="auto"/>
        <w:contextualSpacing/>
        <w:rPr>
          <w:sz w:val="20"/>
          <w:szCs w:val="20"/>
          <w:lang w:val="en-GB"/>
        </w:rPr>
      </w:pPr>
    </w:p>
    <w:p w:rsidR="006E26B1" w:rsidRPr="0012150D" w:rsidRDefault="006E26B1" w:rsidP="006E26B1">
      <w:pPr>
        <w:spacing w:line="264" w:lineRule="auto"/>
        <w:ind w:left="3535"/>
        <w:contextualSpacing/>
        <w:rPr>
          <w:rFonts w:eastAsia="Times New Roman"/>
          <w:sz w:val="20"/>
          <w:szCs w:val="20"/>
          <w:lang w:val="en-GB"/>
        </w:rPr>
      </w:pPr>
      <w:r w:rsidRPr="0012150D">
        <w:rPr>
          <w:noProof/>
        </w:rPr>
        <w:drawing>
          <wp:inline distT="0" distB="0" distL="0" distR="0" wp14:anchorId="3188B55B" wp14:editId="64A23714">
            <wp:extent cx="1605280" cy="584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584835"/>
                    </a:xfrm>
                    <a:prstGeom prst="rect">
                      <a:avLst/>
                    </a:prstGeom>
                    <a:noFill/>
                    <a:ln>
                      <a:noFill/>
                    </a:ln>
                  </pic:spPr>
                </pic:pic>
              </a:graphicData>
            </a:graphic>
          </wp:inline>
        </w:drawing>
      </w:r>
    </w:p>
    <w:p w:rsidR="006E26B1" w:rsidRPr="0012150D" w:rsidRDefault="006E26B1" w:rsidP="006E26B1">
      <w:pPr>
        <w:spacing w:line="264" w:lineRule="auto"/>
        <w:contextualSpacing/>
        <w:rPr>
          <w:sz w:val="20"/>
          <w:szCs w:val="20"/>
          <w:lang w:val="en-GB"/>
        </w:rPr>
      </w:pPr>
    </w:p>
    <w:p w:rsidR="006E26B1" w:rsidRPr="0012150D" w:rsidRDefault="006E26B1" w:rsidP="006E26B1">
      <w:pPr>
        <w:spacing w:line="264" w:lineRule="auto"/>
        <w:contextualSpacing/>
        <w:rPr>
          <w:sz w:val="20"/>
          <w:szCs w:val="20"/>
          <w:lang w:val="en-GB"/>
        </w:rPr>
      </w:pPr>
    </w:p>
    <w:p w:rsidR="005E06F7" w:rsidRDefault="006E26B1" w:rsidP="006E26B1">
      <w:pPr>
        <w:jc w:val="center"/>
        <w:rPr>
          <w:rFonts w:ascii="Calibri" w:eastAsia="Calibri" w:hAnsi="Calibri" w:cs="Calibri"/>
          <w:bCs/>
          <w:spacing w:val="-1"/>
          <w:lang w:val="en-GB"/>
        </w:rPr>
        <w:sectPr w:rsidR="005E06F7" w:rsidSect="00465AE7">
          <w:footerReference w:type="default" r:id="rId10"/>
          <w:pgSz w:w="12240" w:h="15840"/>
          <w:pgMar w:top="1440" w:right="1440" w:bottom="1440" w:left="1440" w:header="720" w:footer="720" w:gutter="0"/>
          <w:cols w:space="720"/>
          <w:titlePg/>
          <w:docGrid w:linePitch="360"/>
        </w:sectPr>
      </w:pPr>
      <w:r w:rsidRPr="00F67EED">
        <w:rPr>
          <w:rFonts w:ascii="Calibri" w:eastAsia="Calibri" w:hAnsi="Calibri" w:cs="Calibri"/>
          <w:bCs/>
          <w:spacing w:val="-2"/>
          <w:lang w:val="en-GB"/>
        </w:rPr>
        <w:t xml:space="preserve">August </w:t>
      </w:r>
      <w:r w:rsidRPr="00F67EED">
        <w:rPr>
          <w:rFonts w:ascii="Calibri" w:eastAsia="Calibri" w:hAnsi="Calibri" w:cs="Calibri"/>
          <w:bCs/>
          <w:spacing w:val="-1"/>
          <w:lang w:val="en-GB"/>
        </w:rPr>
        <w:t>2014</w:t>
      </w:r>
    </w:p>
    <w:p w:rsidR="006E26B1" w:rsidRPr="00B30983" w:rsidRDefault="006E26B1" w:rsidP="006E26B1">
      <w:pPr>
        <w:pStyle w:val="TOCHeading"/>
        <w:rPr>
          <w:rFonts w:asciiTheme="minorHAnsi" w:hAnsiTheme="minorHAnsi"/>
        </w:rPr>
      </w:pPr>
      <w:r w:rsidRPr="00B30983">
        <w:rPr>
          <w:rFonts w:asciiTheme="minorHAnsi" w:hAnsiTheme="minorHAnsi"/>
        </w:rPr>
        <w:lastRenderedPageBreak/>
        <w:t>Table of Contents</w:t>
      </w:r>
    </w:p>
    <w:p w:rsidR="0098190D" w:rsidRDefault="0098190D">
      <w:pPr>
        <w:rPr>
          <w:rFonts w:asciiTheme="minorHAnsi" w:hAnsiTheme="minorHAnsi"/>
          <w:b/>
        </w:rPr>
      </w:pPr>
    </w:p>
    <w:p w:rsidR="00D67F50" w:rsidRPr="00D67F50" w:rsidRDefault="00D67F50">
      <w:pPr>
        <w:pStyle w:val="TOC1"/>
        <w:tabs>
          <w:tab w:val="right" w:leader="dot" w:pos="9350"/>
        </w:tabs>
        <w:rPr>
          <w:rFonts w:asciiTheme="minorHAnsi" w:eastAsiaTheme="minorEastAsia" w:hAnsiTheme="minorHAnsi" w:cstheme="minorBidi"/>
          <w:noProof/>
          <w:sz w:val="22"/>
          <w:szCs w:val="22"/>
        </w:rPr>
      </w:pPr>
      <w:r>
        <w:rPr>
          <w:rFonts w:asciiTheme="minorHAnsi" w:hAnsiTheme="minorHAnsi"/>
          <w:b/>
        </w:rPr>
        <w:fldChar w:fldCharType="begin"/>
      </w:r>
      <w:r>
        <w:rPr>
          <w:rFonts w:asciiTheme="minorHAnsi" w:hAnsiTheme="minorHAnsi"/>
          <w:b/>
        </w:rPr>
        <w:instrText xml:space="preserve"> TOC \o "1-3" \h \z \u </w:instrText>
      </w:r>
      <w:r>
        <w:rPr>
          <w:rFonts w:asciiTheme="minorHAnsi" w:hAnsiTheme="minorHAnsi"/>
          <w:b/>
        </w:rPr>
        <w:fldChar w:fldCharType="separate"/>
      </w:r>
      <w:hyperlink w:anchor="_Toc395979692" w:history="1">
        <w:r w:rsidRPr="00D67F50">
          <w:rPr>
            <w:rStyle w:val="Hyperlink"/>
            <w:rFonts w:asciiTheme="minorHAnsi" w:hAnsiTheme="minorHAnsi"/>
            <w:noProof/>
            <w:color w:val="auto"/>
          </w:rPr>
          <w:t>Acronyms</w:t>
        </w:r>
        <w:r w:rsidRPr="00D67F50">
          <w:rPr>
            <w:rFonts w:asciiTheme="minorHAnsi" w:hAnsiTheme="minorHAnsi"/>
            <w:noProof/>
            <w:webHidden/>
          </w:rPr>
          <w:tab/>
        </w:r>
        <w:r w:rsidRPr="00D67F50">
          <w:rPr>
            <w:rFonts w:asciiTheme="minorHAnsi" w:hAnsiTheme="minorHAnsi"/>
            <w:noProof/>
            <w:webHidden/>
          </w:rPr>
          <w:fldChar w:fldCharType="begin"/>
        </w:r>
        <w:r w:rsidRPr="00D67F50">
          <w:rPr>
            <w:rFonts w:asciiTheme="minorHAnsi" w:hAnsiTheme="minorHAnsi"/>
            <w:noProof/>
            <w:webHidden/>
          </w:rPr>
          <w:instrText xml:space="preserve"> PAGEREF _Toc395979692 \h </w:instrText>
        </w:r>
        <w:r w:rsidRPr="00D67F50">
          <w:rPr>
            <w:rFonts w:asciiTheme="minorHAnsi" w:hAnsiTheme="minorHAnsi"/>
            <w:noProof/>
            <w:webHidden/>
          </w:rPr>
        </w:r>
        <w:r w:rsidRPr="00D67F50">
          <w:rPr>
            <w:rFonts w:asciiTheme="minorHAnsi" w:hAnsiTheme="minorHAnsi"/>
            <w:noProof/>
            <w:webHidden/>
          </w:rPr>
          <w:fldChar w:fldCharType="separate"/>
        </w:r>
        <w:r w:rsidRPr="00D67F50">
          <w:rPr>
            <w:rFonts w:asciiTheme="minorHAnsi" w:hAnsiTheme="minorHAnsi"/>
            <w:noProof/>
            <w:webHidden/>
          </w:rPr>
          <w:t>3</w:t>
        </w:r>
        <w:r w:rsidRPr="00D67F50">
          <w:rPr>
            <w:rFonts w:asciiTheme="minorHAnsi" w:hAnsiTheme="minorHAnsi"/>
            <w:noProof/>
            <w:webHidden/>
          </w:rPr>
          <w:fldChar w:fldCharType="end"/>
        </w:r>
      </w:hyperlink>
    </w:p>
    <w:p w:rsidR="00D67F50" w:rsidRPr="00D67F50" w:rsidRDefault="00D67F50">
      <w:pPr>
        <w:pStyle w:val="TOC1"/>
        <w:tabs>
          <w:tab w:val="right" w:leader="dot" w:pos="9350"/>
        </w:tabs>
        <w:rPr>
          <w:rFonts w:asciiTheme="minorHAnsi" w:eastAsiaTheme="minorEastAsia" w:hAnsiTheme="minorHAnsi" w:cstheme="minorBidi"/>
          <w:noProof/>
          <w:sz w:val="22"/>
          <w:szCs w:val="22"/>
        </w:rPr>
      </w:pPr>
      <w:hyperlink w:anchor="_Toc395979693" w:history="1">
        <w:r w:rsidRPr="00D67F50">
          <w:rPr>
            <w:rStyle w:val="Hyperlink"/>
            <w:rFonts w:asciiTheme="minorHAnsi" w:hAnsiTheme="minorHAnsi"/>
            <w:noProof/>
            <w:color w:val="auto"/>
          </w:rPr>
          <w:t>Executive summary</w:t>
        </w:r>
        <w:r w:rsidRPr="00D67F50">
          <w:rPr>
            <w:rFonts w:asciiTheme="minorHAnsi" w:hAnsiTheme="minorHAnsi"/>
            <w:noProof/>
            <w:webHidden/>
          </w:rPr>
          <w:tab/>
        </w:r>
        <w:r w:rsidRPr="00D67F50">
          <w:rPr>
            <w:rFonts w:asciiTheme="minorHAnsi" w:hAnsiTheme="minorHAnsi"/>
            <w:noProof/>
            <w:webHidden/>
          </w:rPr>
          <w:fldChar w:fldCharType="begin"/>
        </w:r>
        <w:r w:rsidRPr="00D67F50">
          <w:rPr>
            <w:rFonts w:asciiTheme="minorHAnsi" w:hAnsiTheme="minorHAnsi"/>
            <w:noProof/>
            <w:webHidden/>
          </w:rPr>
          <w:instrText xml:space="preserve"> PAGEREF _Toc395979693 \h </w:instrText>
        </w:r>
        <w:r w:rsidRPr="00D67F50">
          <w:rPr>
            <w:rFonts w:asciiTheme="minorHAnsi" w:hAnsiTheme="minorHAnsi"/>
            <w:noProof/>
            <w:webHidden/>
          </w:rPr>
        </w:r>
        <w:r w:rsidRPr="00D67F50">
          <w:rPr>
            <w:rFonts w:asciiTheme="minorHAnsi" w:hAnsiTheme="minorHAnsi"/>
            <w:noProof/>
            <w:webHidden/>
          </w:rPr>
          <w:fldChar w:fldCharType="separate"/>
        </w:r>
        <w:r w:rsidRPr="00D67F50">
          <w:rPr>
            <w:rFonts w:asciiTheme="minorHAnsi" w:hAnsiTheme="minorHAnsi"/>
            <w:noProof/>
            <w:webHidden/>
          </w:rPr>
          <w:t>4</w:t>
        </w:r>
        <w:r w:rsidRPr="00D67F50">
          <w:rPr>
            <w:rFonts w:asciiTheme="minorHAnsi" w:hAnsiTheme="minorHAnsi"/>
            <w:noProof/>
            <w:webHidden/>
          </w:rPr>
          <w:fldChar w:fldCharType="end"/>
        </w:r>
      </w:hyperlink>
    </w:p>
    <w:p w:rsidR="00D67F50" w:rsidRPr="00D67F50" w:rsidRDefault="00D67F50">
      <w:pPr>
        <w:pStyle w:val="TOC1"/>
        <w:tabs>
          <w:tab w:val="right" w:leader="dot" w:pos="9350"/>
        </w:tabs>
        <w:rPr>
          <w:rFonts w:asciiTheme="minorHAnsi" w:eastAsiaTheme="minorEastAsia" w:hAnsiTheme="minorHAnsi" w:cstheme="minorBidi"/>
          <w:noProof/>
          <w:sz w:val="22"/>
          <w:szCs w:val="22"/>
        </w:rPr>
      </w:pPr>
      <w:hyperlink w:anchor="_Toc395979701" w:history="1">
        <w:r w:rsidRPr="00D67F50">
          <w:rPr>
            <w:rStyle w:val="Hyperlink"/>
            <w:rFonts w:asciiTheme="minorHAnsi" w:hAnsiTheme="minorHAnsi"/>
            <w:noProof/>
          </w:rPr>
          <w:t>1.   Introduction</w:t>
        </w:r>
        <w:r w:rsidRPr="00D67F50">
          <w:rPr>
            <w:rFonts w:asciiTheme="minorHAnsi" w:hAnsiTheme="minorHAnsi"/>
            <w:noProof/>
            <w:webHidden/>
          </w:rPr>
          <w:tab/>
        </w:r>
        <w:r w:rsidRPr="00D67F50">
          <w:rPr>
            <w:rFonts w:asciiTheme="minorHAnsi" w:hAnsiTheme="minorHAnsi"/>
            <w:noProof/>
            <w:webHidden/>
          </w:rPr>
          <w:fldChar w:fldCharType="begin"/>
        </w:r>
        <w:r w:rsidRPr="00D67F50">
          <w:rPr>
            <w:rFonts w:asciiTheme="minorHAnsi" w:hAnsiTheme="minorHAnsi"/>
            <w:noProof/>
            <w:webHidden/>
          </w:rPr>
          <w:instrText xml:space="preserve"> PAGEREF _Toc395979701 \h </w:instrText>
        </w:r>
        <w:r w:rsidRPr="00D67F50">
          <w:rPr>
            <w:rFonts w:asciiTheme="minorHAnsi" w:hAnsiTheme="minorHAnsi"/>
            <w:noProof/>
            <w:webHidden/>
          </w:rPr>
        </w:r>
        <w:r w:rsidRPr="00D67F50">
          <w:rPr>
            <w:rFonts w:asciiTheme="minorHAnsi" w:hAnsiTheme="minorHAnsi"/>
            <w:noProof/>
            <w:webHidden/>
          </w:rPr>
          <w:fldChar w:fldCharType="separate"/>
        </w:r>
        <w:r w:rsidRPr="00D67F50">
          <w:rPr>
            <w:rFonts w:asciiTheme="minorHAnsi" w:hAnsiTheme="minorHAnsi"/>
            <w:noProof/>
            <w:webHidden/>
          </w:rPr>
          <w:t>7</w:t>
        </w:r>
        <w:r w:rsidRPr="00D67F50">
          <w:rPr>
            <w:rFonts w:asciiTheme="minorHAnsi" w:hAnsiTheme="minorHAnsi"/>
            <w:noProof/>
            <w:webHidden/>
          </w:rPr>
          <w:fldChar w:fldCharType="end"/>
        </w:r>
      </w:hyperlink>
    </w:p>
    <w:p w:rsidR="00D67F50" w:rsidRPr="00D67F50" w:rsidRDefault="00D67F50">
      <w:pPr>
        <w:pStyle w:val="TOC1"/>
        <w:tabs>
          <w:tab w:val="right" w:leader="dot" w:pos="9350"/>
        </w:tabs>
        <w:rPr>
          <w:rFonts w:asciiTheme="minorHAnsi" w:eastAsiaTheme="minorEastAsia" w:hAnsiTheme="minorHAnsi" w:cstheme="minorBidi"/>
          <w:noProof/>
          <w:sz w:val="22"/>
          <w:szCs w:val="22"/>
        </w:rPr>
      </w:pPr>
      <w:hyperlink w:anchor="_Toc395979702" w:history="1">
        <w:r w:rsidRPr="00D67F50">
          <w:rPr>
            <w:rStyle w:val="Hyperlink"/>
            <w:rFonts w:asciiTheme="minorHAnsi" w:hAnsiTheme="minorHAnsi"/>
            <w:noProof/>
          </w:rPr>
          <w:t>2.  Validation of the stability over time and accuracy of asset-based estimates of poverty for Palestine</w:t>
        </w:r>
        <w:r w:rsidRPr="00D67F50">
          <w:rPr>
            <w:rFonts w:asciiTheme="minorHAnsi" w:hAnsiTheme="minorHAnsi"/>
            <w:noProof/>
            <w:webHidden/>
          </w:rPr>
          <w:tab/>
        </w:r>
        <w:r w:rsidRPr="00D67F50">
          <w:rPr>
            <w:rFonts w:asciiTheme="minorHAnsi" w:hAnsiTheme="minorHAnsi"/>
            <w:noProof/>
            <w:webHidden/>
          </w:rPr>
          <w:fldChar w:fldCharType="begin"/>
        </w:r>
        <w:r w:rsidRPr="00D67F50">
          <w:rPr>
            <w:rFonts w:asciiTheme="minorHAnsi" w:hAnsiTheme="minorHAnsi"/>
            <w:noProof/>
            <w:webHidden/>
          </w:rPr>
          <w:instrText xml:space="preserve"> PAGEREF _Toc395979702 \h </w:instrText>
        </w:r>
        <w:r w:rsidRPr="00D67F50">
          <w:rPr>
            <w:rFonts w:asciiTheme="minorHAnsi" w:hAnsiTheme="minorHAnsi"/>
            <w:noProof/>
            <w:webHidden/>
          </w:rPr>
        </w:r>
        <w:r w:rsidRPr="00D67F50">
          <w:rPr>
            <w:rFonts w:asciiTheme="minorHAnsi" w:hAnsiTheme="minorHAnsi"/>
            <w:noProof/>
            <w:webHidden/>
          </w:rPr>
          <w:fldChar w:fldCharType="separate"/>
        </w:r>
        <w:r w:rsidRPr="00D67F50">
          <w:rPr>
            <w:rFonts w:asciiTheme="minorHAnsi" w:hAnsiTheme="minorHAnsi"/>
            <w:noProof/>
            <w:webHidden/>
          </w:rPr>
          <w:t>8</w:t>
        </w:r>
        <w:r w:rsidRPr="00D67F50">
          <w:rPr>
            <w:rFonts w:asciiTheme="minorHAnsi" w:hAnsiTheme="minorHAnsi"/>
            <w:noProof/>
            <w:webHidden/>
          </w:rPr>
          <w:fldChar w:fldCharType="end"/>
        </w:r>
      </w:hyperlink>
    </w:p>
    <w:p w:rsidR="00D67F50" w:rsidRPr="00D67F50" w:rsidRDefault="00D67F50">
      <w:pPr>
        <w:pStyle w:val="TOC3"/>
        <w:tabs>
          <w:tab w:val="right" w:leader="dot" w:pos="9350"/>
        </w:tabs>
        <w:rPr>
          <w:rFonts w:asciiTheme="minorHAnsi" w:eastAsiaTheme="minorEastAsia" w:hAnsiTheme="minorHAnsi" w:cstheme="minorBidi"/>
          <w:noProof/>
          <w:sz w:val="22"/>
          <w:szCs w:val="22"/>
        </w:rPr>
      </w:pPr>
      <w:hyperlink w:anchor="_Toc395979703" w:history="1">
        <w:r w:rsidRPr="00D67F50">
          <w:rPr>
            <w:rStyle w:val="Hyperlink"/>
            <w:rFonts w:asciiTheme="minorHAnsi" w:hAnsiTheme="minorHAnsi"/>
            <w:noProof/>
          </w:rPr>
          <w:t>2.1 Options for constructing asset indexes</w:t>
        </w:r>
        <w:r w:rsidRPr="00D67F50">
          <w:rPr>
            <w:rFonts w:asciiTheme="minorHAnsi" w:hAnsiTheme="minorHAnsi"/>
            <w:noProof/>
            <w:webHidden/>
          </w:rPr>
          <w:tab/>
        </w:r>
        <w:r w:rsidRPr="00D67F50">
          <w:rPr>
            <w:rFonts w:asciiTheme="minorHAnsi" w:hAnsiTheme="minorHAnsi"/>
            <w:noProof/>
            <w:webHidden/>
          </w:rPr>
          <w:fldChar w:fldCharType="begin"/>
        </w:r>
        <w:r w:rsidRPr="00D67F50">
          <w:rPr>
            <w:rFonts w:asciiTheme="minorHAnsi" w:hAnsiTheme="minorHAnsi"/>
            <w:noProof/>
            <w:webHidden/>
          </w:rPr>
          <w:instrText xml:space="preserve"> PAGEREF _Toc395979703 \h </w:instrText>
        </w:r>
        <w:r w:rsidRPr="00D67F50">
          <w:rPr>
            <w:rFonts w:asciiTheme="minorHAnsi" w:hAnsiTheme="minorHAnsi"/>
            <w:noProof/>
            <w:webHidden/>
          </w:rPr>
        </w:r>
        <w:r w:rsidRPr="00D67F50">
          <w:rPr>
            <w:rFonts w:asciiTheme="minorHAnsi" w:hAnsiTheme="minorHAnsi"/>
            <w:noProof/>
            <w:webHidden/>
          </w:rPr>
          <w:fldChar w:fldCharType="separate"/>
        </w:r>
        <w:r w:rsidRPr="00D67F50">
          <w:rPr>
            <w:rFonts w:asciiTheme="minorHAnsi" w:hAnsiTheme="minorHAnsi"/>
            <w:noProof/>
            <w:webHidden/>
          </w:rPr>
          <w:t>8</w:t>
        </w:r>
        <w:r w:rsidRPr="00D67F50">
          <w:rPr>
            <w:rFonts w:asciiTheme="minorHAnsi" w:hAnsiTheme="minorHAnsi"/>
            <w:noProof/>
            <w:webHidden/>
          </w:rPr>
          <w:fldChar w:fldCharType="end"/>
        </w:r>
      </w:hyperlink>
    </w:p>
    <w:p w:rsidR="00D67F50" w:rsidRPr="00D67F50" w:rsidRDefault="00D67F50">
      <w:pPr>
        <w:pStyle w:val="TOC3"/>
        <w:tabs>
          <w:tab w:val="right" w:leader="dot" w:pos="9350"/>
        </w:tabs>
        <w:rPr>
          <w:rFonts w:asciiTheme="minorHAnsi" w:eastAsiaTheme="minorEastAsia" w:hAnsiTheme="minorHAnsi" w:cstheme="minorBidi"/>
          <w:noProof/>
          <w:sz w:val="22"/>
          <w:szCs w:val="22"/>
        </w:rPr>
      </w:pPr>
      <w:hyperlink w:anchor="_Toc395979704" w:history="1">
        <w:r w:rsidRPr="00D67F50">
          <w:rPr>
            <w:rStyle w:val="Hyperlink"/>
            <w:rFonts w:asciiTheme="minorHAnsi" w:hAnsiTheme="minorHAnsi"/>
            <w:noProof/>
          </w:rPr>
          <w:t>2.2  Evaluation of the stability over time of the relationship between asset ownership and total expenditures</w:t>
        </w:r>
        <w:r w:rsidRPr="00D67F50">
          <w:rPr>
            <w:rFonts w:asciiTheme="minorHAnsi" w:hAnsiTheme="minorHAnsi"/>
            <w:noProof/>
            <w:webHidden/>
          </w:rPr>
          <w:tab/>
        </w:r>
        <w:r w:rsidRPr="00D67F50">
          <w:rPr>
            <w:rFonts w:asciiTheme="minorHAnsi" w:hAnsiTheme="minorHAnsi"/>
            <w:noProof/>
            <w:webHidden/>
          </w:rPr>
          <w:fldChar w:fldCharType="begin"/>
        </w:r>
        <w:r w:rsidRPr="00D67F50">
          <w:rPr>
            <w:rFonts w:asciiTheme="minorHAnsi" w:hAnsiTheme="minorHAnsi"/>
            <w:noProof/>
            <w:webHidden/>
          </w:rPr>
          <w:instrText xml:space="preserve"> PAGEREF _Toc395979704 \h </w:instrText>
        </w:r>
        <w:r w:rsidRPr="00D67F50">
          <w:rPr>
            <w:rFonts w:asciiTheme="minorHAnsi" w:hAnsiTheme="minorHAnsi"/>
            <w:noProof/>
            <w:webHidden/>
          </w:rPr>
        </w:r>
        <w:r w:rsidRPr="00D67F50">
          <w:rPr>
            <w:rFonts w:asciiTheme="minorHAnsi" w:hAnsiTheme="minorHAnsi"/>
            <w:noProof/>
            <w:webHidden/>
          </w:rPr>
          <w:fldChar w:fldCharType="separate"/>
        </w:r>
        <w:r w:rsidRPr="00D67F50">
          <w:rPr>
            <w:rFonts w:asciiTheme="minorHAnsi" w:hAnsiTheme="minorHAnsi"/>
            <w:noProof/>
            <w:webHidden/>
          </w:rPr>
          <w:t>9</w:t>
        </w:r>
        <w:r w:rsidRPr="00D67F50">
          <w:rPr>
            <w:rFonts w:asciiTheme="minorHAnsi" w:hAnsiTheme="minorHAnsi"/>
            <w:noProof/>
            <w:webHidden/>
          </w:rPr>
          <w:fldChar w:fldCharType="end"/>
        </w:r>
      </w:hyperlink>
    </w:p>
    <w:p w:rsidR="00D67F50" w:rsidRPr="00D67F50" w:rsidRDefault="00D67F50">
      <w:pPr>
        <w:pStyle w:val="TOC3"/>
        <w:tabs>
          <w:tab w:val="right" w:leader="dot" w:pos="9350"/>
        </w:tabs>
        <w:rPr>
          <w:rFonts w:asciiTheme="minorHAnsi" w:eastAsiaTheme="minorEastAsia" w:hAnsiTheme="minorHAnsi" w:cstheme="minorBidi"/>
          <w:noProof/>
          <w:sz w:val="22"/>
          <w:szCs w:val="22"/>
        </w:rPr>
      </w:pPr>
      <w:hyperlink w:anchor="_Toc395979705" w:history="1">
        <w:r w:rsidRPr="00D67F50">
          <w:rPr>
            <w:rStyle w:val="Hyperlink"/>
            <w:rFonts w:asciiTheme="minorHAnsi" w:hAnsiTheme="minorHAnsi"/>
            <w:noProof/>
          </w:rPr>
          <w:t>2.3 Comparison of PECS and SEFSec asset ownership means</w:t>
        </w:r>
        <w:r w:rsidRPr="00D67F50">
          <w:rPr>
            <w:rFonts w:asciiTheme="minorHAnsi" w:hAnsiTheme="minorHAnsi"/>
            <w:noProof/>
            <w:webHidden/>
          </w:rPr>
          <w:tab/>
        </w:r>
        <w:r w:rsidRPr="00D67F50">
          <w:rPr>
            <w:rFonts w:asciiTheme="minorHAnsi" w:hAnsiTheme="minorHAnsi"/>
            <w:noProof/>
            <w:webHidden/>
          </w:rPr>
          <w:fldChar w:fldCharType="begin"/>
        </w:r>
        <w:r w:rsidRPr="00D67F50">
          <w:rPr>
            <w:rFonts w:asciiTheme="minorHAnsi" w:hAnsiTheme="minorHAnsi"/>
            <w:noProof/>
            <w:webHidden/>
          </w:rPr>
          <w:instrText xml:space="preserve"> PAGEREF _Toc395979705 \h </w:instrText>
        </w:r>
        <w:r w:rsidRPr="00D67F50">
          <w:rPr>
            <w:rFonts w:asciiTheme="minorHAnsi" w:hAnsiTheme="minorHAnsi"/>
            <w:noProof/>
            <w:webHidden/>
          </w:rPr>
        </w:r>
        <w:r w:rsidRPr="00D67F50">
          <w:rPr>
            <w:rFonts w:asciiTheme="minorHAnsi" w:hAnsiTheme="minorHAnsi"/>
            <w:noProof/>
            <w:webHidden/>
          </w:rPr>
          <w:fldChar w:fldCharType="separate"/>
        </w:r>
        <w:r w:rsidRPr="00D67F50">
          <w:rPr>
            <w:rFonts w:asciiTheme="minorHAnsi" w:hAnsiTheme="minorHAnsi"/>
            <w:noProof/>
            <w:webHidden/>
          </w:rPr>
          <w:t>13</w:t>
        </w:r>
        <w:r w:rsidRPr="00D67F50">
          <w:rPr>
            <w:rFonts w:asciiTheme="minorHAnsi" w:hAnsiTheme="minorHAnsi"/>
            <w:noProof/>
            <w:webHidden/>
          </w:rPr>
          <w:fldChar w:fldCharType="end"/>
        </w:r>
      </w:hyperlink>
    </w:p>
    <w:p w:rsidR="00D67F50" w:rsidRPr="00D67F50" w:rsidRDefault="00D67F50">
      <w:pPr>
        <w:pStyle w:val="TOC3"/>
        <w:tabs>
          <w:tab w:val="right" w:leader="dot" w:pos="9350"/>
        </w:tabs>
        <w:rPr>
          <w:rFonts w:asciiTheme="minorHAnsi" w:eastAsiaTheme="minorEastAsia" w:hAnsiTheme="minorHAnsi" w:cstheme="minorBidi"/>
          <w:noProof/>
          <w:sz w:val="22"/>
          <w:szCs w:val="22"/>
        </w:rPr>
      </w:pPr>
      <w:hyperlink w:anchor="_Toc395979706" w:history="1">
        <w:r w:rsidRPr="00D67F50">
          <w:rPr>
            <w:rStyle w:val="Hyperlink"/>
            <w:rFonts w:asciiTheme="minorHAnsi" w:hAnsiTheme="minorHAnsi"/>
            <w:noProof/>
          </w:rPr>
          <w:t>2.4 Evaluation of the accuracy of asset-based poverty classification and estimation</w:t>
        </w:r>
        <w:r w:rsidRPr="00D67F50">
          <w:rPr>
            <w:rFonts w:asciiTheme="minorHAnsi" w:hAnsiTheme="minorHAnsi"/>
            <w:noProof/>
            <w:webHidden/>
          </w:rPr>
          <w:tab/>
        </w:r>
        <w:r w:rsidRPr="00D67F50">
          <w:rPr>
            <w:rFonts w:asciiTheme="minorHAnsi" w:hAnsiTheme="minorHAnsi"/>
            <w:noProof/>
            <w:webHidden/>
          </w:rPr>
          <w:fldChar w:fldCharType="begin"/>
        </w:r>
        <w:r w:rsidRPr="00D67F50">
          <w:rPr>
            <w:rFonts w:asciiTheme="minorHAnsi" w:hAnsiTheme="minorHAnsi"/>
            <w:noProof/>
            <w:webHidden/>
          </w:rPr>
          <w:instrText xml:space="preserve"> PAGEREF _Toc395979706 \h </w:instrText>
        </w:r>
        <w:r w:rsidRPr="00D67F50">
          <w:rPr>
            <w:rFonts w:asciiTheme="minorHAnsi" w:hAnsiTheme="minorHAnsi"/>
            <w:noProof/>
            <w:webHidden/>
          </w:rPr>
        </w:r>
        <w:r w:rsidRPr="00D67F50">
          <w:rPr>
            <w:rFonts w:asciiTheme="minorHAnsi" w:hAnsiTheme="minorHAnsi"/>
            <w:noProof/>
            <w:webHidden/>
          </w:rPr>
          <w:fldChar w:fldCharType="separate"/>
        </w:r>
        <w:r w:rsidRPr="00D67F50">
          <w:rPr>
            <w:rFonts w:asciiTheme="minorHAnsi" w:hAnsiTheme="minorHAnsi"/>
            <w:noProof/>
            <w:webHidden/>
          </w:rPr>
          <w:t>14</w:t>
        </w:r>
        <w:r w:rsidRPr="00D67F50">
          <w:rPr>
            <w:rFonts w:asciiTheme="minorHAnsi" w:hAnsiTheme="minorHAnsi"/>
            <w:noProof/>
            <w:webHidden/>
          </w:rPr>
          <w:fldChar w:fldCharType="end"/>
        </w:r>
      </w:hyperlink>
    </w:p>
    <w:p w:rsidR="00D67F50" w:rsidRPr="00D67F50" w:rsidRDefault="00D67F50">
      <w:pPr>
        <w:pStyle w:val="TOC1"/>
        <w:tabs>
          <w:tab w:val="right" w:leader="dot" w:pos="9350"/>
        </w:tabs>
        <w:rPr>
          <w:rFonts w:asciiTheme="minorHAnsi" w:eastAsiaTheme="minorEastAsia" w:hAnsiTheme="minorHAnsi" w:cstheme="minorBidi"/>
          <w:noProof/>
          <w:sz w:val="22"/>
          <w:szCs w:val="22"/>
        </w:rPr>
      </w:pPr>
      <w:hyperlink w:anchor="_Toc395979707" w:history="1">
        <w:r w:rsidRPr="00D67F50">
          <w:rPr>
            <w:rStyle w:val="Hyperlink"/>
            <w:rFonts w:asciiTheme="minorHAnsi" w:hAnsiTheme="minorHAnsi"/>
            <w:noProof/>
          </w:rPr>
          <w:t>3.  Combining information from the HFIAS and FCS to classify households into food consumption groups</w:t>
        </w:r>
        <w:r w:rsidRPr="00D67F50">
          <w:rPr>
            <w:rFonts w:asciiTheme="minorHAnsi" w:hAnsiTheme="minorHAnsi"/>
            <w:noProof/>
            <w:webHidden/>
          </w:rPr>
          <w:tab/>
        </w:r>
        <w:r w:rsidRPr="00D67F50">
          <w:rPr>
            <w:rFonts w:asciiTheme="minorHAnsi" w:hAnsiTheme="minorHAnsi"/>
            <w:noProof/>
            <w:webHidden/>
          </w:rPr>
          <w:fldChar w:fldCharType="begin"/>
        </w:r>
        <w:r w:rsidRPr="00D67F50">
          <w:rPr>
            <w:rFonts w:asciiTheme="minorHAnsi" w:hAnsiTheme="minorHAnsi"/>
            <w:noProof/>
            <w:webHidden/>
          </w:rPr>
          <w:instrText xml:space="preserve"> PAGEREF _Toc395979707 \h </w:instrText>
        </w:r>
        <w:r w:rsidRPr="00D67F50">
          <w:rPr>
            <w:rFonts w:asciiTheme="minorHAnsi" w:hAnsiTheme="minorHAnsi"/>
            <w:noProof/>
            <w:webHidden/>
          </w:rPr>
        </w:r>
        <w:r w:rsidRPr="00D67F50">
          <w:rPr>
            <w:rFonts w:asciiTheme="minorHAnsi" w:hAnsiTheme="minorHAnsi"/>
            <w:noProof/>
            <w:webHidden/>
          </w:rPr>
          <w:fldChar w:fldCharType="separate"/>
        </w:r>
        <w:r w:rsidRPr="00D67F50">
          <w:rPr>
            <w:rFonts w:asciiTheme="minorHAnsi" w:hAnsiTheme="minorHAnsi"/>
            <w:noProof/>
            <w:webHidden/>
          </w:rPr>
          <w:t>22</w:t>
        </w:r>
        <w:r w:rsidRPr="00D67F50">
          <w:rPr>
            <w:rFonts w:asciiTheme="minorHAnsi" w:hAnsiTheme="minorHAnsi"/>
            <w:noProof/>
            <w:webHidden/>
          </w:rPr>
          <w:fldChar w:fldCharType="end"/>
        </w:r>
      </w:hyperlink>
    </w:p>
    <w:p w:rsidR="00D67F50" w:rsidRPr="00D67F50" w:rsidRDefault="00D67F50">
      <w:pPr>
        <w:pStyle w:val="TOC3"/>
        <w:tabs>
          <w:tab w:val="right" w:leader="dot" w:pos="9350"/>
        </w:tabs>
        <w:rPr>
          <w:rFonts w:asciiTheme="minorHAnsi" w:eastAsiaTheme="minorEastAsia" w:hAnsiTheme="minorHAnsi" w:cstheme="minorBidi"/>
          <w:noProof/>
          <w:sz w:val="22"/>
          <w:szCs w:val="22"/>
        </w:rPr>
      </w:pPr>
      <w:hyperlink w:anchor="_Toc395979708" w:history="1">
        <w:r w:rsidRPr="00D67F50">
          <w:rPr>
            <w:rStyle w:val="Hyperlink"/>
            <w:rFonts w:asciiTheme="minorHAnsi" w:hAnsiTheme="minorHAnsi"/>
            <w:noProof/>
          </w:rPr>
          <w:t>3.1    Measure of insufficient dietary quantity</w:t>
        </w:r>
        <w:r w:rsidRPr="00D67F50">
          <w:rPr>
            <w:rFonts w:asciiTheme="minorHAnsi" w:hAnsiTheme="minorHAnsi"/>
            <w:noProof/>
            <w:webHidden/>
          </w:rPr>
          <w:tab/>
        </w:r>
        <w:r w:rsidRPr="00D67F50">
          <w:rPr>
            <w:rFonts w:asciiTheme="minorHAnsi" w:hAnsiTheme="minorHAnsi"/>
            <w:noProof/>
            <w:webHidden/>
          </w:rPr>
          <w:fldChar w:fldCharType="begin"/>
        </w:r>
        <w:r w:rsidRPr="00D67F50">
          <w:rPr>
            <w:rFonts w:asciiTheme="minorHAnsi" w:hAnsiTheme="minorHAnsi"/>
            <w:noProof/>
            <w:webHidden/>
          </w:rPr>
          <w:instrText xml:space="preserve"> PAGEREF _Toc395979708 \h </w:instrText>
        </w:r>
        <w:r w:rsidRPr="00D67F50">
          <w:rPr>
            <w:rFonts w:asciiTheme="minorHAnsi" w:hAnsiTheme="minorHAnsi"/>
            <w:noProof/>
            <w:webHidden/>
          </w:rPr>
        </w:r>
        <w:r w:rsidRPr="00D67F50">
          <w:rPr>
            <w:rFonts w:asciiTheme="minorHAnsi" w:hAnsiTheme="minorHAnsi"/>
            <w:noProof/>
            <w:webHidden/>
          </w:rPr>
          <w:fldChar w:fldCharType="separate"/>
        </w:r>
        <w:r w:rsidRPr="00D67F50">
          <w:rPr>
            <w:rFonts w:asciiTheme="minorHAnsi" w:hAnsiTheme="minorHAnsi"/>
            <w:noProof/>
            <w:webHidden/>
          </w:rPr>
          <w:t>22</w:t>
        </w:r>
        <w:r w:rsidRPr="00D67F50">
          <w:rPr>
            <w:rFonts w:asciiTheme="minorHAnsi" w:hAnsiTheme="minorHAnsi"/>
            <w:noProof/>
            <w:webHidden/>
          </w:rPr>
          <w:fldChar w:fldCharType="end"/>
        </w:r>
      </w:hyperlink>
    </w:p>
    <w:p w:rsidR="00D67F50" w:rsidRPr="00D67F50" w:rsidRDefault="00D67F50">
      <w:pPr>
        <w:pStyle w:val="TOC3"/>
        <w:tabs>
          <w:tab w:val="right" w:leader="dot" w:pos="9350"/>
        </w:tabs>
        <w:rPr>
          <w:rFonts w:asciiTheme="minorHAnsi" w:eastAsiaTheme="minorEastAsia" w:hAnsiTheme="minorHAnsi" w:cstheme="minorBidi"/>
          <w:noProof/>
          <w:sz w:val="22"/>
          <w:szCs w:val="22"/>
        </w:rPr>
      </w:pPr>
      <w:hyperlink w:anchor="_Toc395979709" w:history="1">
        <w:r w:rsidRPr="00D67F50">
          <w:rPr>
            <w:rStyle w:val="Hyperlink"/>
            <w:rFonts w:asciiTheme="minorHAnsi" w:hAnsiTheme="minorHAnsi"/>
            <w:noProof/>
          </w:rPr>
          <w:t>3.2    Measure of inadequate dietary quality</w:t>
        </w:r>
        <w:r w:rsidRPr="00D67F50">
          <w:rPr>
            <w:rFonts w:asciiTheme="minorHAnsi" w:hAnsiTheme="minorHAnsi"/>
            <w:noProof/>
            <w:webHidden/>
          </w:rPr>
          <w:tab/>
        </w:r>
        <w:r w:rsidRPr="00D67F50">
          <w:rPr>
            <w:rFonts w:asciiTheme="minorHAnsi" w:hAnsiTheme="minorHAnsi"/>
            <w:noProof/>
            <w:webHidden/>
          </w:rPr>
          <w:fldChar w:fldCharType="begin"/>
        </w:r>
        <w:r w:rsidRPr="00D67F50">
          <w:rPr>
            <w:rFonts w:asciiTheme="minorHAnsi" w:hAnsiTheme="minorHAnsi"/>
            <w:noProof/>
            <w:webHidden/>
          </w:rPr>
          <w:instrText xml:space="preserve"> PAGEREF _Toc395979709 \h </w:instrText>
        </w:r>
        <w:r w:rsidRPr="00D67F50">
          <w:rPr>
            <w:rFonts w:asciiTheme="minorHAnsi" w:hAnsiTheme="minorHAnsi"/>
            <w:noProof/>
            <w:webHidden/>
          </w:rPr>
        </w:r>
        <w:r w:rsidRPr="00D67F50">
          <w:rPr>
            <w:rFonts w:asciiTheme="minorHAnsi" w:hAnsiTheme="minorHAnsi"/>
            <w:noProof/>
            <w:webHidden/>
          </w:rPr>
          <w:fldChar w:fldCharType="separate"/>
        </w:r>
        <w:r w:rsidRPr="00D67F50">
          <w:rPr>
            <w:rFonts w:asciiTheme="minorHAnsi" w:hAnsiTheme="minorHAnsi"/>
            <w:noProof/>
            <w:webHidden/>
          </w:rPr>
          <w:t>23</w:t>
        </w:r>
        <w:r w:rsidRPr="00D67F50">
          <w:rPr>
            <w:rFonts w:asciiTheme="minorHAnsi" w:hAnsiTheme="minorHAnsi"/>
            <w:noProof/>
            <w:webHidden/>
          </w:rPr>
          <w:fldChar w:fldCharType="end"/>
        </w:r>
      </w:hyperlink>
    </w:p>
    <w:p w:rsidR="00D67F50" w:rsidRPr="00D67F50" w:rsidRDefault="00D67F50">
      <w:pPr>
        <w:pStyle w:val="TOC3"/>
        <w:tabs>
          <w:tab w:val="right" w:leader="dot" w:pos="9350"/>
        </w:tabs>
        <w:rPr>
          <w:rFonts w:asciiTheme="minorHAnsi" w:eastAsiaTheme="minorEastAsia" w:hAnsiTheme="minorHAnsi" w:cstheme="minorBidi"/>
          <w:noProof/>
          <w:sz w:val="22"/>
          <w:szCs w:val="22"/>
        </w:rPr>
      </w:pPr>
      <w:hyperlink w:anchor="_Toc395979710" w:history="1">
        <w:r w:rsidRPr="00D67F50">
          <w:rPr>
            <w:rStyle w:val="Hyperlink"/>
            <w:rFonts w:asciiTheme="minorHAnsi" w:hAnsiTheme="minorHAnsi"/>
            <w:noProof/>
          </w:rPr>
          <w:t>3.2    Measure of insufficient dietary quality</w:t>
        </w:r>
        <w:r w:rsidRPr="00D67F50">
          <w:rPr>
            <w:rFonts w:asciiTheme="minorHAnsi" w:hAnsiTheme="minorHAnsi"/>
            <w:noProof/>
            <w:webHidden/>
          </w:rPr>
          <w:tab/>
        </w:r>
        <w:r w:rsidRPr="00D67F50">
          <w:rPr>
            <w:rFonts w:asciiTheme="minorHAnsi" w:hAnsiTheme="minorHAnsi"/>
            <w:noProof/>
            <w:webHidden/>
          </w:rPr>
          <w:fldChar w:fldCharType="begin"/>
        </w:r>
        <w:r w:rsidRPr="00D67F50">
          <w:rPr>
            <w:rFonts w:asciiTheme="minorHAnsi" w:hAnsiTheme="minorHAnsi"/>
            <w:noProof/>
            <w:webHidden/>
          </w:rPr>
          <w:instrText xml:space="preserve"> PAGEREF _Toc395979710 \h </w:instrText>
        </w:r>
        <w:r w:rsidRPr="00D67F50">
          <w:rPr>
            <w:rFonts w:asciiTheme="minorHAnsi" w:hAnsiTheme="minorHAnsi"/>
            <w:noProof/>
            <w:webHidden/>
          </w:rPr>
        </w:r>
        <w:r w:rsidRPr="00D67F50">
          <w:rPr>
            <w:rFonts w:asciiTheme="minorHAnsi" w:hAnsiTheme="minorHAnsi"/>
            <w:noProof/>
            <w:webHidden/>
          </w:rPr>
          <w:fldChar w:fldCharType="separate"/>
        </w:r>
        <w:r w:rsidRPr="00D67F50">
          <w:rPr>
            <w:rFonts w:asciiTheme="minorHAnsi" w:hAnsiTheme="minorHAnsi"/>
            <w:noProof/>
            <w:webHidden/>
          </w:rPr>
          <w:t>23</w:t>
        </w:r>
        <w:r w:rsidRPr="00D67F50">
          <w:rPr>
            <w:rFonts w:asciiTheme="minorHAnsi" w:hAnsiTheme="minorHAnsi"/>
            <w:noProof/>
            <w:webHidden/>
          </w:rPr>
          <w:fldChar w:fldCharType="end"/>
        </w:r>
      </w:hyperlink>
    </w:p>
    <w:p w:rsidR="00D67F50" w:rsidRPr="00D67F50" w:rsidRDefault="00D67F50">
      <w:pPr>
        <w:pStyle w:val="TOC3"/>
        <w:tabs>
          <w:tab w:val="right" w:leader="dot" w:pos="9350"/>
        </w:tabs>
        <w:rPr>
          <w:rFonts w:asciiTheme="minorHAnsi" w:eastAsiaTheme="minorEastAsia" w:hAnsiTheme="minorHAnsi" w:cstheme="minorBidi"/>
          <w:noProof/>
          <w:sz w:val="22"/>
          <w:szCs w:val="22"/>
        </w:rPr>
      </w:pPr>
      <w:hyperlink w:anchor="_Toc395979711" w:history="1">
        <w:r w:rsidRPr="00D67F50">
          <w:rPr>
            <w:rStyle w:val="Hyperlink"/>
            <w:rFonts w:asciiTheme="minorHAnsi" w:hAnsiTheme="minorHAnsi"/>
            <w:noProof/>
          </w:rPr>
          <w:t>3.3    Recommended method for classifying households into food consumption groups</w:t>
        </w:r>
        <w:r w:rsidRPr="00D67F50">
          <w:rPr>
            <w:rFonts w:asciiTheme="minorHAnsi" w:hAnsiTheme="minorHAnsi"/>
            <w:noProof/>
            <w:webHidden/>
          </w:rPr>
          <w:tab/>
        </w:r>
        <w:r w:rsidRPr="00D67F50">
          <w:rPr>
            <w:rFonts w:asciiTheme="minorHAnsi" w:hAnsiTheme="minorHAnsi"/>
            <w:noProof/>
            <w:webHidden/>
          </w:rPr>
          <w:fldChar w:fldCharType="begin"/>
        </w:r>
        <w:r w:rsidRPr="00D67F50">
          <w:rPr>
            <w:rFonts w:asciiTheme="minorHAnsi" w:hAnsiTheme="minorHAnsi"/>
            <w:noProof/>
            <w:webHidden/>
          </w:rPr>
          <w:instrText xml:space="preserve"> PAGEREF _Toc395979711 \h </w:instrText>
        </w:r>
        <w:r w:rsidRPr="00D67F50">
          <w:rPr>
            <w:rFonts w:asciiTheme="minorHAnsi" w:hAnsiTheme="minorHAnsi"/>
            <w:noProof/>
            <w:webHidden/>
          </w:rPr>
        </w:r>
        <w:r w:rsidRPr="00D67F50">
          <w:rPr>
            <w:rFonts w:asciiTheme="minorHAnsi" w:hAnsiTheme="minorHAnsi"/>
            <w:noProof/>
            <w:webHidden/>
          </w:rPr>
          <w:fldChar w:fldCharType="separate"/>
        </w:r>
        <w:r w:rsidRPr="00D67F50">
          <w:rPr>
            <w:rFonts w:asciiTheme="minorHAnsi" w:hAnsiTheme="minorHAnsi"/>
            <w:noProof/>
            <w:webHidden/>
          </w:rPr>
          <w:t>24</w:t>
        </w:r>
        <w:r w:rsidRPr="00D67F50">
          <w:rPr>
            <w:rFonts w:asciiTheme="minorHAnsi" w:hAnsiTheme="minorHAnsi"/>
            <w:noProof/>
            <w:webHidden/>
          </w:rPr>
          <w:fldChar w:fldCharType="end"/>
        </w:r>
      </w:hyperlink>
    </w:p>
    <w:p w:rsidR="00D67F50" w:rsidRPr="00D67F50" w:rsidRDefault="00D67F50">
      <w:pPr>
        <w:pStyle w:val="TOC1"/>
        <w:tabs>
          <w:tab w:val="right" w:leader="dot" w:pos="9350"/>
        </w:tabs>
        <w:rPr>
          <w:rFonts w:asciiTheme="minorHAnsi" w:eastAsiaTheme="minorEastAsia" w:hAnsiTheme="minorHAnsi" w:cstheme="minorBidi"/>
          <w:noProof/>
          <w:sz w:val="22"/>
          <w:szCs w:val="22"/>
        </w:rPr>
      </w:pPr>
      <w:hyperlink w:anchor="_Toc395979712" w:history="1">
        <w:r w:rsidRPr="00D67F50">
          <w:rPr>
            <w:rStyle w:val="Hyperlink"/>
            <w:rFonts w:asciiTheme="minorHAnsi" w:hAnsiTheme="minorHAnsi"/>
            <w:noProof/>
          </w:rPr>
          <w:t>4.  Improved measure of resilience</w:t>
        </w:r>
        <w:r w:rsidRPr="00D67F50">
          <w:rPr>
            <w:rFonts w:asciiTheme="minorHAnsi" w:hAnsiTheme="minorHAnsi"/>
            <w:noProof/>
            <w:webHidden/>
          </w:rPr>
          <w:tab/>
        </w:r>
        <w:r w:rsidRPr="00D67F50">
          <w:rPr>
            <w:rFonts w:asciiTheme="minorHAnsi" w:hAnsiTheme="minorHAnsi"/>
            <w:noProof/>
            <w:webHidden/>
          </w:rPr>
          <w:fldChar w:fldCharType="begin"/>
        </w:r>
        <w:r w:rsidRPr="00D67F50">
          <w:rPr>
            <w:rFonts w:asciiTheme="minorHAnsi" w:hAnsiTheme="minorHAnsi"/>
            <w:noProof/>
            <w:webHidden/>
          </w:rPr>
          <w:instrText xml:space="preserve"> PAGEREF _Toc395979712 \h </w:instrText>
        </w:r>
        <w:r w:rsidRPr="00D67F50">
          <w:rPr>
            <w:rFonts w:asciiTheme="minorHAnsi" w:hAnsiTheme="minorHAnsi"/>
            <w:noProof/>
            <w:webHidden/>
          </w:rPr>
        </w:r>
        <w:r w:rsidRPr="00D67F50">
          <w:rPr>
            <w:rFonts w:asciiTheme="minorHAnsi" w:hAnsiTheme="minorHAnsi"/>
            <w:noProof/>
            <w:webHidden/>
          </w:rPr>
          <w:fldChar w:fldCharType="separate"/>
        </w:r>
        <w:r w:rsidRPr="00D67F50">
          <w:rPr>
            <w:rFonts w:asciiTheme="minorHAnsi" w:hAnsiTheme="minorHAnsi"/>
            <w:noProof/>
            <w:webHidden/>
          </w:rPr>
          <w:t>26</w:t>
        </w:r>
        <w:r w:rsidRPr="00D67F50">
          <w:rPr>
            <w:rFonts w:asciiTheme="minorHAnsi" w:hAnsiTheme="minorHAnsi"/>
            <w:noProof/>
            <w:webHidden/>
          </w:rPr>
          <w:fldChar w:fldCharType="end"/>
        </w:r>
      </w:hyperlink>
    </w:p>
    <w:p w:rsidR="00D67F50" w:rsidRPr="00D67F50" w:rsidRDefault="00D67F50">
      <w:pPr>
        <w:pStyle w:val="TOC3"/>
        <w:tabs>
          <w:tab w:val="right" w:leader="dot" w:pos="9350"/>
        </w:tabs>
        <w:rPr>
          <w:rFonts w:asciiTheme="minorHAnsi" w:eastAsiaTheme="minorEastAsia" w:hAnsiTheme="minorHAnsi" w:cstheme="minorBidi"/>
          <w:noProof/>
          <w:sz w:val="22"/>
          <w:szCs w:val="22"/>
        </w:rPr>
      </w:pPr>
      <w:hyperlink w:anchor="_Toc395979713" w:history="1">
        <w:r w:rsidRPr="00D67F50">
          <w:rPr>
            <w:rStyle w:val="Hyperlink"/>
            <w:rFonts w:asciiTheme="minorHAnsi" w:hAnsiTheme="minorHAnsi"/>
            <w:noProof/>
          </w:rPr>
          <w:t>4.1   Proposed new measure of resilience</w:t>
        </w:r>
        <w:r w:rsidRPr="00D67F50">
          <w:rPr>
            <w:rFonts w:asciiTheme="minorHAnsi" w:hAnsiTheme="minorHAnsi"/>
            <w:noProof/>
            <w:webHidden/>
          </w:rPr>
          <w:tab/>
        </w:r>
        <w:r w:rsidRPr="00D67F50">
          <w:rPr>
            <w:rFonts w:asciiTheme="minorHAnsi" w:hAnsiTheme="minorHAnsi"/>
            <w:noProof/>
            <w:webHidden/>
          </w:rPr>
          <w:fldChar w:fldCharType="begin"/>
        </w:r>
        <w:r w:rsidRPr="00D67F50">
          <w:rPr>
            <w:rFonts w:asciiTheme="minorHAnsi" w:hAnsiTheme="minorHAnsi"/>
            <w:noProof/>
            <w:webHidden/>
          </w:rPr>
          <w:instrText xml:space="preserve"> PAGEREF _Toc395979713 \h </w:instrText>
        </w:r>
        <w:r w:rsidRPr="00D67F50">
          <w:rPr>
            <w:rFonts w:asciiTheme="minorHAnsi" w:hAnsiTheme="minorHAnsi"/>
            <w:noProof/>
            <w:webHidden/>
          </w:rPr>
        </w:r>
        <w:r w:rsidRPr="00D67F50">
          <w:rPr>
            <w:rFonts w:asciiTheme="minorHAnsi" w:hAnsiTheme="minorHAnsi"/>
            <w:noProof/>
            <w:webHidden/>
          </w:rPr>
          <w:fldChar w:fldCharType="separate"/>
        </w:r>
        <w:r w:rsidRPr="00D67F50">
          <w:rPr>
            <w:rFonts w:asciiTheme="minorHAnsi" w:hAnsiTheme="minorHAnsi"/>
            <w:noProof/>
            <w:webHidden/>
          </w:rPr>
          <w:t>26</w:t>
        </w:r>
        <w:r w:rsidRPr="00D67F50">
          <w:rPr>
            <w:rFonts w:asciiTheme="minorHAnsi" w:hAnsiTheme="minorHAnsi"/>
            <w:noProof/>
            <w:webHidden/>
          </w:rPr>
          <w:fldChar w:fldCharType="end"/>
        </w:r>
      </w:hyperlink>
    </w:p>
    <w:p w:rsidR="00D67F50" w:rsidRPr="00D67F50" w:rsidRDefault="00D67F50">
      <w:pPr>
        <w:pStyle w:val="TOC3"/>
        <w:tabs>
          <w:tab w:val="right" w:leader="dot" w:pos="9350"/>
        </w:tabs>
        <w:rPr>
          <w:rFonts w:asciiTheme="minorHAnsi" w:eastAsiaTheme="minorEastAsia" w:hAnsiTheme="minorHAnsi" w:cstheme="minorBidi"/>
          <w:noProof/>
          <w:sz w:val="22"/>
          <w:szCs w:val="22"/>
        </w:rPr>
      </w:pPr>
      <w:hyperlink w:anchor="_Toc395979714" w:history="1">
        <w:r w:rsidRPr="00D67F50">
          <w:rPr>
            <w:rStyle w:val="Hyperlink"/>
            <w:rFonts w:asciiTheme="minorHAnsi" w:hAnsiTheme="minorHAnsi"/>
            <w:noProof/>
          </w:rPr>
          <w:t>4.2   Implications for measuring food security of including asset ownership  in measures of both poverty and resilience</w:t>
        </w:r>
        <w:r w:rsidRPr="00D67F50">
          <w:rPr>
            <w:rFonts w:asciiTheme="minorHAnsi" w:hAnsiTheme="minorHAnsi"/>
            <w:noProof/>
            <w:webHidden/>
          </w:rPr>
          <w:tab/>
        </w:r>
        <w:r w:rsidRPr="00D67F50">
          <w:rPr>
            <w:rFonts w:asciiTheme="minorHAnsi" w:hAnsiTheme="minorHAnsi"/>
            <w:noProof/>
            <w:webHidden/>
          </w:rPr>
          <w:fldChar w:fldCharType="begin"/>
        </w:r>
        <w:r w:rsidRPr="00D67F50">
          <w:rPr>
            <w:rFonts w:asciiTheme="minorHAnsi" w:hAnsiTheme="minorHAnsi"/>
            <w:noProof/>
            <w:webHidden/>
          </w:rPr>
          <w:instrText xml:space="preserve"> PAGEREF _Toc395979714 \h </w:instrText>
        </w:r>
        <w:r w:rsidRPr="00D67F50">
          <w:rPr>
            <w:rFonts w:asciiTheme="minorHAnsi" w:hAnsiTheme="minorHAnsi"/>
            <w:noProof/>
            <w:webHidden/>
          </w:rPr>
        </w:r>
        <w:r w:rsidRPr="00D67F50">
          <w:rPr>
            <w:rFonts w:asciiTheme="minorHAnsi" w:hAnsiTheme="minorHAnsi"/>
            <w:noProof/>
            <w:webHidden/>
          </w:rPr>
          <w:fldChar w:fldCharType="separate"/>
        </w:r>
        <w:r w:rsidRPr="00D67F50">
          <w:rPr>
            <w:rFonts w:asciiTheme="minorHAnsi" w:hAnsiTheme="minorHAnsi"/>
            <w:noProof/>
            <w:webHidden/>
          </w:rPr>
          <w:t>29</w:t>
        </w:r>
        <w:r w:rsidRPr="00D67F50">
          <w:rPr>
            <w:rFonts w:asciiTheme="minorHAnsi" w:hAnsiTheme="minorHAnsi"/>
            <w:noProof/>
            <w:webHidden/>
          </w:rPr>
          <w:fldChar w:fldCharType="end"/>
        </w:r>
      </w:hyperlink>
    </w:p>
    <w:p w:rsidR="00D67F50" w:rsidRPr="00D67F50" w:rsidRDefault="00D67F50">
      <w:pPr>
        <w:pStyle w:val="TOC1"/>
        <w:tabs>
          <w:tab w:val="right" w:leader="dot" w:pos="9350"/>
        </w:tabs>
        <w:rPr>
          <w:rFonts w:asciiTheme="minorHAnsi" w:eastAsiaTheme="minorEastAsia" w:hAnsiTheme="minorHAnsi" w:cstheme="minorBidi"/>
          <w:noProof/>
          <w:sz w:val="22"/>
          <w:szCs w:val="22"/>
        </w:rPr>
      </w:pPr>
      <w:hyperlink w:anchor="_Toc395979715" w:history="1">
        <w:r w:rsidRPr="00D67F50">
          <w:rPr>
            <w:rStyle w:val="Hyperlink"/>
            <w:rFonts w:asciiTheme="minorHAnsi" w:hAnsiTheme="minorHAnsi"/>
            <w:noProof/>
          </w:rPr>
          <w:t>5.  Update of the definitions and terminologies of the SEFSec food security groups</w:t>
        </w:r>
        <w:r w:rsidRPr="00D67F50">
          <w:rPr>
            <w:rFonts w:asciiTheme="minorHAnsi" w:hAnsiTheme="minorHAnsi"/>
            <w:noProof/>
            <w:webHidden/>
          </w:rPr>
          <w:tab/>
        </w:r>
        <w:r w:rsidRPr="00D67F50">
          <w:rPr>
            <w:rFonts w:asciiTheme="minorHAnsi" w:hAnsiTheme="minorHAnsi"/>
            <w:noProof/>
            <w:webHidden/>
          </w:rPr>
          <w:fldChar w:fldCharType="begin"/>
        </w:r>
        <w:r w:rsidRPr="00D67F50">
          <w:rPr>
            <w:rFonts w:asciiTheme="minorHAnsi" w:hAnsiTheme="minorHAnsi"/>
            <w:noProof/>
            <w:webHidden/>
          </w:rPr>
          <w:instrText xml:space="preserve"> PAGEREF _Toc395979715 \h </w:instrText>
        </w:r>
        <w:r w:rsidRPr="00D67F50">
          <w:rPr>
            <w:rFonts w:asciiTheme="minorHAnsi" w:hAnsiTheme="minorHAnsi"/>
            <w:noProof/>
            <w:webHidden/>
          </w:rPr>
        </w:r>
        <w:r w:rsidRPr="00D67F50">
          <w:rPr>
            <w:rFonts w:asciiTheme="minorHAnsi" w:hAnsiTheme="minorHAnsi"/>
            <w:noProof/>
            <w:webHidden/>
          </w:rPr>
          <w:fldChar w:fldCharType="separate"/>
        </w:r>
        <w:r w:rsidRPr="00D67F50">
          <w:rPr>
            <w:rFonts w:asciiTheme="minorHAnsi" w:hAnsiTheme="minorHAnsi"/>
            <w:noProof/>
            <w:webHidden/>
          </w:rPr>
          <w:t>31</w:t>
        </w:r>
        <w:r w:rsidRPr="00D67F50">
          <w:rPr>
            <w:rFonts w:asciiTheme="minorHAnsi" w:hAnsiTheme="minorHAnsi"/>
            <w:noProof/>
            <w:webHidden/>
          </w:rPr>
          <w:fldChar w:fldCharType="end"/>
        </w:r>
      </w:hyperlink>
    </w:p>
    <w:p w:rsidR="00D67F50" w:rsidRPr="00D67F50" w:rsidRDefault="00D67F50">
      <w:pPr>
        <w:pStyle w:val="TOC1"/>
        <w:tabs>
          <w:tab w:val="right" w:leader="dot" w:pos="9350"/>
        </w:tabs>
        <w:rPr>
          <w:rFonts w:asciiTheme="minorHAnsi" w:eastAsiaTheme="minorEastAsia" w:hAnsiTheme="minorHAnsi" w:cstheme="minorBidi"/>
          <w:noProof/>
          <w:sz w:val="22"/>
          <w:szCs w:val="22"/>
        </w:rPr>
      </w:pPr>
      <w:hyperlink w:anchor="_Toc395979716" w:history="1">
        <w:r w:rsidRPr="00D67F50">
          <w:rPr>
            <w:rStyle w:val="Hyperlink"/>
            <w:rFonts w:asciiTheme="minorHAnsi" w:hAnsiTheme="minorHAnsi"/>
            <w:noProof/>
          </w:rPr>
          <w:t>6.  Assessment of options for measuring pre-assistance food insecurity rates</w:t>
        </w:r>
        <w:r w:rsidRPr="00D67F50">
          <w:rPr>
            <w:rFonts w:asciiTheme="minorHAnsi" w:hAnsiTheme="minorHAnsi"/>
            <w:noProof/>
            <w:webHidden/>
          </w:rPr>
          <w:tab/>
        </w:r>
        <w:r w:rsidRPr="00D67F50">
          <w:rPr>
            <w:rFonts w:asciiTheme="minorHAnsi" w:hAnsiTheme="minorHAnsi"/>
            <w:noProof/>
            <w:webHidden/>
          </w:rPr>
          <w:fldChar w:fldCharType="begin"/>
        </w:r>
        <w:r w:rsidRPr="00D67F50">
          <w:rPr>
            <w:rFonts w:asciiTheme="minorHAnsi" w:hAnsiTheme="minorHAnsi"/>
            <w:noProof/>
            <w:webHidden/>
          </w:rPr>
          <w:instrText xml:space="preserve"> PAGEREF _Toc395979716 \h </w:instrText>
        </w:r>
        <w:r w:rsidRPr="00D67F50">
          <w:rPr>
            <w:rFonts w:asciiTheme="minorHAnsi" w:hAnsiTheme="minorHAnsi"/>
            <w:noProof/>
            <w:webHidden/>
          </w:rPr>
        </w:r>
        <w:r w:rsidRPr="00D67F50">
          <w:rPr>
            <w:rFonts w:asciiTheme="minorHAnsi" w:hAnsiTheme="minorHAnsi"/>
            <w:noProof/>
            <w:webHidden/>
          </w:rPr>
          <w:fldChar w:fldCharType="separate"/>
        </w:r>
        <w:r w:rsidRPr="00D67F50">
          <w:rPr>
            <w:rFonts w:asciiTheme="minorHAnsi" w:hAnsiTheme="minorHAnsi"/>
            <w:noProof/>
            <w:webHidden/>
          </w:rPr>
          <w:t>33</w:t>
        </w:r>
        <w:r w:rsidRPr="00D67F50">
          <w:rPr>
            <w:rFonts w:asciiTheme="minorHAnsi" w:hAnsiTheme="minorHAnsi"/>
            <w:noProof/>
            <w:webHidden/>
          </w:rPr>
          <w:fldChar w:fldCharType="end"/>
        </w:r>
      </w:hyperlink>
    </w:p>
    <w:p w:rsidR="00D67F50" w:rsidRPr="00D67F50" w:rsidRDefault="00D67F50">
      <w:pPr>
        <w:pStyle w:val="TOC1"/>
        <w:tabs>
          <w:tab w:val="right" w:leader="dot" w:pos="9350"/>
        </w:tabs>
        <w:rPr>
          <w:rFonts w:asciiTheme="minorHAnsi" w:eastAsiaTheme="minorEastAsia" w:hAnsiTheme="minorHAnsi" w:cstheme="minorBidi"/>
          <w:noProof/>
          <w:sz w:val="22"/>
          <w:szCs w:val="22"/>
        </w:rPr>
      </w:pPr>
      <w:hyperlink w:anchor="_Toc395979717" w:history="1">
        <w:r w:rsidRPr="00D67F50">
          <w:rPr>
            <w:rStyle w:val="Hyperlink"/>
            <w:rFonts w:asciiTheme="minorHAnsi" w:hAnsiTheme="minorHAnsi"/>
            <w:noProof/>
          </w:rPr>
          <w:t>7.  Options for refining the SEFSec expenditures module</w:t>
        </w:r>
        <w:r w:rsidRPr="00D67F50">
          <w:rPr>
            <w:rFonts w:asciiTheme="minorHAnsi" w:hAnsiTheme="minorHAnsi"/>
            <w:noProof/>
            <w:webHidden/>
          </w:rPr>
          <w:tab/>
        </w:r>
        <w:r w:rsidRPr="00D67F50">
          <w:rPr>
            <w:rFonts w:asciiTheme="minorHAnsi" w:hAnsiTheme="minorHAnsi"/>
            <w:noProof/>
            <w:webHidden/>
          </w:rPr>
          <w:fldChar w:fldCharType="begin"/>
        </w:r>
        <w:r w:rsidRPr="00D67F50">
          <w:rPr>
            <w:rFonts w:asciiTheme="minorHAnsi" w:hAnsiTheme="minorHAnsi"/>
            <w:noProof/>
            <w:webHidden/>
          </w:rPr>
          <w:instrText xml:space="preserve"> PAGEREF _Toc395979717 \h </w:instrText>
        </w:r>
        <w:r w:rsidRPr="00D67F50">
          <w:rPr>
            <w:rFonts w:asciiTheme="minorHAnsi" w:hAnsiTheme="minorHAnsi"/>
            <w:noProof/>
            <w:webHidden/>
          </w:rPr>
        </w:r>
        <w:r w:rsidRPr="00D67F50">
          <w:rPr>
            <w:rFonts w:asciiTheme="minorHAnsi" w:hAnsiTheme="minorHAnsi"/>
            <w:noProof/>
            <w:webHidden/>
          </w:rPr>
          <w:fldChar w:fldCharType="separate"/>
        </w:r>
        <w:r w:rsidRPr="00D67F50">
          <w:rPr>
            <w:rFonts w:asciiTheme="minorHAnsi" w:hAnsiTheme="minorHAnsi"/>
            <w:noProof/>
            <w:webHidden/>
          </w:rPr>
          <w:t>36</w:t>
        </w:r>
        <w:r w:rsidRPr="00D67F50">
          <w:rPr>
            <w:rFonts w:asciiTheme="minorHAnsi" w:hAnsiTheme="minorHAnsi"/>
            <w:noProof/>
            <w:webHidden/>
          </w:rPr>
          <w:fldChar w:fldCharType="end"/>
        </w:r>
      </w:hyperlink>
    </w:p>
    <w:p w:rsidR="00D67F50" w:rsidRPr="00D67F50" w:rsidRDefault="00D67F50">
      <w:pPr>
        <w:pStyle w:val="TOC1"/>
        <w:tabs>
          <w:tab w:val="right" w:leader="dot" w:pos="9350"/>
        </w:tabs>
        <w:rPr>
          <w:rFonts w:asciiTheme="minorHAnsi" w:eastAsiaTheme="minorEastAsia" w:hAnsiTheme="minorHAnsi" w:cstheme="minorBidi"/>
          <w:noProof/>
          <w:sz w:val="22"/>
          <w:szCs w:val="22"/>
        </w:rPr>
      </w:pPr>
      <w:hyperlink w:anchor="_Toc395979718" w:history="1">
        <w:r w:rsidRPr="00D67F50">
          <w:rPr>
            <w:rStyle w:val="Hyperlink"/>
            <w:rFonts w:asciiTheme="minorHAnsi" w:hAnsiTheme="minorHAnsi"/>
            <w:noProof/>
          </w:rPr>
          <w:t>8.  Recommended methodology for SEFSec food insecurity measurement</w:t>
        </w:r>
        <w:r w:rsidRPr="00D67F50">
          <w:rPr>
            <w:rFonts w:asciiTheme="minorHAnsi" w:hAnsiTheme="minorHAnsi"/>
            <w:noProof/>
            <w:webHidden/>
          </w:rPr>
          <w:tab/>
        </w:r>
        <w:r w:rsidRPr="00D67F50">
          <w:rPr>
            <w:rFonts w:asciiTheme="minorHAnsi" w:hAnsiTheme="minorHAnsi"/>
            <w:noProof/>
            <w:webHidden/>
          </w:rPr>
          <w:fldChar w:fldCharType="begin"/>
        </w:r>
        <w:r w:rsidRPr="00D67F50">
          <w:rPr>
            <w:rFonts w:asciiTheme="minorHAnsi" w:hAnsiTheme="minorHAnsi"/>
            <w:noProof/>
            <w:webHidden/>
          </w:rPr>
          <w:instrText xml:space="preserve"> PAGEREF _Toc395979718 \h </w:instrText>
        </w:r>
        <w:r w:rsidRPr="00D67F50">
          <w:rPr>
            <w:rFonts w:asciiTheme="minorHAnsi" w:hAnsiTheme="minorHAnsi"/>
            <w:noProof/>
            <w:webHidden/>
          </w:rPr>
        </w:r>
        <w:r w:rsidRPr="00D67F50">
          <w:rPr>
            <w:rFonts w:asciiTheme="minorHAnsi" w:hAnsiTheme="minorHAnsi"/>
            <w:noProof/>
            <w:webHidden/>
          </w:rPr>
          <w:fldChar w:fldCharType="separate"/>
        </w:r>
        <w:r w:rsidRPr="00D67F50">
          <w:rPr>
            <w:rFonts w:asciiTheme="minorHAnsi" w:hAnsiTheme="minorHAnsi"/>
            <w:noProof/>
            <w:webHidden/>
          </w:rPr>
          <w:t>39</w:t>
        </w:r>
        <w:r w:rsidRPr="00D67F50">
          <w:rPr>
            <w:rFonts w:asciiTheme="minorHAnsi" w:hAnsiTheme="minorHAnsi"/>
            <w:noProof/>
            <w:webHidden/>
          </w:rPr>
          <w:fldChar w:fldCharType="end"/>
        </w:r>
      </w:hyperlink>
    </w:p>
    <w:p w:rsidR="00D67F50" w:rsidRDefault="00D67F50">
      <w:pPr>
        <w:pStyle w:val="TOC1"/>
        <w:tabs>
          <w:tab w:val="right" w:leader="dot" w:pos="9350"/>
        </w:tabs>
        <w:rPr>
          <w:rFonts w:asciiTheme="minorHAnsi" w:eastAsiaTheme="minorEastAsia" w:hAnsiTheme="minorHAnsi" w:cstheme="minorBidi"/>
          <w:noProof/>
          <w:sz w:val="22"/>
          <w:szCs w:val="22"/>
        </w:rPr>
      </w:pPr>
      <w:hyperlink w:anchor="_Toc395979719" w:history="1">
        <w:r w:rsidRPr="00D67F50">
          <w:rPr>
            <w:rStyle w:val="Hyperlink"/>
            <w:rFonts w:asciiTheme="minorHAnsi" w:hAnsiTheme="minorHAnsi"/>
            <w:noProof/>
          </w:rPr>
          <w:t>References</w:t>
        </w:r>
        <w:r w:rsidRPr="00D67F50">
          <w:rPr>
            <w:rFonts w:asciiTheme="minorHAnsi" w:hAnsiTheme="minorHAnsi"/>
            <w:noProof/>
            <w:webHidden/>
          </w:rPr>
          <w:tab/>
        </w:r>
        <w:r w:rsidRPr="00D67F50">
          <w:rPr>
            <w:rFonts w:asciiTheme="minorHAnsi" w:hAnsiTheme="minorHAnsi"/>
            <w:noProof/>
            <w:webHidden/>
          </w:rPr>
          <w:fldChar w:fldCharType="begin"/>
        </w:r>
        <w:r w:rsidRPr="00D67F50">
          <w:rPr>
            <w:rFonts w:asciiTheme="minorHAnsi" w:hAnsiTheme="minorHAnsi"/>
            <w:noProof/>
            <w:webHidden/>
          </w:rPr>
          <w:instrText xml:space="preserve"> PAGEREF _Toc395979719 \h </w:instrText>
        </w:r>
        <w:r w:rsidRPr="00D67F50">
          <w:rPr>
            <w:rFonts w:asciiTheme="minorHAnsi" w:hAnsiTheme="minorHAnsi"/>
            <w:noProof/>
            <w:webHidden/>
          </w:rPr>
        </w:r>
        <w:r w:rsidRPr="00D67F50">
          <w:rPr>
            <w:rFonts w:asciiTheme="minorHAnsi" w:hAnsiTheme="minorHAnsi"/>
            <w:noProof/>
            <w:webHidden/>
          </w:rPr>
          <w:fldChar w:fldCharType="separate"/>
        </w:r>
        <w:r w:rsidRPr="00D67F50">
          <w:rPr>
            <w:rFonts w:asciiTheme="minorHAnsi" w:hAnsiTheme="minorHAnsi"/>
            <w:noProof/>
            <w:webHidden/>
          </w:rPr>
          <w:t>40</w:t>
        </w:r>
        <w:r w:rsidRPr="00D67F50">
          <w:rPr>
            <w:rFonts w:asciiTheme="minorHAnsi" w:hAnsiTheme="minorHAnsi"/>
            <w:noProof/>
            <w:webHidden/>
          </w:rPr>
          <w:fldChar w:fldCharType="end"/>
        </w:r>
      </w:hyperlink>
    </w:p>
    <w:p w:rsidR="006A2636" w:rsidRDefault="00D67F50">
      <w:pPr>
        <w:rPr>
          <w:rFonts w:asciiTheme="minorHAnsi" w:hAnsiTheme="minorHAnsi"/>
          <w:b/>
        </w:rPr>
        <w:sectPr w:rsidR="006A2636" w:rsidSect="005E06F7">
          <w:pgSz w:w="12240" w:h="15840"/>
          <w:pgMar w:top="1440" w:right="1440" w:bottom="1440" w:left="1440" w:header="720" w:footer="720" w:gutter="0"/>
          <w:pgNumType w:start="1"/>
          <w:cols w:space="720"/>
          <w:docGrid w:linePitch="360"/>
        </w:sectPr>
      </w:pPr>
      <w:r>
        <w:rPr>
          <w:rFonts w:asciiTheme="minorHAnsi" w:hAnsiTheme="minorHAnsi"/>
          <w:b/>
        </w:rPr>
        <w:fldChar w:fldCharType="end"/>
      </w:r>
      <w:r w:rsidR="0098190D" w:rsidRPr="005F6B56">
        <w:rPr>
          <w:rFonts w:asciiTheme="minorHAnsi" w:hAnsiTheme="minorHAnsi"/>
          <w:b/>
        </w:rPr>
        <w:br w:type="page"/>
      </w:r>
    </w:p>
    <w:p w:rsidR="008726DB" w:rsidRPr="00465AE7" w:rsidRDefault="008726DB" w:rsidP="0098190D">
      <w:pPr>
        <w:pStyle w:val="Heading1"/>
        <w:rPr>
          <w:rFonts w:asciiTheme="minorHAnsi" w:hAnsiTheme="minorHAnsi"/>
        </w:rPr>
      </w:pPr>
      <w:bookmarkStart w:id="0" w:name="_Toc395979692"/>
      <w:r w:rsidRPr="00465AE7">
        <w:rPr>
          <w:rFonts w:asciiTheme="minorHAnsi" w:hAnsiTheme="minorHAnsi"/>
        </w:rPr>
        <w:lastRenderedPageBreak/>
        <w:t>Acronyms</w:t>
      </w:r>
      <w:bookmarkEnd w:id="0"/>
    </w:p>
    <w:p w:rsidR="001465C4" w:rsidRDefault="001465C4">
      <w:pPr>
        <w:rPr>
          <w:rFonts w:asciiTheme="minorHAnsi" w:hAnsiTheme="minorHAnsi"/>
        </w:rPr>
      </w:pPr>
    </w:p>
    <w:tbl>
      <w:tblPr>
        <w:tblW w:w="9260" w:type="dxa"/>
        <w:tblCellMar>
          <w:left w:w="0" w:type="dxa"/>
          <w:right w:w="0" w:type="dxa"/>
        </w:tblCellMar>
        <w:tblLook w:val="04A0" w:firstRow="1" w:lastRow="0" w:firstColumn="1" w:lastColumn="0" w:noHBand="0" w:noVBand="1"/>
      </w:tblPr>
      <w:tblGrid>
        <w:gridCol w:w="877"/>
        <w:gridCol w:w="8383"/>
      </w:tblGrid>
      <w:tr w:rsidR="001465C4" w:rsidRPr="008507CE" w:rsidTr="00887E45">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1465C4" w:rsidRPr="008B70B7" w:rsidRDefault="001465C4" w:rsidP="00887E45">
            <w:pPr>
              <w:rPr>
                <w:rFonts w:asciiTheme="minorHAnsi" w:hAnsiTheme="minorHAnsi"/>
                <w:color w:val="000000"/>
              </w:rPr>
            </w:pPr>
            <w:r w:rsidRPr="008B70B7">
              <w:rPr>
                <w:rFonts w:asciiTheme="minorHAnsi" w:hAnsiTheme="minorHAnsi"/>
                <w:color w:val="000000"/>
              </w:rPr>
              <w:t>FAO</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1465C4" w:rsidRPr="008B70B7" w:rsidRDefault="001465C4" w:rsidP="00887E45">
            <w:pPr>
              <w:rPr>
                <w:rFonts w:asciiTheme="minorHAnsi" w:hAnsiTheme="minorHAnsi"/>
                <w:color w:val="000000"/>
              </w:rPr>
            </w:pPr>
            <w:r w:rsidRPr="008B70B7">
              <w:rPr>
                <w:rFonts w:asciiTheme="minorHAnsi" w:hAnsiTheme="minorHAnsi"/>
                <w:color w:val="000000"/>
                <w:lang w:val="en-GB"/>
              </w:rPr>
              <w:t xml:space="preserve">Food and Agriculture Organization of the United Nations </w:t>
            </w:r>
          </w:p>
        </w:tc>
      </w:tr>
      <w:tr w:rsidR="001465C4" w:rsidRPr="008507CE" w:rsidTr="00887E45">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1465C4" w:rsidRPr="008B70B7" w:rsidRDefault="001465C4" w:rsidP="00887E45">
            <w:pPr>
              <w:rPr>
                <w:rFonts w:asciiTheme="minorHAnsi" w:hAnsiTheme="minorHAnsi"/>
                <w:color w:val="000000"/>
              </w:rPr>
            </w:pPr>
            <w:r w:rsidRPr="008B70B7">
              <w:rPr>
                <w:rFonts w:asciiTheme="minorHAnsi" w:hAnsiTheme="minorHAnsi"/>
                <w:color w:val="000000"/>
              </w:rPr>
              <w:t>FCS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1465C4" w:rsidRPr="008B70B7" w:rsidRDefault="001465C4" w:rsidP="00887E45">
            <w:pPr>
              <w:rPr>
                <w:rFonts w:asciiTheme="minorHAnsi" w:hAnsiTheme="minorHAnsi"/>
                <w:color w:val="000000"/>
              </w:rPr>
            </w:pPr>
            <w:r w:rsidRPr="008B70B7">
              <w:rPr>
                <w:rFonts w:asciiTheme="minorHAnsi" w:hAnsiTheme="minorHAnsi"/>
                <w:color w:val="000000"/>
              </w:rPr>
              <w:t>Food Consumption Score</w:t>
            </w:r>
          </w:p>
        </w:tc>
      </w:tr>
      <w:tr w:rsidR="001465C4" w:rsidRPr="008507CE" w:rsidTr="00887E45">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1465C4" w:rsidRPr="008B70B7" w:rsidRDefault="001465C4" w:rsidP="00887E45">
            <w:pPr>
              <w:rPr>
                <w:rFonts w:asciiTheme="minorHAnsi" w:hAnsiTheme="minorHAnsi"/>
                <w:color w:val="000000"/>
              </w:rPr>
            </w:pPr>
            <w:r>
              <w:rPr>
                <w:rFonts w:asciiTheme="minorHAnsi" w:hAnsiTheme="minorHAnsi"/>
                <w:color w:val="000000"/>
              </w:rPr>
              <w:t>FSAU</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1465C4" w:rsidRPr="008B70B7" w:rsidRDefault="001465C4" w:rsidP="00887E45">
            <w:pPr>
              <w:rPr>
                <w:rFonts w:asciiTheme="minorHAnsi" w:hAnsiTheme="minorHAnsi"/>
                <w:color w:val="000000"/>
              </w:rPr>
            </w:pPr>
            <w:r>
              <w:rPr>
                <w:rFonts w:asciiTheme="minorHAnsi" w:hAnsiTheme="minorHAnsi"/>
                <w:color w:val="000000"/>
              </w:rPr>
              <w:t>Food Security Analysis Unit</w:t>
            </w:r>
          </w:p>
        </w:tc>
      </w:tr>
      <w:tr w:rsidR="001465C4" w:rsidRPr="008507CE" w:rsidTr="00887E45">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1465C4" w:rsidRPr="008B70B7" w:rsidRDefault="001465C4" w:rsidP="00887E45">
            <w:pPr>
              <w:rPr>
                <w:rFonts w:asciiTheme="minorHAnsi" w:hAnsiTheme="minorHAnsi"/>
                <w:color w:val="000000"/>
              </w:rPr>
            </w:pPr>
            <w:r w:rsidRPr="008B70B7">
              <w:rPr>
                <w:rFonts w:asciiTheme="minorHAnsi" w:hAnsiTheme="minorHAnsi"/>
                <w:color w:val="000000"/>
              </w:rPr>
              <w:t>FSIN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1465C4" w:rsidRPr="008B70B7" w:rsidRDefault="001465C4" w:rsidP="00887E45">
            <w:pPr>
              <w:rPr>
                <w:rFonts w:asciiTheme="minorHAnsi" w:hAnsiTheme="minorHAnsi"/>
                <w:color w:val="000000"/>
              </w:rPr>
            </w:pPr>
            <w:r w:rsidRPr="008B70B7">
              <w:rPr>
                <w:rFonts w:asciiTheme="minorHAnsi" w:hAnsiTheme="minorHAnsi"/>
                <w:color w:val="000000"/>
              </w:rPr>
              <w:t>Food Security Information Network</w:t>
            </w:r>
          </w:p>
        </w:tc>
      </w:tr>
      <w:tr w:rsidR="001465C4" w:rsidRPr="008507CE" w:rsidTr="00887E45">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1465C4" w:rsidRPr="008B70B7" w:rsidRDefault="001465C4" w:rsidP="00887E45">
            <w:pPr>
              <w:rPr>
                <w:rFonts w:asciiTheme="minorHAnsi" w:hAnsiTheme="minorHAnsi"/>
                <w:color w:val="000000"/>
              </w:rPr>
            </w:pPr>
            <w:r w:rsidRPr="008B70B7">
              <w:rPr>
                <w:rFonts w:asciiTheme="minorHAnsi" w:hAnsiTheme="minorHAnsi"/>
                <w:color w:val="000000"/>
              </w:rPr>
              <w:t>HCES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1465C4" w:rsidRPr="008B70B7" w:rsidRDefault="001465C4" w:rsidP="00887E45">
            <w:pPr>
              <w:rPr>
                <w:rFonts w:asciiTheme="minorHAnsi" w:hAnsiTheme="minorHAnsi"/>
                <w:color w:val="000000"/>
              </w:rPr>
            </w:pPr>
            <w:r w:rsidRPr="008B70B7">
              <w:rPr>
                <w:rFonts w:asciiTheme="minorHAnsi" w:hAnsiTheme="minorHAnsi"/>
                <w:color w:val="000000"/>
              </w:rPr>
              <w:t>Household Consumption and Expenditures Surveys</w:t>
            </w:r>
          </w:p>
        </w:tc>
      </w:tr>
      <w:tr w:rsidR="001465C4" w:rsidRPr="008507CE" w:rsidTr="00887E45">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1465C4" w:rsidRPr="008B70B7" w:rsidRDefault="001465C4" w:rsidP="00887E45">
            <w:pPr>
              <w:rPr>
                <w:rFonts w:asciiTheme="minorHAnsi" w:hAnsiTheme="minorHAnsi"/>
                <w:color w:val="000000"/>
              </w:rPr>
            </w:pPr>
            <w:r w:rsidRPr="008B70B7">
              <w:rPr>
                <w:rFonts w:asciiTheme="minorHAnsi" w:hAnsiTheme="minorHAnsi"/>
                <w:color w:val="000000"/>
              </w:rPr>
              <w:t>HFIAS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1465C4" w:rsidRPr="008B70B7" w:rsidRDefault="001465C4" w:rsidP="00887E45">
            <w:pPr>
              <w:rPr>
                <w:rFonts w:asciiTheme="minorHAnsi" w:hAnsiTheme="minorHAnsi"/>
                <w:color w:val="000000"/>
              </w:rPr>
            </w:pPr>
            <w:r w:rsidRPr="008B70B7">
              <w:rPr>
                <w:rFonts w:asciiTheme="minorHAnsi" w:hAnsiTheme="minorHAnsi"/>
                <w:color w:val="000000"/>
              </w:rPr>
              <w:t>Household food insecurity access scale</w:t>
            </w:r>
          </w:p>
        </w:tc>
      </w:tr>
      <w:tr w:rsidR="005E576B" w:rsidRPr="008507CE" w:rsidTr="00887E45">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5E576B" w:rsidRDefault="005E576B" w:rsidP="00887E45">
            <w:pPr>
              <w:rPr>
                <w:rFonts w:asciiTheme="minorHAnsi" w:hAnsiTheme="minorHAnsi"/>
                <w:color w:val="000000"/>
              </w:rPr>
            </w:pPr>
            <w:r>
              <w:rPr>
                <w:rFonts w:asciiTheme="minorHAnsi" w:hAnsiTheme="minorHAnsi"/>
                <w:color w:val="000000"/>
              </w:rPr>
              <w:t>LSMS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5E576B" w:rsidRDefault="005E576B" w:rsidP="00887E45">
            <w:pPr>
              <w:rPr>
                <w:rFonts w:asciiTheme="minorHAnsi" w:hAnsiTheme="minorHAnsi"/>
                <w:color w:val="000000"/>
              </w:rPr>
            </w:pPr>
            <w:r>
              <w:rPr>
                <w:rFonts w:asciiTheme="minorHAnsi" w:hAnsiTheme="minorHAnsi"/>
                <w:color w:val="000000"/>
              </w:rPr>
              <w:t>Living Standards Measurement Survey</w:t>
            </w:r>
          </w:p>
        </w:tc>
      </w:tr>
      <w:tr w:rsidR="001465C4" w:rsidRPr="008507CE" w:rsidTr="00887E45">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1465C4" w:rsidRPr="008B70B7" w:rsidRDefault="001465C4" w:rsidP="00887E45">
            <w:pPr>
              <w:rPr>
                <w:rFonts w:asciiTheme="minorHAnsi" w:hAnsiTheme="minorHAnsi"/>
                <w:color w:val="000000"/>
              </w:rPr>
            </w:pPr>
            <w:r>
              <w:rPr>
                <w:rFonts w:asciiTheme="minorHAnsi" w:hAnsiTheme="minorHAnsi"/>
                <w:color w:val="000000"/>
              </w:rPr>
              <w:t>NIS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1465C4" w:rsidRPr="008B70B7" w:rsidRDefault="001465C4" w:rsidP="00887E45">
            <w:pPr>
              <w:rPr>
                <w:rFonts w:asciiTheme="minorHAnsi" w:hAnsiTheme="minorHAnsi"/>
                <w:color w:val="000000"/>
              </w:rPr>
            </w:pPr>
            <w:r>
              <w:rPr>
                <w:rFonts w:asciiTheme="minorHAnsi" w:hAnsiTheme="minorHAnsi"/>
                <w:color w:val="000000"/>
              </w:rPr>
              <w:t>New Israeli Shekel</w:t>
            </w:r>
          </w:p>
        </w:tc>
      </w:tr>
      <w:tr w:rsidR="001465C4" w:rsidRPr="008507CE" w:rsidTr="00887E45">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1465C4" w:rsidRPr="008B70B7" w:rsidRDefault="001465C4" w:rsidP="00887E45">
            <w:pPr>
              <w:rPr>
                <w:rFonts w:asciiTheme="minorHAnsi" w:hAnsiTheme="minorHAnsi"/>
                <w:color w:val="000000"/>
              </w:rPr>
            </w:pPr>
            <w:r w:rsidRPr="008B70B7">
              <w:rPr>
                <w:rFonts w:asciiTheme="minorHAnsi" w:hAnsiTheme="minorHAnsi"/>
                <w:color w:val="000000"/>
              </w:rPr>
              <w:t>PCA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1465C4" w:rsidRPr="008B70B7" w:rsidRDefault="001465C4" w:rsidP="00887E45">
            <w:pPr>
              <w:rPr>
                <w:rFonts w:asciiTheme="minorHAnsi" w:hAnsiTheme="minorHAnsi"/>
                <w:color w:val="000000"/>
              </w:rPr>
            </w:pPr>
            <w:r w:rsidRPr="008B70B7">
              <w:rPr>
                <w:rFonts w:asciiTheme="minorHAnsi" w:hAnsiTheme="minorHAnsi"/>
                <w:color w:val="000000"/>
              </w:rPr>
              <w:t>Principal components analysis</w:t>
            </w:r>
          </w:p>
        </w:tc>
      </w:tr>
      <w:tr w:rsidR="001465C4" w:rsidRPr="008507CE" w:rsidTr="00887E45">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1465C4" w:rsidRPr="008B70B7" w:rsidRDefault="001465C4" w:rsidP="00887E45">
            <w:pPr>
              <w:rPr>
                <w:rFonts w:asciiTheme="minorHAnsi" w:hAnsiTheme="minorHAnsi"/>
                <w:color w:val="000000"/>
              </w:rPr>
            </w:pPr>
            <w:r w:rsidRPr="008B70B7">
              <w:rPr>
                <w:rFonts w:asciiTheme="minorHAnsi" w:hAnsiTheme="minorHAnsi"/>
                <w:color w:val="000000"/>
                <w:lang w:val="en-GB"/>
              </w:rPr>
              <w:t>PCBS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1465C4" w:rsidRPr="008B70B7" w:rsidRDefault="001465C4" w:rsidP="00887E45">
            <w:pPr>
              <w:rPr>
                <w:rFonts w:asciiTheme="minorHAnsi" w:hAnsiTheme="minorHAnsi"/>
                <w:color w:val="000000"/>
              </w:rPr>
            </w:pPr>
            <w:r w:rsidRPr="008B70B7">
              <w:rPr>
                <w:rFonts w:asciiTheme="minorHAnsi" w:hAnsiTheme="minorHAnsi"/>
                <w:color w:val="000000"/>
                <w:lang w:val="en-GB"/>
              </w:rPr>
              <w:t xml:space="preserve">Palestinian Central Bureau of Statistics </w:t>
            </w:r>
          </w:p>
        </w:tc>
      </w:tr>
      <w:tr w:rsidR="001465C4" w:rsidRPr="008507CE" w:rsidTr="00887E45">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1465C4" w:rsidRPr="008B70B7" w:rsidRDefault="001465C4" w:rsidP="00887E45">
            <w:pPr>
              <w:rPr>
                <w:rFonts w:asciiTheme="minorHAnsi" w:hAnsiTheme="minorHAnsi"/>
                <w:color w:val="000000"/>
              </w:rPr>
            </w:pPr>
            <w:r w:rsidRPr="008B70B7">
              <w:rPr>
                <w:rFonts w:asciiTheme="minorHAnsi" w:hAnsiTheme="minorHAnsi"/>
                <w:color w:val="000000"/>
              </w:rPr>
              <w:t>PECS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1465C4" w:rsidRPr="008B70B7" w:rsidRDefault="001465C4" w:rsidP="00887E45">
            <w:pPr>
              <w:rPr>
                <w:rFonts w:asciiTheme="minorHAnsi" w:hAnsiTheme="minorHAnsi"/>
                <w:color w:val="000000"/>
              </w:rPr>
            </w:pPr>
            <w:r w:rsidRPr="008B70B7">
              <w:rPr>
                <w:rFonts w:asciiTheme="minorHAnsi" w:hAnsiTheme="minorHAnsi"/>
                <w:color w:val="000000"/>
                <w:lang w:val="en-GB"/>
              </w:rPr>
              <w:t xml:space="preserve">Palestinian Expenditure and Consumption Survey </w:t>
            </w:r>
          </w:p>
        </w:tc>
      </w:tr>
      <w:tr w:rsidR="001465C4" w:rsidRPr="008507CE" w:rsidTr="00887E45">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1465C4" w:rsidRPr="008B70B7" w:rsidRDefault="001465C4" w:rsidP="00887E45">
            <w:pPr>
              <w:rPr>
                <w:rFonts w:asciiTheme="minorHAnsi" w:hAnsiTheme="minorHAnsi"/>
                <w:color w:val="000000"/>
              </w:rPr>
            </w:pPr>
            <w:r w:rsidRPr="008B70B7">
              <w:rPr>
                <w:rFonts w:asciiTheme="minorHAnsi" w:hAnsiTheme="minorHAnsi"/>
                <w:color w:val="000000"/>
              </w:rPr>
              <w:t>PMTF</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1465C4" w:rsidRPr="008B70B7" w:rsidRDefault="001465C4" w:rsidP="00887E45">
            <w:pPr>
              <w:rPr>
                <w:rFonts w:asciiTheme="minorHAnsi" w:hAnsiTheme="minorHAnsi"/>
                <w:color w:val="000000"/>
              </w:rPr>
            </w:pPr>
            <w:r w:rsidRPr="008B70B7">
              <w:rPr>
                <w:rFonts w:asciiTheme="minorHAnsi" w:hAnsiTheme="minorHAnsi"/>
                <w:color w:val="000000"/>
              </w:rPr>
              <w:t>Proxy Means Test Formula</w:t>
            </w:r>
          </w:p>
        </w:tc>
      </w:tr>
      <w:tr w:rsidR="001465C4" w:rsidRPr="008507CE" w:rsidTr="00887E45">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1465C4" w:rsidRDefault="001465C4" w:rsidP="00887E45">
            <w:pPr>
              <w:rPr>
                <w:rFonts w:asciiTheme="minorHAnsi" w:hAnsiTheme="minorHAnsi"/>
                <w:color w:val="000000"/>
                <w:lang w:val="en-GB"/>
              </w:rPr>
            </w:pPr>
            <w:r>
              <w:rPr>
                <w:rFonts w:asciiTheme="minorHAnsi" w:hAnsiTheme="minorHAnsi"/>
                <w:color w:val="000000"/>
                <w:lang w:val="en-GB"/>
              </w:rPr>
              <w:t>PSM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1465C4" w:rsidRDefault="001465C4" w:rsidP="00887E45">
            <w:pPr>
              <w:rPr>
                <w:rFonts w:asciiTheme="minorHAnsi" w:hAnsiTheme="minorHAnsi"/>
                <w:color w:val="000000"/>
                <w:lang w:val="en-GB"/>
              </w:rPr>
            </w:pPr>
            <w:r>
              <w:rPr>
                <w:rFonts w:asciiTheme="minorHAnsi" w:hAnsiTheme="minorHAnsi"/>
                <w:color w:val="000000"/>
                <w:lang w:val="en-GB"/>
              </w:rPr>
              <w:t>Propensity Score Matching</w:t>
            </w:r>
          </w:p>
        </w:tc>
      </w:tr>
      <w:tr w:rsidR="001465C4" w:rsidRPr="008507CE" w:rsidTr="00887E45">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1465C4" w:rsidRPr="008B70B7" w:rsidRDefault="001465C4" w:rsidP="00887E45">
            <w:pPr>
              <w:rPr>
                <w:rFonts w:asciiTheme="minorHAnsi" w:hAnsiTheme="minorHAnsi"/>
                <w:color w:val="000000"/>
                <w:lang w:val="en-GB"/>
              </w:rPr>
            </w:pPr>
            <w:r>
              <w:rPr>
                <w:rFonts w:asciiTheme="minorHAnsi" w:hAnsiTheme="minorHAnsi"/>
                <w:color w:val="000000"/>
                <w:lang w:val="en-GB"/>
              </w:rPr>
              <w:t>RCT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1465C4" w:rsidRPr="008B70B7" w:rsidRDefault="001465C4" w:rsidP="00887E45">
            <w:pPr>
              <w:rPr>
                <w:rFonts w:asciiTheme="minorHAnsi" w:hAnsiTheme="minorHAnsi"/>
                <w:color w:val="000000"/>
                <w:lang w:val="en-GB"/>
              </w:rPr>
            </w:pPr>
            <w:r>
              <w:rPr>
                <w:rFonts w:asciiTheme="minorHAnsi" w:hAnsiTheme="minorHAnsi"/>
                <w:color w:val="000000"/>
                <w:lang w:val="en-GB"/>
              </w:rPr>
              <w:t>Randomized Controlled Trial</w:t>
            </w:r>
          </w:p>
        </w:tc>
      </w:tr>
      <w:tr w:rsidR="001465C4" w:rsidRPr="008507CE" w:rsidTr="00887E45">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1465C4" w:rsidRPr="008B70B7" w:rsidRDefault="001465C4" w:rsidP="00887E45">
            <w:pPr>
              <w:rPr>
                <w:rFonts w:asciiTheme="minorHAnsi" w:hAnsiTheme="minorHAnsi"/>
                <w:color w:val="000000"/>
              </w:rPr>
            </w:pPr>
            <w:r w:rsidRPr="008B70B7">
              <w:rPr>
                <w:rFonts w:asciiTheme="minorHAnsi" w:hAnsiTheme="minorHAnsi"/>
                <w:color w:val="000000"/>
                <w:lang w:val="en-GB"/>
              </w:rPr>
              <w:t>SEFSec</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1465C4" w:rsidRPr="008B70B7" w:rsidRDefault="001465C4" w:rsidP="00887E45">
            <w:pPr>
              <w:rPr>
                <w:rFonts w:asciiTheme="minorHAnsi" w:hAnsiTheme="minorHAnsi"/>
                <w:color w:val="000000"/>
              </w:rPr>
            </w:pPr>
            <w:r w:rsidRPr="008B70B7">
              <w:rPr>
                <w:rFonts w:asciiTheme="minorHAnsi" w:hAnsiTheme="minorHAnsi"/>
                <w:color w:val="000000"/>
                <w:lang w:val="en-GB"/>
              </w:rPr>
              <w:t xml:space="preserve">Socio-Economic and Food Security </w:t>
            </w:r>
          </w:p>
        </w:tc>
      </w:tr>
      <w:tr w:rsidR="001465C4" w:rsidRPr="008507CE" w:rsidTr="00887E45">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1465C4" w:rsidRDefault="001465C4" w:rsidP="00887E45">
            <w:pPr>
              <w:rPr>
                <w:rFonts w:asciiTheme="minorHAnsi" w:hAnsiTheme="minorHAnsi"/>
                <w:color w:val="000000"/>
              </w:rPr>
            </w:pPr>
            <w:r>
              <w:rPr>
                <w:rFonts w:asciiTheme="minorHAnsi" w:hAnsiTheme="minorHAnsi"/>
                <w:color w:val="000000"/>
              </w:rPr>
              <w:t>SNAP</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1465C4" w:rsidRDefault="001465C4" w:rsidP="00887E45">
            <w:pPr>
              <w:rPr>
                <w:rFonts w:asciiTheme="minorHAnsi" w:hAnsiTheme="minorHAnsi"/>
                <w:color w:val="000000"/>
                <w:lang w:val="en-GB"/>
              </w:rPr>
            </w:pPr>
            <w:r>
              <w:rPr>
                <w:rFonts w:asciiTheme="minorHAnsi" w:hAnsiTheme="minorHAnsi"/>
                <w:color w:val="000000"/>
                <w:lang w:val="en-GB"/>
              </w:rPr>
              <w:t>Supplemental Nutrition Assistance Program</w:t>
            </w:r>
          </w:p>
        </w:tc>
      </w:tr>
      <w:tr w:rsidR="001465C4" w:rsidRPr="008507CE" w:rsidTr="00887E45">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1465C4" w:rsidRPr="008B70B7" w:rsidRDefault="001465C4" w:rsidP="00887E45">
            <w:pPr>
              <w:rPr>
                <w:rFonts w:asciiTheme="minorHAnsi" w:hAnsiTheme="minorHAnsi"/>
                <w:color w:val="000000"/>
              </w:rPr>
            </w:pPr>
            <w:r>
              <w:rPr>
                <w:rFonts w:asciiTheme="minorHAnsi" w:hAnsiTheme="minorHAnsi"/>
                <w:color w:val="000000"/>
              </w:rPr>
              <w:t>TANGO</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1465C4" w:rsidRPr="008B70B7" w:rsidRDefault="001465C4" w:rsidP="00887E45">
            <w:pPr>
              <w:rPr>
                <w:rFonts w:asciiTheme="minorHAnsi" w:hAnsiTheme="minorHAnsi"/>
                <w:color w:val="000000"/>
                <w:lang w:val="en-GB"/>
              </w:rPr>
            </w:pPr>
            <w:r>
              <w:rPr>
                <w:rFonts w:asciiTheme="minorHAnsi" w:hAnsiTheme="minorHAnsi"/>
                <w:color w:val="000000"/>
                <w:lang w:val="en-GB"/>
              </w:rPr>
              <w:t>Technical Assistance to NGOs, International</w:t>
            </w:r>
          </w:p>
        </w:tc>
      </w:tr>
      <w:tr w:rsidR="001465C4" w:rsidRPr="008507CE" w:rsidTr="00887E45">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1465C4" w:rsidRPr="008B70B7" w:rsidRDefault="001465C4" w:rsidP="00887E45">
            <w:pPr>
              <w:rPr>
                <w:rFonts w:asciiTheme="minorHAnsi" w:hAnsiTheme="minorHAnsi"/>
                <w:color w:val="000000"/>
              </w:rPr>
            </w:pPr>
            <w:r w:rsidRPr="008B70B7">
              <w:rPr>
                <w:rFonts w:asciiTheme="minorHAnsi" w:hAnsiTheme="minorHAnsi"/>
                <w:color w:val="000000"/>
              </w:rPr>
              <w:t>UNRWA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1465C4" w:rsidRPr="008B70B7" w:rsidRDefault="001465C4" w:rsidP="00887E45">
            <w:pPr>
              <w:rPr>
                <w:rFonts w:asciiTheme="minorHAnsi" w:hAnsiTheme="minorHAnsi"/>
                <w:color w:val="000000"/>
              </w:rPr>
            </w:pPr>
            <w:r w:rsidRPr="008B70B7">
              <w:rPr>
                <w:rFonts w:asciiTheme="minorHAnsi" w:hAnsiTheme="minorHAnsi"/>
                <w:color w:val="000000"/>
                <w:lang w:val="en-GB"/>
              </w:rPr>
              <w:t xml:space="preserve">United Nations Relief and Works Agency for Palestine Refugees in the Near  East </w:t>
            </w:r>
          </w:p>
        </w:tc>
      </w:tr>
      <w:tr w:rsidR="001465C4" w:rsidRPr="008507CE" w:rsidTr="00887E45">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1465C4" w:rsidRPr="008B70B7" w:rsidRDefault="001465C4" w:rsidP="00887E45">
            <w:pPr>
              <w:rPr>
                <w:rFonts w:asciiTheme="minorHAnsi" w:hAnsiTheme="minorHAnsi"/>
                <w:color w:val="000000"/>
              </w:rPr>
            </w:pPr>
            <w:r>
              <w:rPr>
                <w:rFonts w:asciiTheme="minorHAnsi" w:hAnsiTheme="minorHAnsi"/>
                <w:color w:val="000000"/>
              </w:rPr>
              <w:t>USAID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1465C4" w:rsidRPr="008B70B7" w:rsidRDefault="001465C4" w:rsidP="00887E45">
            <w:pPr>
              <w:rPr>
                <w:rFonts w:asciiTheme="minorHAnsi" w:hAnsiTheme="minorHAnsi"/>
                <w:color w:val="000000"/>
              </w:rPr>
            </w:pPr>
            <w:r>
              <w:rPr>
                <w:rFonts w:asciiTheme="minorHAnsi" w:hAnsiTheme="minorHAnsi"/>
                <w:color w:val="000000"/>
              </w:rPr>
              <w:t>United States Agency for International Development</w:t>
            </w:r>
          </w:p>
        </w:tc>
      </w:tr>
      <w:tr w:rsidR="001465C4" w:rsidRPr="008507CE" w:rsidTr="00887E45">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1465C4" w:rsidRPr="008B70B7" w:rsidRDefault="001465C4" w:rsidP="00887E45">
            <w:pPr>
              <w:rPr>
                <w:rFonts w:asciiTheme="minorHAnsi" w:hAnsiTheme="minorHAnsi"/>
                <w:color w:val="000000"/>
              </w:rPr>
            </w:pPr>
            <w:r w:rsidRPr="008B70B7">
              <w:rPr>
                <w:rFonts w:asciiTheme="minorHAnsi" w:hAnsiTheme="minorHAnsi"/>
                <w:color w:val="000000"/>
              </w:rPr>
              <w:t>WFP</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1465C4" w:rsidRPr="008B70B7" w:rsidRDefault="001465C4" w:rsidP="00887E45">
            <w:pPr>
              <w:rPr>
                <w:rFonts w:asciiTheme="minorHAnsi" w:hAnsiTheme="minorHAnsi"/>
                <w:color w:val="000000"/>
              </w:rPr>
            </w:pPr>
            <w:r w:rsidRPr="008B70B7">
              <w:rPr>
                <w:rFonts w:asciiTheme="minorHAnsi" w:hAnsiTheme="minorHAnsi"/>
                <w:color w:val="000000"/>
                <w:lang w:val="en-GB"/>
              </w:rPr>
              <w:t xml:space="preserve">World Food Programme </w:t>
            </w:r>
          </w:p>
        </w:tc>
      </w:tr>
    </w:tbl>
    <w:p w:rsidR="008726DB" w:rsidRDefault="008726DB">
      <w:pPr>
        <w:rPr>
          <w:rFonts w:asciiTheme="minorHAnsi" w:hAnsiTheme="minorHAnsi"/>
        </w:rPr>
      </w:pPr>
      <w:r>
        <w:rPr>
          <w:rFonts w:asciiTheme="minorHAnsi" w:hAnsiTheme="minorHAnsi"/>
        </w:rPr>
        <w:br w:type="page"/>
      </w:r>
    </w:p>
    <w:p w:rsidR="00465AE7" w:rsidRPr="00465AE7" w:rsidRDefault="00465AE7" w:rsidP="00465AE7">
      <w:pPr>
        <w:pStyle w:val="Heading1"/>
        <w:rPr>
          <w:rFonts w:asciiTheme="minorHAnsi" w:hAnsiTheme="minorHAnsi"/>
        </w:rPr>
      </w:pPr>
      <w:bookmarkStart w:id="1" w:name="_Toc395979693"/>
      <w:r>
        <w:rPr>
          <w:rFonts w:asciiTheme="minorHAnsi" w:hAnsiTheme="minorHAnsi"/>
        </w:rPr>
        <w:lastRenderedPageBreak/>
        <w:t>Executive summary</w:t>
      </w:r>
      <w:bookmarkEnd w:id="1"/>
    </w:p>
    <w:p w:rsidR="00465AE7" w:rsidRDefault="00465AE7">
      <w:pPr>
        <w:rPr>
          <w:rFonts w:asciiTheme="minorHAnsi" w:eastAsiaTheme="majorEastAsia" w:hAnsiTheme="minorHAnsi" w:cstheme="majorBidi"/>
          <w:b/>
          <w:bCs/>
          <w:color w:val="365F91" w:themeColor="accent1" w:themeShade="BF"/>
          <w:lang w:eastAsia="ja-JP"/>
        </w:rPr>
      </w:pPr>
    </w:p>
    <w:p w:rsidR="00B44D9D" w:rsidRPr="009F06C0" w:rsidRDefault="00B44D9D" w:rsidP="00B44D9D">
      <w:pPr>
        <w:rPr>
          <w:rFonts w:asciiTheme="minorHAnsi" w:hAnsiTheme="minorHAnsi"/>
          <w:lang w:val="en-GB"/>
        </w:rPr>
      </w:pPr>
      <w:r w:rsidRPr="009F06C0">
        <w:rPr>
          <w:rFonts w:asciiTheme="minorHAnsi" w:hAnsiTheme="minorHAnsi"/>
        </w:rPr>
        <w:t>The annual SEFSec survey administered by the Palestinian Central Bureau of Statistics</w:t>
      </w:r>
      <w:r>
        <w:rPr>
          <w:rFonts w:asciiTheme="minorHAnsi" w:hAnsiTheme="minorHAnsi"/>
        </w:rPr>
        <w:t xml:space="preserve"> </w:t>
      </w:r>
      <w:r w:rsidRPr="009F06C0">
        <w:rPr>
          <w:rFonts w:asciiTheme="minorHAnsi" w:hAnsiTheme="minorHAnsi"/>
        </w:rPr>
        <w:t>and the United Nations through FAO, UNRWA and WFP assesses the socio-economic and food security situation in the State of Palestine.    From November 2013 through March 2014, the SEFSec partners engaged the services of TANGO, International staff to assess the SEFSec food security analysis methodology and make recommendations regarding how it could be improved.  Th</w:t>
      </w:r>
      <w:r>
        <w:rPr>
          <w:rFonts w:asciiTheme="minorHAnsi" w:hAnsiTheme="minorHAnsi"/>
        </w:rPr>
        <w:t xml:space="preserve">e resulting report </w:t>
      </w:r>
      <w:r w:rsidRPr="009F06C0">
        <w:rPr>
          <w:rFonts w:asciiTheme="minorHAnsi" w:hAnsiTheme="minorHAnsi"/>
          <w:lang w:val="en-GB"/>
        </w:rPr>
        <w:t xml:space="preserve">proposed some methodological improvements but also raised additional questions that must be answered </w:t>
      </w:r>
      <w:r>
        <w:rPr>
          <w:rFonts w:asciiTheme="minorHAnsi" w:hAnsiTheme="minorHAnsi"/>
          <w:lang w:val="en-GB"/>
        </w:rPr>
        <w:t xml:space="preserve">in order for a new </w:t>
      </w:r>
      <w:r w:rsidRPr="009F06C0">
        <w:rPr>
          <w:rFonts w:asciiTheme="minorHAnsi" w:hAnsiTheme="minorHAnsi"/>
          <w:lang w:val="en-GB"/>
        </w:rPr>
        <w:t>SEFSec methodology</w:t>
      </w:r>
      <w:r>
        <w:rPr>
          <w:rFonts w:asciiTheme="minorHAnsi" w:hAnsiTheme="minorHAnsi"/>
          <w:lang w:val="en-GB"/>
        </w:rPr>
        <w:t xml:space="preserve"> to be adopted</w:t>
      </w:r>
      <w:r w:rsidRPr="009F06C0">
        <w:rPr>
          <w:rFonts w:asciiTheme="minorHAnsi" w:hAnsiTheme="minorHAnsi"/>
          <w:lang w:val="en-GB"/>
        </w:rPr>
        <w:t xml:space="preserve">.   </w:t>
      </w:r>
    </w:p>
    <w:p w:rsidR="00B44D9D" w:rsidRDefault="00B44D9D" w:rsidP="00B44D9D">
      <w:pPr>
        <w:rPr>
          <w:rFonts w:asciiTheme="minorHAnsi" w:hAnsiTheme="minorHAnsi"/>
          <w:lang w:val="en-GB"/>
        </w:rPr>
      </w:pPr>
    </w:p>
    <w:p w:rsidR="00B44D9D" w:rsidRDefault="00B44D9D" w:rsidP="00B44D9D">
      <w:pPr>
        <w:rPr>
          <w:rFonts w:asciiTheme="minorHAnsi" w:hAnsiTheme="minorHAnsi"/>
          <w:lang w:val="en-GB"/>
        </w:rPr>
      </w:pPr>
      <w:r w:rsidRPr="009F06C0">
        <w:rPr>
          <w:rFonts w:asciiTheme="minorHAnsi" w:hAnsiTheme="minorHAnsi"/>
          <w:lang w:val="en-GB"/>
        </w:rPr>
        <w:t xml:space="preserve">The purpose of </w:t>
      </w:r>
      <w:r>
        <w:rPr>
          <w:rFonts w:asciiTheme="minorHAnsi" w:hAnsiTheme="minorHAnsi"/>
          <w:lang w:val="en-GB"/>
        </w:rPr>
        <w:t>this document</w:t>
      </w:r>
      <w:r w:rsidR="00FD0DF4" w:rsidRPr="00B30983">
        <w:rPr>
          <w:rFonts w:asciiTheme="minorHAnsi" w:hAnsiTheme="minorHAnsi"/>
        </w:rPr>
        <w:t>—</w:t>
      </w:r>
      <w:r>
        <w:rPr>
          <w:rFonts w:asciiTheme="minorHAnsi" w:hAnsiTheme="minorHAnsi"/>
          <w:lang w:val="en-GB"/>
        </w:rPr>
        <w:t xml:space="preserve">reporting on </w:t>
      </w:r>
      <w:r w:rsidRPr="009F06C0">
        <w:rPr>
          <w:rFonts w:asciiTheme="minorHAnsi" w:hAnsiTheme="minorHAnsi"/>
          <w:lang w:val="en-GB"/>
        </w:rPr>
        <w:t>Phase II of the SEFSec review</w:t>
      </w:r>
      <w:r w:rsidR="00FD0DF4" w:rsidRPr="00B30983">
        <w:rPr>
          <w:rFonts w:asciiTheme="minorHAnsi" w:hAnsiTheme="minorHAnsi"/>
        </w:rPr>
        <w:t>—</w:t>
      </w:r>
      <w:r w:rsidRPr="009F06C0">
        <w:rPr>
          <w:rFonts w:asciiTheme="minorHAnsi" w:hAnsiTheme="minorHAnsi"/>
          <w:lang w:val="en-GB"/>
        </w:rPr>
        <w:t>is to refine and validate the preferred options presented in the Phase I report</w:t>
      </w:r>
      <w:r>
        <w:rPr>
          <w:rFonts w:asciiTheme="minorHAnsi" w:hAnsiTheme="minorHAnsi"/>
          <w:lang w:val="en-GB"/>
        </w:rPr>
        <w:t>.  It b</w:t>
      </w:r>
      <w:r w:rsidRPr="009F06C0">
        <w:rPr>
          <w:rFonts w:asciiTheme="minorHAnsi" w:hAnsiTheme="minorHAnsi"/>
          <w:lang w:val="en-GB"/>
        </w:rPr>
        <w:t>uild</w:t>
      </w:r>
      <w:r>
        <w:rPr>
          <w:rFonts w:asciiTheme="minorHAnsi" w:hAnsiTheme="minorHAnsi"/>
          <w:lang w:val="en-GB"/>
        </w:rPr>
        <w:t>s</w:t>
      </w:r>
      <w:r w:rsidRPr="009F06C0">
        <w:rPr>
          <w:rFonts w:asciiTheme="minorHAnsi" w:hAnsiTheme="minorHAnsi"/>
          <w:lang w:val="en-GB"/>
        </w:rPr>
        <w:t xml:space="preserve"> upon the </w:t>
      </w:r>
      <w:r w:rsidR="00FD0DF4">
        <w:rPr>
          <w:rFonts w:asciiTheme="minorHAnsi" w:hAnsiTheme="minorHAnsi"/>
          <w:lang w:val="en-GB"/>
        </w:rPr>
        <w:t xml:space="preserve">Phase I review </w:t>
      </w:r>
      <w:r w:rsidRPr="009F06C0">
        <w:rPr>
          <w:rFonts w:asciiTheme="minorHAnsi" w:hAnsiTheme="minorHAnsi"/>
          <w:lang w:val="en-GB"/>
        </w:rPr>
        <w:t xml:space="preserve">with additional analysis to </w:t>
      </w:r>
      <w:r>
        <w:rPr>
          <w:rFonts w:asciiTheme="minorHAnsi" w:hAnsiTheme="minorHAnsi"/>
          <w:lang w:val="en-GB"/>
        </w:rPr>
        <w:t xml:space="preserve">assist the SEFSec partners in </w:t>
      </w:r>
      <w:r w:rsidR="00FD0DF4">
        <w:rPr>
          <w:rFonts w:asciiTheme="minorHAnsi" w:hAnsiTheme="minorHAnsi"/>
          <w:lang w:val="en-GB"/>
        </w:rPr>
        <w:t xml:space="preserve">their decision regarding the </w:t>
      </w:r>
      <w:r>
        <w:rPr>
          <w:rFonts w:asciiTheme="minorHAnsi" w:hAnsiTheme="minorHAnsi"/>
          <w:lang w:val="en-GB"/>
        </w:rPr>
        <w:t>adopti</w:t>
      </w:r>
      <w:r w:rsidR="00FD0DF4">
        <w:rPr>
          <w:rFonts w:asciiTheme="minorHAnsi" w:hAnsiTheme="minorHAnsi"/>
          <w:lang w:val="en-GB"/>
        </w:rPr>
        <w:t>o</w:t>
      </w:r>
      <w:r>
        <w:rPr>
          <w:rFonts w:asciiTheme="minorHAnsi" w:hAnsiTheme="minorHAnsi"/>
          <w:lang w:val="en-GB"/>
        </w:rPr>
        <w:t xml:space="preserve">n </w:t>
      </w:r>
      <w:r w:rsidR="00FD0DF4">
        <w:rPr>
          <w:rFonts w:asciiTheme="minorHAnsi" w:hAnsiTheme="minorHAnsi"/>
          <w:lang w:val="en-GB"/>
        </w:rPr>
        <w:t xml:space="preserve">of </w:t>
      </w:r>
      <w:r>
        <w:rPr>
          <w:rFonts w:asciiTheme="minorHAnsi" w:hAnsiTheme="minorHAnsi"/>
          <w:lang w:val="en-GB"/>
        </w:rPr>
        <w:t xml:space="preserve">a </w:t>
      </w:r>
      <w:r w:rsidRPr="009F06C0">
        <w:rPr>
          <w:rFonts w:asciiTheme="minorHAnsi" w:hAnsiTheme="minorHAnsi"/>
          <w:lang w:val="en-GB"/>
        </w:rPr>
        <w:t xml:space="preserve">single new </w:t>
      </w:r>
      <w:r>
        <w:rPr>
          <w:rFonts w:asciiTheme="minorHAnsi" w:hAnsiTheme="minorHAnsi"/>
          <w:lang w:val="en-GB"/>
        </w:rPr>
        <w:t xml:space="preserve">SEFSec food insecurity measurement </w:t>
      </w:r>
      <w:r w:rsidRPr="009F06C0">
        <w:rPr>
          <w:rFonts w:asciiTheme="minorHAnsi" w:hAnsiTheme="minorHAnsi"/>
          <w:lang w:val="en-GB"/>
        </w:rPr>
        <w:t>methodology.</w:t>
      </w:r>
    </w:p>
    <w:p w:rsidR="00B44D9D" w:rsidRDefault="00B44D9D" w:rsidP="00B44D9D">
      <w:pPr>
        <w:rPr>
          <w:rFonts w:asciiTheme="minorHAnsi" w:hAnsiTheme="minorHAnsi"/>
          <w:lang w:val="en-GB"/>
        </w:rPr>
      </w:pPr>
    </w:p>
    <w:p w:rsidR="00B44D9D" w:rsidRDefault="00B44D9D" w:rsidP="00B44D9D">
      <w:r>
        <w:rPr>
          <w:rFonts w:asciiTheme="minorHAnsi" w:hAnsiTheme="minorHAnsi"/>
          <w:lang w:val="en-GB"/>
        </w:rPr>
        <w:t>The issues explored and main findings are as follows.</w:t>
      </w:r>
    </w:p>
    <w:p w:rsidR="00B44D9D" w:rsidRPr="002A573D" w:rsidRDefault="00FD0DF4" w:rsidP="00B44D9D">
      <w:pPr>
        <w:pStyle w:val="Heading1"/>
        <w:rPr>
          <w:rFonts w:asciiTheme="minorHAnsi" w:hAnsiTheme="minorHAnsi"/>
          <w:color w:val="943634" w:themeColor="accent2" w:themeShade="BF"/>
          <w:sz w:val="24"/>
          <w:szCs w:val="24"/>
        </w:rPr>
      </w:pPr>
      <w:bookmarkStart w:id="2" w:name="_Toc395979044"/>
      <w:bookmarkStart w:id="3" w:name="_Toc395979694"/>
      <w:r w:rsidRPr="002A573D">
        <w:rPr>
          <w:rFonts w:asciiTheme="minorHAnsi" w:hAnsiTheme="minorHAnsi"/>
          <w:color w:val="943634" w:themeColor="accent2" w:themeShade="BF"/>
          <w:sz w:val="24"/>
          <w:szCs w:val="24"/>
        </w:rPr>
        <w:t>V</w:t>
      </w:r>
      <w:r w:rsidR="00B44D9D" w:rsidRPr="002A573D">
        <w:rPr>
          <w:rFonts w:asciiTheme="minorHAnsi" w:hAnsiTheme="minorHAnsi"/>
          <w:color w:val="943634" w:themeColor="accent2" w:themeShade="BF"/>
          <w:sz w:val="24"/>
          <w:szCs w:val="24"/>
        </w:rPr>
        <w:t>alidation of the stability over time and accuracy of asset-based estimates of poverty for Palestine</w:t>
      </w:r>
      <w:bookmarkEnd w:id="2"/>
      <w:bookmarkEnd w:id="3"/>
    </w:p>
    <w:p w:rsidR="00B44D9D" w:rsidRPr="00FD0DF4" w:rsidRDefault="00B44D9D" w:rsidP="00B44D9D">
      <w:pPr>
        <w:pStyle w:val="ListParagraph"/>
        <w:numPr>
          <w:ilvl w:val="0"/>
          <w:numId w:val="3"/>
        </w:numPr>
        <w:rPr>
          <w:sz w:val="22"/>
          <w:szCs w:val="22"/>
          <w:lang w:val="en-GB"/>
        </w:rPr>
      </w:pPr>
      <w:r w:rsidRPr="00FD0DF4">
        <w:rPr>
          <w:rFonts w:asciiTheme="minorHAnsi" w:hAnsiTheme="minorHAnsi"/>
          <w:sz w:val="22"/>
          <w:szCs w:val="22"/>
        </w:rPr>
        <w:t>A core set of eight asset-ownership variables for which data are available in both the PECS and SEFSec data sets have a stable relationship over time (at least a three-year period) with total expenditures per adult equivalent;</w:t>
      </w:r>
    </w:p>
    <w:p w:rsidR="00B44D9D" w:rsidRPr="00FD0DF4" w:rsidRDefault="00B44D9D" w:rsidP="00B44D9D">
      <w:pPr>
        <w:pStyle w:val="ListParagraph"/>
        <w:numPr>
          <w:ilvl w:val="0"/>
          <w:numId w:val="3"/>
        </w:numPr>
        <w:rPr>
          <w:sz w:val="22"/>
          <w:szCs w:val="22"/>
          <w:lang w:val="en-GB"/>
        </w:rPr>
      </w:pPr>
      <w:r w:rsidRPr="00FD0DF4">
        <w:rPr>
          <w:rFonts w:asciiTheme="minorHAnsi" w:hAnsiTheme="minorHAnsi"/>
          <w:sz w:val="22"/>
          <w:szCs w:val="22"/>
        </w:rPr>
        <w:t>These assets are used here to create three types of indexes, a PCA index, a count index, and regression-based index that draws on three additional correlates of total expenditures beyond assets;</w:t>
      </w:r>
    </w:p>
    <w:p w:rsidR="00B44D9D" w:rsidRPr="00FD0DF4" w:rsidRDefault="00B44D9D" w:rsidP="00B44D9D">
      <w:pPr>
        <w:pStyle w:val="ListParagraph"/>
        <w:numPr>
          <w:ilvl w:val="0"/>
          <w:numId w:val="3"/>
        </w:numPr>
        <w:rPr>
          <w:sz w:val="22"/>
          <w:szCs w:val="22"/>
          <w:lang w:val="en-GB"/>
        </w:rPr>
      </w:pPr>
      <w:r w:rsidRPr="00FD0DF4">
        <w:rPr>
          <w:rFonts w:asciiTheme="minorHAnsi" w:hAnsiTheme="minorHAnsi"/>
          <w:sz w:val="22"/>
          <w:szCs w:val="22"/>
        </w:rPr>
        <w:t>Among the indexes, the count and regression-based indexes are most highly correlated with total expenditures;</w:t>
      </w:r>
    </w:p>
    <w:p w:rsidR="00B44D9D" w:rsidRPr="00FD0DF4" w:rsidRDefault="00B44D9D" w:rsidP="00B44D9D">
      <w:pPr>
        <w:pStyle w:val="ListParagraph"/>
        <w:numPr>
          <w:ilvl w:val="0"/>
          <w:numId w:val="3"/>
        </w:numPr>
        <w:rPr>
          <w:sz w:val="22"/>
          <w:szCs w:val="22"/>
          <w:lang w:val="en-GB"/>
        </w:rPr>
      </w:pPr>
      <w:r w:rsidRPr="00FD0DF4">
        <w:rPr>
          <w:rFonts w:asciiTheme="minorHAnsi" w:hAnsiTheme="minorHAnsi"/>
          <w:sz w:val="22"/>
          <w:szCs w:val="22"/>
        </w:rPr>
        <w:t>The count and regression-based indexes are also best able to classify households into poverty groups, which is the most important attribute of an asset index as an input into the SEFSec food security measurement methodology.  The regression index does slightly better than the count index;</w:t>
      </w:r>
    </w:p>
    <w:p w:rsidR="00B44D9D" w:rsidRPr="00FD0DF4" w:rsidRDefault="00B44D9D" w:rsidP="00B44D9D">
      <w:pPr>
        <w:pStyle w:val="ListParagraph"/>
        <w:numPr>
          <w:ilvl w:val="0"/>
          <w:numId w:val="3"/>
        </w:numPr>
        <w:rPr>
          <w:sz w:val="22"/>
          <w:szCs w:val="22"/>
          <w:lang w:val="en-GB"/>
        </w:rPr>
      </w:pPr>
      <w:r w:rsidRPr="00FD0DF4">
        <w:rPr>
          <w:rFonts w:asciiTheme="minorHAnsi" w:hAnsiTheme="minorHAnsi"/>
          <w:sz w:val="22"/>
          <w:szCs w:val="22"/>
        </w:rPr>
        <w:t>The count and regression-based indexes also perform best in terms of producing accurate estimates of poverty itself.</w:t>
      </w:r>
    </w:p>
    <w:p w:rsidR="00FD0DF4" w:rsidRPr="00FD0DF4" w:rsidRDefault="00FD0DF4" w:rsidP="00B44D9D">
      <w:pPr>
        <w:pStyle w:val="ListParagraph"/>
        <w:numPr>
          <w:ilvl w:val="0"/>
          <w:numId w:val="3"/>
        </w:numPr>
        <w:rPr>
          <w:sz w:val="22"/>
          <w:szCs w:val="22"/>
          <w:lang w:val="en-GB"/>
        </w:rPr>
      </w:pPr>
      <w:r w:rsidRPr="00FD0DF4">
        <w:rPr>
          <w:rFonts w:asciiTheme="minorHAnsi" w:hAnsiTheme="minorHAnsi"/>
          <w:sz w:val="22"/>
          <w:szCs w:val="22"/>
        </w:rPr>
        <w:t>Given that the main use of a measure of poverty in the context of the SEFSec food security analysis is to classify households into poverty groups (rather than produce estimates of poverty prevalences), it is recommended that the regression-based index be used for this purpose in the future.</w:t>
      </w:r>
    </w:p>
    <w:p w:rsidR="00B44D9D" w:rsidRPr="00874196" w:rsidRDefault="00FD0DF4" w:rsidP="00B44D9D">
      <w:pPr>
        <w:pStyle w:val="ListParagraph"/>
        <w:numPr>
          <w:ilvl w:val="0"/>
          <w:numId w:val="3"/>
        </w:numPr>
        <w:rPr>
          <w:sz w:val="22"/>
          <w:szCs w:val="22"/>
          <w:lang w:val="en-GB"/>
        </w:rPr>
      </w:pPr>
      <w:r w:rsidRPr="00874196">
        <w:rPr>
          <w:rFonts w:asciiTheme="minorHAnsi" w:hAnsiTheme="minorHAnsi"/>
          <w:sz w:val="22"/>
          <w:szCs w:val="22"/>
        </w:rPr>
        <w:t>It is important to keep in mind that asset ownership is a conceptually valid indicator of long-term wealth, which is closely related to poverty;  In the absence of other options, an asset-based measure of poverty can thus serve as a valid, stand-alone measure for the purposes of the SEFSec food insecurity analysis</w:t>
      </w:r>
      <w:r w:rsidRPr="00874196">
        <w:rPr>
          <w:rFonts w:asciiTheme="minorHAnsi" w:hAnsiTheme="minorHAnsi"/>
        </w:rPr>
        <w:t>—</w:t>
      </w:r>
      <w:r w:rsidRPr="00874196">
        <w:rPr>
          <w:rFonts w:asciiTheme="minorHAnsi" w:hAnsiTheme="minorHAnsi"/>
          <w:sz w:val="22"/>
          <w:szCs w:val="22"/>
        </w:rPr>
        <w:t>even if it does not precisely track year-to-year fluctuations in expenditures-based estimates of poverty.</w:t>
      </w:r>
    </w:p>
    <w:p w:rsidR="00B44D9D" w:rsidRDefault="00B44D9D" w:rsidP="00B44D9D">
      <w:pPr>
        <w:pStyle w:val="ListParagraph"/>
        <w:ind w:left="0"/>
        <w:rPr>
          <w:rFonts w:asciiTheme="minorHAnsi" w:hAnsiTheme="minorHAnsi"/>
        </w:rPr>
      </w:pPr>
      <w:r w:rsidRPr="00FD0DF4">
        <w:rPr>
          <w:rFonts w:asciiTheme="minorHAnsi" w:hAnsiTheme="minorHAnsi"/>
          <w:sz w:val="22"/>
          <w:szCs w:val="22"/>
        </w:rPr>
        <w:t xml:space="preserve"> </w:t>
      </w:r>
      <w:r>
        <w:rPr>
          <w:rFonts w:asciiTheme="minorHAnsi" w:hAnsiTheme="minorHAnsi"/>
        </w:rPr>
        <w:t xml:space="preserve"> </w:t>
      </w:r>
    </w:p>
    <w:p w:rsidR="00B44D9D" w:rsidRDefault="00B44D9D" w:rsidP="00B44D9D">
      <w:pPr>
        <w:rPr>
          <w:rFonts w:asciiTheme="minorHAnsi" w:eastAsiaTheme="majorEastAsia" w:hAnsiTheme="minorHAnsi" w:cstheme="majorBidi"/>
          <w:b/>
          <w:bCs/>
          <w:color w:val="365F91" w:themeColor="accent1" w:themeShade="BF"/>
        </w:rPr>
      </w:pPr>
      <w:r>
        <w:rPr>
          <w:rFonts w:asciiTheme="minorHAnsi" w:hAnsiTheme="minorHAnsi"/>
        </w:rPr>
        <w:br w:type="page"/>
      </w:r>
    </w:p>
    <w:p w:rsidR="00B44D9D" w:rsidRPr="002A573D" w:rsidRDefault="00B44D9D" w:rsidP="00FD0DF4">
      <w:pPr>
        <w:pStyle w:val="Heading1"/>
        <w:rPr>
          <w:color w:val="943634" w:themeColor="accent2" w:themeShade="BF"/>
          <w:lang w:val="en-GB"/>
        </w:rPr>
      </w:pPr>
      <w:bookmarkStart w:id="4" w:name="_Toc395979045"/>
      <w:bookmarkStart w:id="5" w:name="_Toc395979695"/>
      <w:r w:rsidRPr="002A573D">
        <w:rPr>
          <w:rFonts w:asciiTheme="minorHAnsi" w:hAnsiTheme="minorHAnsi"/>
          <w:color w:val="943634" w:themeColor="accent2" w:themeShade="BF"/>
          <w:sz w:val="24"/>
          <w:szCs w:val="24"/>
        </w:rPr>
        <w:lastRenderedPageBreak/>
        <w:t>Combining information from the Household Food Insecurity Access Scale (HFIAS) and Food Consumption Score (FCS) to classify households into food consumption groups</w:t>
      </w:r>
      <w:bookmarkEnd w:id="4"/>
      <w:bookmarkEnd w:id="5"/>
    </w:p>
    <w:p w:rsidR="00B44D9D" w:rsidRPr="00FD0DF4" w:rsidRDefault="00B44D9D" w:rsidP="00B44D9D">
      <w:pPr>
        <w:pStyle w:val="ListParagraph"/>
        <w:numPr>
          <w:ilvl w:val="0"/>
          <w:numId w:val="13"/>
        </w:numPr>
        <w:autoSpaceDE w:val="0"/>
        <w:autoSpaceDN w:val="0"/>
        <w:spacing w:after="58"/>
        <w:rPr>
          <w:rFonts w:ascii="Calibri" w:hAnsi="Calibri"/>
          <w:color w:val="000000"/>
          <w:sz w:val="22"/>
          <w:szCs w:val="22"/>
          <w:u w:val="single"/>
        </w:rPr>
      </w:pPr>
      <w:r w:rsidRPr="00FD0DF4">
        <w:rPr>
          <w:rFonts w:ascii="Calibri" w:hAnsi="Calibri"/>
          <w:color w:val="000000"/>
          <w:sz w:val="22"/>
          <w:szCs w:val="22"/>
        </w:rPr>
        <w:t xml:space="preserve">The possibility of using a combination of the dietary </w:t>
      </w:r>
      <w:r w:rsidRPr="00FD0DF4">
        <w:rPr>
          <w:rFonts w:ascii="Calibri" w:hAnsi="Calibri"/>
          <w:i/>
          <w:iCs/>
          <w:color w:val="000000"/>
          <w:sz w:val="22"/>
          <w:szCs w:val="22"/>
        </w:rPr>
        <w:t>quantity</w:t>
      </w:r>
      <w:r w:rsidRPr="00FD0DF4">
        <w:rPr>
          <w:rFonts w:ascii="Calibri" w:hAnsi="Calibri"/>
          <w:color w:val="000000"/>
          <w:sz w:val="22"/>
          <w:szCs w:val="22"/>
        </w:rPr>
        <w:t xml:space="preserve"> information contained in the HFIAS and the dietary </w:t>
      </w:r>
      <w:r w:rsidRPr="00FD0DF4">
        <w:rPr>
          <w:rFonts w:ascii="Calibri" w:hAnsi="Calibri"/>
          <w:i/>
          <w:iCs/>
          <w:color w:val="000000"/>
          <w:sz w:val="22"/>
          <w:szCs w:val="22"/>
        </w:rPr>
        <w:t>quality</w:t>
      </w:r>
      <w:r w:rsidRPr="00FD0DF4">
        <w:rPr>
          <w:rFonts w:ascii="Calibri" w:hAnsi="Calibri"/>
          <w:color w:val="000000"/>
          <w:sz w:val="22"/>
          <w:szCs w:val="22"/>
        </w:rPr>
        <w:t xml:space="preserve"> information contained in the FCS to formulate food consumption groups was explored;</w:t>
      </w:r>
    </w:p>
    <w:p w:rsidR="00B44D9D" w:rsidRPr="00FD0DF4" w:rsidRDefault="00B44D9D" w:rsidP="00B44D9D">
      <w:pPr>
        <w:pStyle w:val="ListParagraph"/>
        <w:numPr>
          <w:ilvl w:val="0"/>
          <w:numId w:val="13"/>
        </w:numPr>
        <w:autoSpaceDE w:val="0"/>
        <w:autoSpaceDN w:val="0"/>
        <w:spacing w:after="58"/>
        <w:rPr>
          <w:rFonts w:ascii="Calibri" w:hAnsi="Calibri"/>
          <w:color w:val="000000"/>
          <w:sz w:val="22"/>
          <w:szCs w:val="22"/>
          <w:u w:val="single"/>
        </w:rPr>
      </w:pPr>
      <w:r w:rsidRPr="00FD0DF4">
        <w:rPr>
          <w:rFonts w:ascii="Calibri" w:hAnsi="Calibri"/>
          <w:color w:val="000000"/>
          <w:sz w:val="22"/>
          <w:szCs w:val="22"/>
        </w:rPr>
        <w:t>Using the SEFSec 2011 data, a sub-set of five of the nine HFIAS questions pertaining specifically to “insufficient food intake and its physical consequences” was used to create a dummy variable indicating whether or not each household has insufficient dietary quantity;</w:t>
      </w:r>
    </w:p>
    <w:p w:rsidR="00B44D9D" w:rsidRPr="00FD0DF4" w:rsidRDefault="00B44D9D" w:rsidP="00B44D9D">
      <w:pPr>
        <w:pStyle w:val="ListParagraph"/>
        <w:numPr>
          <w:ilvl w:val="0"/>
          <w:numId w:val="13"/>
        </w:numPr>
        <w:autoSpaceDE w:val="0"/>
        <w:autoSpaceDN w:val="0"/>
        <w:spacing w:after="58"/>
        <w:rPr>
          <w:rFonts w:ascii="Calibri" w:hAnsi="Calibri"/>
          <w:color w:val="000000"/>
          <w:sz w:val="22"/>
          <w:szCs w:val="22"/>
          <w:u w:val="single"/>
        </w:rPr>
      </w:pPr>
      <w:r w:rsidRPr="00FD0DF4">
        <w:rPr>
          <w:rFonts w:ascii="Calibri" w:hAnsi="Calibri"/>
          <w:color w:val="000000"/>
          <w:sz w:val="22"/>
          <w:szCs w:val="22"/>
        </w:rPr>
        <w:t>FCS data were used to create a dummy variable indicating whether or not each household has inadequate dietary quality;</w:t>
      </w:r>
    </w:p>
    <w:p w:rsidR="00B44D9D" w:rsidRPr="00FD0DF4" w:rsidRDefault="00B44D9D" w:rsidP="00B44D9D">
      <w:pPr>
        <w:pStyle w:val="ListParagraph"/>
        <w:numPr>
          <w:ilvl w:val="0"/>
          <w:numId w:val="13"/>
        </w:numPr>
        <w:autoSpaceDE w:val="0"/>
        <w:autoSpaceDN w:val="0"/>
        <w:spacing w:after="58"/>
        <w:rPr>
          <w:rFonts w:ascii="Calibri" w:hAnsi="Calibri"/>
          <w:color w:val="000000"/>
          <w:sz w:val="22"/>
          <w:szCs w:val="22"/>
          <w:u w:val="single"/>
        </w:rPr>
      </w:pPr>
      <w:r w:rsidRPr="00FD0DF4">
        <w:rPr>
          <w:rFonts w:ascii="Calibri" w:hAnsi="Calibri"/>
          <w:color w:val="000000"/>
          <w:sz w:val="22"/>
          <w:szCs w:val="22"/>
        </w:rPr>
        <w:t>Finally, the two dummy variables are combined to classify households into the three food consumption status categories:  severely food deprived, moderately food deprived and not food deprived;</w:t>
      </w:r>
    </w:p>
    <w:p w:rsidR="00B44D9D" w:rsidRDefault="00B44D9D" w:rsidP="00B44D9D">
      <w:pPr>
        <w:pStyle w:val="ListParagraph"/>
        <w:numPr>
          <w:ilvl w:val="0"/>
          <w:numId w:val="13"/>
        </w:numPr>
        <w:autoSpaceDE w:val="0"/>
        <w:autoSpaceDN w:val="0"/>
        <w:spacing w:after="58"/>
        <w:rPr>
          <w:rFonts w:ascii="Calibri" w:hAnsi="Calibri"/>
          <w:color w:val="000000"/>
          <w:u w:val="single"/>
        </w:rPr>
      </w:pPr>
      <w:r w:rsidRPr="00FD0DF4">
        <w:rPr>
          <w:rFonts w:ascii="Calibri" w:hAnsi="Calibri"/>
          <w:color w:val="000000"/>
          <w:sz w:val="22"/>
          <w:szCs w:val="22"/>
        </w:rPr>
        <w:t>The categories yield a classification of households that is consistent with poverty classifications, as one would expect:   households in Gaza are deemed to be more food deprived than households in West Bank (unlike the classification yielded by the HFIAS alone).</w:t>
      </w:r>
    </w:p>
    <w:p w:rsidR="00B44D9D" w:rsidRPr="002A573D" w:rsidRDefault="00B44D9D" w:rsidP="00FD0DF4">
      <w:pPr>
        <w:pStyle w:val="Heading1"/>
        <w:rPr>
          <w:color w:val="943634" w:themeColor="accent2" w:themeShade="BF"/>
        </w:rPr>
      </w:pPr>
      <w:bookmarkStart w:id="6" w:name="_Toc395979046"/>
      <w:bookmarkStart w:id="7" w:name="_Toc395979696"/>
      <w:r w:rsidRPr="002A573D">
        <w:rPr>
          <w:rFonts w:asciiTheme="minorHAnsi" w:hAnsiTheme="minorHAnsi"/>
          <w:color w:val="943634" w:themeColor="accent2" w:themeShade="BF"/>
          <w:sz w:val="24"/>
          <w:szCs w:val="24"/>
        </w:rPr>
        <w:t>Improved measure of resilience</w:t>
      </w:r>
      <w:bookmarkEnd w:id="6"/>
      <w:bookmarkEnd w:id="7"/>
      <w:r w:rsidRPr="002A573D">
        <w:rPr>
          <w:rFonts w:asciiTheme="minorHAnsi" w:hAnsiTheme="minorHAnsi"/>
          <w:color w:val="943634" w:themeColor="accent2" w:themeShade="BF"/>
          <w:sz w:val="24"/>
          <w:szCs w:val="24"/>
        </w:rPr>
        <w:t xml:space="preserve"> </w:t>
      </w:r>
    </w:p>
    <w:p w:rsidR="00B44D9D" w:rsidRPr="00FD0DF4" w:rsidRDefault="00B44D9D" w:rsidP="00B44D9D">
      <w:pPr>
        <w:pStyle w:val="ListParagraph"/>
        <w:numPr>
          <w:ilvl w:val="0"/>
          <w:numId w:val="14"/>
        </w:numPr>
        <w:autoSpaceDE w:val="0"/>
        <w:autoSpaceDN w:val="0"/>
        <w:spacing w:after="58"/>
        <w:rPr>
          <w:rFonts w:ascii="Calibri" w:hAnsi="Calibri"/>
          <w:color w:val="000000"/>
          <w:sz w:val="22"/>
          <w:szCs w:val="22"/>
          <w:u w:val="single"/>
        </w:rPr>
      </w:pPr>
      <w:r w:rsidRPr="00FD0DF4">
        <w:rPr>
          <w:rFonts w:ascii="Calibri" w:hAnsi="Calibri"/>
          <w:color w:val="000000"/>
          <w:sz w:val="22"/>
          <w:szCs w:val="22"/>
        </w:rPr>
        <w:t>A new index of resilience is proposed for classifying households into resilience capacity groups that is based fully on the concept of “adaptive capacity”;</w:t>
      </w:r>
    </w:p>
    <w:p w:rsidR="00B44D9D" w:rsidRPr="00FD0DF4" w:rsidRDefault="00B44D9D" w:rsidP="00B44D9D">
      <w:pPr>
        <w:pStyle w:val="ListParagraph"/>
        <w:numPr>
          <w:ilvl w:val="0"/>
          <w:numId w:val="14"/>
        </w:numPr>
        <w:autoSpaceDE w:val="0"/>
        <w:autoSpaceDN w:val="0"/>
        <w:spacing w:after="58"/>
        <w:rPr>
          <w:rFonts w:ascii="Calibri" w:hAnsi="Calibri"/>
          <w:color w:val="000000"/>
          <w:sz w:val="22"/>
          <w:szCs w:val="22"/>
          <w:u w:val="single"/>
        </w:rPr>
      </w:pPr>
      <w:r w:rsidRPr="00FD0DF4">
        <w:rPr>
          <w:rFonts w:ascii="Calibri" w:hAnsi="Calibri"/>
          <w:color w:val="000000"/>
          <w:sz w:val="22"/>
          <w:szCs w:val="22"/>
        </w:rPr>
        <w:t>The new index is calculated from seven underlying indicators representing four concepts:  human capital, employment, livelihood diversification</w:t>
      </w:r>
      <w:r w:rsidR="00FD0DF4">
        <w:rPr>
          <w:rFonts w:ascii="Calibri" w:hAnsi="Calibri"/>
          <w:color w:val="000000"/>
          <w:sz w:val="22"/>
          <w:szCs w:val="22"/>
        </w:rPr>
        <w:t>,</w:t>
      </w:r>
      <w:r w:rsidRPr="00FD0DF4">
        <w:rPr>
          <w:rFonts w:ascii="Calibri" w:hAnsi="Calibri"/>
          <w:color w:val="000000"/>
          <w:sz w:val="22"/>
          <w:szCs w:val="22"/>
        </w:rPr>
        <w:t xml:space="preserve"> and asset ownership;</w:t>
      </w:r>
    </w:p>
    <w:p w:rsidR="00B44D9D" w:rsidRPr="00FD0DF4" w:rsidRDefault="00B44D9D" w:rsidP="00B44D9D">
      <w:pPr>
        <w:pStyle w:val="ListParagraph"/>
        <w:numPr>
          <w:ilvl w:val="0"/>
          <w:numId w:val="14"/>
        </w:numPr>
        <w:autoSpaceDE w:val="0"/>
        <w:autoSpaceDN w:val="0"/>
        <w:spacing w:after="58"/>
        <w:rPr>
          <w:rFonts w:ascii="Calibri" w:hAnsi="Calibri"/>
          <w:color w:val="000000"/>
          <w:sz w:val="22"/>
          <w:szCs w:val="22"/>
          <w:u w:val="single"/>
        </w:rPr>
      </w:pPr>
      <w:r w:rsidRPr="00FD0DF4">
        <w:rPr>
          <w:rFonts w:ascii="Calibri" w:hAnsi="Calibri"/>
          <w:color w:val="000000"/>
          <w:sz w:val="22"/>
          <w:szCs w:val="22"/>
        </w:rPr>
        <w:t>The index improves on that proposed in the Phase I report in that it is conceptually more coherent, covers more dimensions of adaptive capacity (making fuller use of the available data), and is statistically stronger, as shown using SEFSec 2011 data.</w:t>
      </w:r>
    </w:p>
    <w:p w:rsidR="00B44D9D" w:rsidRPr="00C575AA" w:rsidRDefault="00B44D9D" w:rsidP="00B44D9D">
      <w:pPr>
        <w:pStyle w:val="ListParagraph"/>
        <w:numPr>
          <w:ilvl w:val="0"/>
          <w:numId w:val="14"/>
        </w:numPr>
        <w:autoSpaceDE w:val="0"/>
        <w:autoSpaceDN w:val="0"/>
        <w:spacing w:after="58"/>
        <w:rPr>
          <w:rFonts w:ascii="Calibri" w:hAnsi="Calibri"/>
          <w:color w:val="000000"/>
          <w:u w:val="single"/>
        </w:rPr>
      </w:pPr>
      <w:r w:rsidRPr="00FD0DF4">
        <w:rPr>
          <w:rFonts w:ascii="Calibri" w:hAnsi="Calibri"/>
          <w:color w:val="000000"/>
          <w:sz w:val="22"/>
          <w:szCs w:val="22"/>
        </w:rPr>
        <w:t>As for the Phase I index, the new index is internally consistent and yields the expected positive relationship between resilience capacity and indicators of food consumption.</w:t>
      </w:r>
    </w:p>
    <w:p w:rsidR="00B44D9D" w:rsidRPr="002A573D" w:rsidRDefault="00B44D9D" w:rsidP="00FD0DF4">
      <w:pPr>
        <w:pStyle w:val="Heading1"/>
        <w:rPr>
          <w:rFonts w:asciiTheme="minorHAnsi" w:hAnsiTheme="minorHAnsi"/>
          <w:color w:val="943634" w:themeColor="accent2" w:themeShade="BF"/>
        </w:rPr>
      </w:pPr>
      <w:bookmarkStart w:id="8" w:name="_Toc395979047"/>
      <w:bookmarkStart w:id="9" w:name="_Toc395979697"/>
      <w:r w:rsidRPr="002A573D">
        <w:rPr>
          <w:rFonts w:asciiTheme="minorHAnsi" w:hAnsiTheme="minorHAnsi"/>
          <w:color w:val="943634" w:themeColor="accent2" w:themeShade="BF"/>
          <w:sz w:val="24"/>
          <w:szCs w:val="24"/>
        </w:rPr>
        <w:t>Update of the definitions and terminologies of the SEFSec food security groups</w:t>
      </w:r>
      <w:bookmarkEnd w:id="8"/>
      <w:bookmarkEnd w:id="9"/>
      <w:r w:rsidRPr="002A573D">
        <w:rPr>
          <w:rFonts w:asciiTheme="minorHAnsi" w:hAnsiTheme="minorHAnsi"/>
          <w:color w:val="943634" w:themeColor="accent2" w:themeShade="BF"/>
          <w:sz w:val="24"/>
          <w:szCs w:val="24"/>
        </w:rPr>
        <w:t xml:space="preserve"> </w:t>
      </w:r>
    </w:p>
    <w:p w:rsidR="00B44D9D" w:rsidRPr="00FD0DF4" w:rsidRDefault="00B44D9D" w:rsidP="00B44D9D">
      <w:pPr>
        <w:pStyle w:val="ListParagraph"/>
        <w:numPr>
          <w:ilvl w:val="0"/>
          <w:numId w:val="15"/>
        </w:numPr>
        <w:ind w:left="810"/>
        <w:rPr>
          <w:rFonts w:asciiTheme="minorHAnsi" w:eastAsiaTheme="majorEastAsia" w:hAnsiTheme="minorHAnsi" w:cstheme="majorBidi"/>
          <w:b/>
          <w:bCs/>
          <w:color w:val="365F91" w:themeColor="accent1" w:themeShade="BF"/>
        </w:rPr>
      </w:pPr>
      <w:r w:rsidRPr="00FD0DF4">
        <w:rPr>
          <w:rFonts w:asciiTheme="minorHAnsi" w:hAnsiTheme="minorHAnsi"/>
          <w:color w:val="000000"/>
          <w:sz w:val="22"/>
          <w:szCs w:val="22"/>
        </w:rPr>
        <w:t xml:space="preserve">Despite the changes in the measures of poverty, resilience and food consumption status proposed </w:t>
      </w:r>
      <w:r w:rsidR="00FD0DF4" w:rsidRPr="00FD0DF4">
        <w:rPr>
          <w:rFonts w:asciiTheme="minorHAnsi" w:hAnsiTheme="minorHAnsi"/>
          <w:color w:val="000000"/>
          <w:sz w:val="22"/>
          <w:szCs w:val="22"/>
        </w:rPr>
        <w:t xml:space="preserve">above, </w:t>
      </w:r>
      <w:r w:rsidRPr="00FD0DF4">
        <w:rPr>
          <w:rFonts w:asciiTheme="minorHAnsi" w:hAnsiTheme="minorHAnsi"/>
          <w:color w:val="000000"/>
          <w:sz w:val="22"/>
          <w:szCs w:val="22"/>
        </w:rPr>
        <w:t xml:space="preserve">there are </w:t>
      </w:r>
      <w:r w:rsidRPr="00FD0DF4">
        <w:rPr>
          <w:rFonts w:asciiTheme="minorHAnsi" w:hAnsiTheme="minorHAnsi"/>
          <w:iCs/>
          <w:color w:val="000000"/>
          <w:sz w:val="22"/>
          <w:szCs w:val="22"/>
        </w:rPr>
        <w:t>no</w:t>
      </w:r>
      <w:r w:rsidRPr="00FD0DF4">
        <w:rPr>
          <w:rFonts w:asciiTheme="minorHAnsi" w:hAnsiTheme="minorHAnsi"/>
          <w:color w:val="000000"/>
          <w:sz w:val="22"/>
          <w:szCs w:val="22"/>
        </w:rPr>
        <w:t xml:space="preserve"> changes in the definitions and terminologies of the food security groups from</w:t>
      </w:r>
      <w:r w:rsidR="00FD0DF4" w:rsidRPr="00FD0DF4">
        <w:rPr>
          <w:rFonts w:asciiTheme="minorHAnsi" w:hAnsiTheme="minorHAnsi"/>
          <w:color w:val="000000"/>
          <w:sz w:val="22"/>
          <w:szCs w:val="22"/>
        </w:rPr>
        <w:t xml:space="preserve"> </w:t>
      </w:r>
      <w:r w:rsidRPr="00FD0DF4">
        <w:rPr>
          <w:rFonts w:asciiTheme="minorHAnsi" w:hAnsiTheme="minorHAnsi"/>
          <w:color w:val="000000"/>
          <w:sz w:val="22"/>
          <w:szCs w:val="22"/>
        </w:rPr>
        <w:t>those presented in the Phase I report.</w:t>
      </w:r>
    </w:p>
    <w:p w:rsidR="00B44D9D" w:rsidRPr="002A573D" w:rsidRDefault="00B44D9D" w:rsidP="00B44D9D">
      <w:pPr>
        <w:pStyle w:val="Heading1"/>
        <w:rPr>
          <w:rFonts w:asciiTheme="minorHAnsi" w:hAnsiTheme="minorHAnsi"/>
          <w:color w:val="943634" w:themeColor="accent2" w:themeShade="BF"/>
          <w:sz w:val="24"/>
          <w:szCs w:val="24"/>
        </w:rPr>
      </w:pPr>
      <w:bookmarkStart w:id="10" w:name="_Toc395979048"/>
      <w:bookmarkStart w:id="11" w:name="_Toc395979698"/>
      <w:r w:rsidRPr="002A573D">
        <w:rPr>
          <w:rFonts w:asciiTheme="minorHAnsi" w:hAnsiTheme="minorHAnsi"/>
          <w:color w:val="943634" w:themeColor="accent2" w:themeShade="BF"/>
          <w:sz w:val="24"/>
          <w:szCs w:val="24"/>
        </w:rPr>
        <w:t>Assessment of options for measuring pre-assistance food insecurity rates</w:t>
      </w:r>
      <w:bookmarkEnd w:id="10"/>
      <w:bookmarkEnd w:id="11"/>
      <w:r w:rsidRPr="002A573D">
        <w:rPr>
          <w:rFonts w:asciiTheme="minorHAnsi" w:hAnsiTheme="minorHAnsi"/>
          <w:color w:val="943634" w:themeColor="accent2" w:themeShade="BF"/>
          <w:sz w:val="24"/>
          <w:szCs w:val="24"/>
        </w:rPr>
        <w:t xml:space="preserve"> </w:t>
      </w:r>
    </w:p>
    <w:p w:rsidR="00B44D9D" w:rsidRDefault="00B44D9D" w:rsidP="00B44D9D">
      <w:pPr>
        <w:pStyle w:val="ListParagraph"/>
        <w:numPr>
          <w:ilvl w:val="0"/>
          <w:numId w:val="11"/>
        </w:numPr>
        <w:rPr>
          <w:rFonts w:ascii="Calibri" w:hAnsi="Calibri"/>
          <w:color w:val="000000"/>
          <w:sz w:val="22"/>
          <w:szCs w:val="22"/>
        </w:rPr>
      </w:pPr>
      <w:r>
        <w:rPr>
          <w:rFonts w:ascii="Calibri" w:hAnsi="Calibri"/>
          <w:sz w:val="22"/>
          <w:szCs w:val="22"/>
        </w:rPr>
        <w:t>Measuring pre-assistance food insecurity rates in Palestine requires estimating the food insecurity prevalence that would have occurred in the absence of assistance using appropriate “impact evaluation” techniques.</w:t>
      </w:r>
    </w:p>
    <w:p w:rsidR="00B44D9D" w:rsidRDefault="00B44D9D" w:rsidP="00B44D9D">
      <w:pPr>
        <w:pStyle w:val="ListParagraph"/>
        <w:numPr>
          <w:ilvl w:val="0"/>
          <w:numId w:val="11"/>
        </w:numPr>
        <w:rPr>
          <w:rFonts w:ascii="Calibri" w:hAnsi="Calibri"/>
          <w:color w:val="000000"/>
          <w:sz w:val="22"/>
          <w:szCs w:val="22"/>
        </w:rPr>
      </w:pPr>
      <w:r>
        <w:rPr>
          <w:rFonts w:ascii="Calibri" w:hAnsi="Calibri"/>
          <w:sz w:val="22"/>
          <w:szCs w:val="22"/>
        </w:rPr>
        <w:t>Such techniques require the identification of a control group of households not receiving assistance that is not contaminated by selection bias.</w:t>
      </w:r>
    </w:p>
    <w:p w:rsidR="00B44D9D" w:rsidRDefault="00B44D9D" w:rsidP="00B44D9D">
      <w:pPr>
        <w:pStyle w:val="ListParagraph"/>
        <w:numPr>
          <w:ilvl w:val="0"/>
          <w:numId w:val="11"/>
        </w:numPr>
        <w:rPr>
          <w:rFonts w:ascii="Calibri" w:hAnsi="Calibri"/>
          <w:color w:val="000000"/>
          <w:sz w:val="22"/>
          <w:szCs w:val="22"/>
        </w:rPr>
      </w:pPr>
      <w:r>
        <w:rPr>
          <w:rFonts w:ascii="Calibri" w:hAnsi="Calibri"/>
          <w:sz w:val="22"/>
          <w:szCs w:val="22"/>
        </w:rPr>
        <w:t>Two prominent impact evaluation techniques cannot be applied given the current SEFSec data collection methodology:  implementing a Randomized Controlled Trial (which is also not ethical) and double-difference estimation with panel data.</w:t>
      </w:r>
    </w:p>
    <w:p w:rsidR="00B44D9D" w:rsidRDefault="00B44D9D" w:rsidP="00B44D9D">
      <w:pPr>
        <w:pStyle w:val="ListParagraph"/>
        <w:numPr>
          <w:ilvl w:val="0"/>
          <w:numId w:val="11"/>
        </w:numPr>
        <w:rPr>
          <w:rFonts w:ascii="Calibri" w:hAnsi="Calibri"/>
          <w:color w:val="000000"/>
          <w:sz w:val="22"/>
          <w:szCs w:val="22"/>
        </w:rPr>
      </w:pPr>
      <w:r>
        <w:rPr>
          <w:rFonts w:ascii="Calibri" w:hAnsi="Calibri"/>
          <w:sz w:val="22"/>
          <w:szCs w:val="22"/>
        </w:rPr>
        <w:t xml:space="preserve">The only possible option is the use of “quasi-experimental” methods, such as Propensity Score Matching (PSM).  PSM could be used to estimate pre-assistance food insecurity prevalences if a </w:t>
      </w:r>
      <w:r>
        <w:rPr>
          <w:rFonts w:ascii="Calibri" w:hAnsi="Calibri"/>
          <w:sz w:val="22"/>
          <w:szCs w:val="22"/>
        </w:rPr>
        <w:lastRenderedPageBreak/>
        <w:t>number of conditions are met by the data.  Whether these conditions are met would require further analysis</w:t>
      </w:r>
      <w:r w:rsidR="00FD0DF4">
        <w:rPr>
          <w:rFonts w:ascii="Calibri" w:hAnsi="Calibri"/>
          <w:sz w:val="22"/>
          <w:szCs w:val="22"/>
        </w:rPr>
        <w:t xml:space="preserve"> of the SEFSec data</w:t>
      </w:r>
      <w:r>
        <w:rPr>
          <w:rFonts w:ascii="Calibri" w:hAnsi="Calibri"/>
          <w:sz w:val="22"/>
          <w:szCs w:val="22"/>
        </w:rPr>
        <w:t>.</w:t>
      </w:r>
    </w:p>
    <w:p w:rsidR="00B44D9D" w:rsidRPr="002A573D" w:rsidRDefault="00B44D9D" w:rsidP="00B44D9D">
      <w:pPr>
        <w:pStyle w:val="Heading1"/>
        <w:rPr>
          <w:rFonts w:asciiTheme="minorHAnsi" w:hAnsiTheme="minorHAnsi"/>
          <w:color w:val="943634" w:themeColor="accent2" w:themeShade="BF"/>
          <w:sz w:val="24"/>
          <w:szCs w:val="24"/>
        </w:rPr>
      </w:pPr>
      <w:bookmarkStart w:id="12" w:name="_Toc395979049"/>
      <w:bookmarkStart w:id="13" w:name="_Toc395979699"/>
      <w:r w:rsidRPr="002A573D">
        <w:rPr>
          <w:rFonts w:asciiTheme="minorHAnsi" w:hAnsiTheme="minorHAnsi"/>
          <w:color w:val="943634" w:themeColor="accent2" w:themeShade="BF"/>
          <w:sz w:val="24"/>
          <w:szCs w:val="24"/>
        </w:rPr>
        <w:t>Options for refining the SEFSec expenditures module</w:t>
      </w:r>
      <w:bookmarkEnd w:id="12"/>
      <w:bookmarkEnd w:id="13"/>
      <w:r w:rsidRPr="002A573D">
        <w:rPr>
          <w:rFonts w:asciiTheme="minorHAnsi" w:hAnsiTheme="minorHAnsi"/>
          <w:color w:val="943634" w:themeColor="accent2" w:themeShade="BF"/>
          <w:sz w:val="24"/>
          <w:szCs w:val="24"/>
        </w:rPr>
        <w:t xml:space="preserve"> </w:t>
      </w:r>
    </w:p>
    <w:p w:rsidR="00B44D9D" w:rsidRPr="00FD0DF4" w:rsidRDefault="00B44D9D" w:rsidP="00B44D9D">
      <w:pPr>
        <w:pStyle w:val="ListParagraph"/>
        <w:numPr>
          <w:ilvl w:val="0"/>
          <w:numId w:val="16"/>
        </w:numPr>
        <w:rPr>
          <w:sz w:val="22"/>
          <w:szCs w:val="22"/>
          <w:lang w:val="en-GB"/>
        </w:rPr>
      </w:pPr>
      <w:r w:rsidRPr="00FD0DF4">
        <w:rPr>
          <w:rFonts w:asciiTheme="minorHAnsi" w:hAnsiTheme="minorHAnsi"/>
          <w:sz w:val="22"/>
          <w:szCs w:val="22"/>
          <w:lang w:val="en-GB"/>
        </w:rPr>
        <w:t>The Phase I report found that the current SEFSec expenditures module leads to collection of data that considerably underestimates households’ total expenditures per capita</w:t>
      </w:r>
      <w:r w:rsidR="00FD0DF4">
        <w:rPr>
          <w:rFonts w:asciiTheme="minorHAnsi" w:hAnsiTheme="minorHAnsi"/>
          <w:sz w:val="22"/>
          <w:szCs w:val="22"/>
          <w:lang w:val="en-GB"/>
        </w:rPr>
        <w:t>,</w:t>
      </w:r>
      <w:r w:rsidRPr="00FD0DF4">
        <w:rPr>
          <w:rFonts w:asciiTheme="minorHAnsi" w:hAnsiTheme="minorHAnsi"/>
          <w:sz w:val="22"/>
          <w:szCs w:val="22"/>
          <w:lang w:val="en-GB"/>
        </w:rPr>
        <w:t xml:space="preserve"> leading to strong overestimation of poverty.</w:t>
      </w:r>
    </w:p>
    <w:p w:rsidR="00B44D9D" w:rsidRPr="00FD0DF4" w:rsidRDefault="00B44D9D" w:rsidP="00B44D9D">
      <w:pPr>
        <w:pStyle w:val="ListParagraph"/>
        <w:numPr>
          <w:ilvl w:val="0"/>
          <w:numId w:val="16"/>
        </w:numPr>
        <w:rPr>
          <w:sz w:val="22"/>
          <w:szCs w:val="22"/>
          <w:lang w:val="en-GB"/>
        </w:rPr>
      </w:pPr>
      <w:r w:rsidRPr="00FD0DF4">
        <w:rPr>
          <w:rFonts w:asciiTheme="minorHAnsi" w:hAnsiTheme="minorHAnsi"/>
          <w:sz w:val="22"/>
          <w:szCs w:val="22"/>
          <w:lang w:val="en-GB"/>
        </w:rPr>
        <w:t>Three steps can be taken to overcome this reliability issue:</w:t>
      </w:r>
    </w:p>
    <w:p w:rsidR="00B44D9D" w:rsidRPr="00FD0DF4" w:rsidRDefault="00B44D9D" w:rsidP="00B44D9D">
      <w:pPr>
        <w:pStyle w:val="ListParagraph"/>
        <w:rPr>
          <w:rFonts w:asciiTheme="minorHAnsi" w:hAnsiTheme="minorHAnsi"/>
          <w:sz w:val="22"/>
          <w:szCs w:val="22"/>
          <w:lang w:val="en-GB"/>
        </w:rPr>
      </w:pPr>
      <w:r w:rsidRPr="00FD0DF4">
        <w:rPr>
          <w:rFonts w:asciiTheme="minorHAnsi" w:hAnsiTheme="minorHAnsi"/>
          <w:sz w:val="22"/>
          <w:szCs w:val="22"/>
          <w:lang w:val="en-GB"/>
        </w:rPr>
        <w:t>(1)  Institute a shorter (one or two week) recall period;</w:t>
      </w:r>
    </w:p>
    <w:p w:rsidR="00B44D9D" w:rsidRPr="00FD0DF4" w:rsidRDefault="00B44D9D" w:rsidP="00B44D9D">
      <w:pPr>
        <w:pStyle w:val="ListParagraph"/>
        <w:rPr>
          <w:rFonts w:asciiTheme="minorHAnsi" w:hAnsiTheme="minorHAnsi"/>
          <w:sz w:val="22"/>
          <w:szCs w:val="22"/>
          <w:lang w:val="en-GB"/>
        </w:rPr>
      </w:pPr>
      <w:r w:rsidRPr="00FD0DF4">
        <w:rPr>
          <w:rFonts w:asciiTheme="minorHAnsi" w:hAnsiTheme="minorHAnsi"/>
          <w:sz w:val="22"/>
          <w:szCs w:val="22"/>
          <w:lang w:val="en-GB"/>
        </w:rPr>
        <w:t>(2)  Include some expenditure items representing the food and non-food groups that are currently excluded;</w:t>
      </w:r>
    </w:p>
    <w:p w:rsidR="00B44D9D" w:rsidRPr="00FD0DF4" w:rsidRDefault="00B44D9D" w:rsidP="00B44D9D">
      <w:pPr>
        <w:pStyle w:val="ListParagraph"/>
        <w:rPr>
          <w:sz w:val="22"/>
          <w:szCs w:val="22"/>
          <w:lang w:val="en-GB"/>
        </w:rPr>
      </w:pPr>
      <w:r w:rsidRPr="00FD0DF4">
        <w:rPr>
          <w:rFonts w:asciiTheme="minorHAnsi" w:hAnsiTheme="minorHAnsi"/>
          <w:sz w:val="22"/>
          <w:szCs w:val="22"/>
          <w:lang w:val="en-GB"/>
        </w:rPr>
        <w:t xml:space="preserve">(3)  Include a more detailed, expanded list of food and non-food expenditure items, with the choice of items based on the experience of other surveys and analysis of the latest PECS.   As a starting hypothesis, a reasonably reliable estimate of total expenditures and classification of households into poverty groups would most likely be obtained with a total of around 160 expenditure items.  </w:t>
      </w:r>
    </w:p>
    <w:p w:rsidR="00B44D9D" w:rsidRPr="00FD0DF4" w:rsidRDefault="00B44D9D" w:rsidP="00B44D9D">
      <w:pPr>
        <w:pStyle w:val="ListParagraph"/>
        <w:numPr>
          <w:ilvl w:val="0"/>
          <w:numId w:val="16"/>
        </w:numPr>
        <w:rPr>
          <w:sz w:val="22"/>
          <w:szCs w:val="22"/>
          <w:lang w:val="en-GB"/>
        </w:rPr>
      </w:pPr>
      <w:r w:rsidRPr="00FD0DF4">
        <w:rPr>
          <w:rFonts w:asciiTheme="minorHAnsi" w:hAnsiTheme="minorHAnsi"/>
          <w:sz w:val="22"/>
          <w:szCs w:val="22"/>
          <w:lang w:val="en-GB"/>
        </w:rPr>
        <w:t>Steps (1) and (2) above would not likely lead to greatly increased data collection time and costs, however (3) will inevitably</w:t>
      </w:r>
      <w:r w:rsidR="00FD0DF4">
        <w:rPr>
          <w:rFonts w:asciiTheme="minorHAnsi" w:hAnsiTheme="minorHAnsi"/>
          <w:sz w:val="22"/>
          <w:szCs w:val="22"/>
          <w:lang w:val="en-GB"/>
        </w:rPr>
        <w:t xml:space="preserve"> and systematically</w:t>
      </w:r>
      <w:r w:rsidRPr="00FD0DF4">
        <w:rPr>
          <w:rFonts w:asciiTheme="minorHAnsi" w:hAnsiTheme="minorHAnsi"/>
          <w:sz w:val="22"/>
          <w:szCs w:val="22"/>
          <w:lang w:val="en-GB"/>
        </w:rPr>
        <w:t xml:space="preserve"> increase both.  </w:t>
      </w:r>
    </w:p>
    <w:p w:rsidR="00B44D9D" w:rsidRPr="00C575AA" w:rsidRDefault="00B44D9D" w:rsidP="00B44D9D">
      <w:pPr>
        <w:pStyle w:val="ListParagraph"/>
        <w:numPr>
          <w:ilvl w:val="0"/>
          <w:numId w:val="16"/>
        </w:numPr>
        <w:rPr>
          <w:lang w:val="en-GB"/>
        </w:rPr>
      </w:pPr>
      <w:r w:rsidRPr="00FD0DF4">
        <w:rPr>
          <w:rFonts w:asciiTheme="minorHAnsi" w:hAnsiTheme="minorHAnsi"/>
          <w:sz w:val="22"/>
          <w:szCs w:val="22"/>
          <w:lang w:val="en-GB"/>
        </w:rPr>
        <w:t>Only experimental testing of a set of expanded expenditures modules as part of a future PECS survey will allow for a full assessment of the trade-offs between accuracy and cost.</w:t>
      </w:r>
    </w:p>
    <w:p w:rsidR="00B44D9D" w:rsidRPr="002A573D" w:rsidRDefault="00B44D9D" w:rsidP="00B44D9D">
      <w:pPr>
        <w:pStyle w:val="Heading1"/>
        <w:rPr>
          <w:rFonts w:asciiTheme="minorHAnsi" w:hAnsiTheme="minorHAnsi"/>
          <w:color w:val="943634" w:themeColor="accent2" w:themeShade="BF"/>
          <w:sz w:val="24"/>
          <w:szCs w:val="24"/>
        </w:rPr>
      </w:pPr>
      <w:bookmarkStart w:id="14" w:name="_Toc395979050"/>
      <w:bookmarkStart w:id="15" w:name="_Toc395979700"/>
      <w:r w:rsidRPr="002A573D">
        <w:rPr>
          <w:rFonts w:asciiTheme="minorHAnsi" w:hAnsiTheme="minorHAnsi"/>
          <w:color w:val="943634" w:themeColor="accent2" w:themeShade="BF"/>
          <w:sz w:val="24"/>
          <w:szCs w:val="24"/>
        </w:rPr>
        <w:t>Recommended methodology for SEFSec food insecurity measurement</w:t>
      </w:r>
      <w:bookmarkEnd w:id="14"/>
      <w:bookmarkEnd w:id="15"/>
    </w:p>
    <w:p w:rsidR="00B44D9D" w:rsidRPr="00874196" w:rsidRDefault="00B44D9D" w:rsidP="00B44D9D">
      <w:pPr>
        <w:rPr>
          <w:rFonts w:asciiTheme="minorHAnsi" w:hAnsiTheme="minorHAnsi"/>
          <w:sz w:val="22"/>
          <w:szCs w:val="22"/>
        </w:rPr>
      </w:pPr>
      <w:r w:rsidRPr="00874196">
        <w:rPr>
          <w:rFonts w:asciiTheme="minorHAnsi" w:hAnsiTheme="minorHAnsi"/>
          <w:sz w:val="22"/>
          <w:szCs w:val="22"/>
        </w:rPr>
        <w:t xml:space="preserve">Given the above, the final recommendations for the SEFSec food security measurement methodology are: </w:t>
      </w:r>
    </w:p>
    <w:p w:rsidR="00B44D9D" w:rsidRPr="00874196" w:rsidRDefault="00B44D9D" w:rsidP="00B44D9D">
      <w:pPr>
        <w:pStyle w:val="ListParagraph"/>
        <w:numPr>
          <w:ilvl w:val="0"/>
          <w:numId w:val="11"/>
        </w:numPr>
        <w:rPr>
          <w:rFonts w:ascii="Calibri" w:hAnsi="Calibri"/>
          <w:color w:val="000000"/>
          <w:sz w:val="22"/>
          <w:szCs w:val="22"/>
        </w:rPr>
      </w:pPr>
      <w:r w:rsidRPr="00874196">
        <w:rPr>
          <w:rFonts w:ascii="Calibri" w:hAnsi="Calibri"/>
          <w:sz w:val="22"/>
          <w:szCs w:val="22"/>
        </w:rPr>
        <w:t xml:space="preserve">Maintain the proposed Phase I methodology of classifying households into four food insecurity groups (extremely food insecure, moderately food insecure, vulnerable to food insecurity and food secure) based on (1) measures of poverty, food consumption status, and resilience and (2)  a 27-cell decision matrix;   </w:t>
      </w:r>
    </w:p>
    <w:p w:rsidR="00B44D9D" w:rsidRPr="00874196" w:rsidRDefault="00B44D9D" w:rsidP="00B44D9D">
      <w:pPr>
        <w:pStyle w:val="ListParagraph"/>
        <w:numPr>
          <w:ilvl w:val="0"/>
          <w:numId w:val="11"/>
        </w:numPr>
        <w:rPr>
          <w:rFonts w:ascii="Calibri" w:hAnsi="Calibri"/>
          <w:color w:val="000000"/>
          <w:sz w:val="22"/>
          <w:szCs w:val="22"/>
        </w:rPr>
      </w:pPr>
      <w:r w:rsidRPr="00874196">
        <w:rPr>
          <w:rFonts w:ascii="Calibri" w:hAnsi="Calibri"/>
          <w:color w:val="000000"/>
          <w:sz w:val="22"/>
          <w:szCs w:val="22"/>
        </w:rPr>
        <w:t>For the above use:</w:t>
      </w:r>
    </w:p>
    <w:p w:rsidR="00B44D9D" w:rsidRPr="00874196" w:rsidRDefault="00874196" w:rsidP="00B44D9D">
      <w:pPr>
        <w:ind w:left="1170"/>
        <w:rPr>
          <w:rFonts w:ascii="Calibri" w:hAnsi="Calibri"/>
          <w:color w:val="000000"/>
          <w:sz w:val="22"/>
          <w:szCs w:val="22"/>
        </w:rPr>
      </w:pPr>
      <w:r w:rsidRPr="00874196">
        <w:rPr>
          <w:rFonts w:ascii="Calibri" w:hAnsi="Calibri"/>
          <w:color w:val="000000"/>
          <w:sz w:val="22"/>
          <w:szCs w:val="22"/>
        </w:rPr>
        <w:t xml:space="preserve">* </w:t>
      </w:r>
      <w:r w:rsidR="00B44D9D" w:rsidRPr="00874196">
        <w:rPr>
          <w:rFonts w:ascii="Calibri" w:hAnsi="Calibri"/>
          <w:color w:val="000000"/>
          <w:sz w:val="22"/>
          <w:szCs w:val="22"/>
        </w:rPr>
        <w:t xml:space="preserve">The regression-based asset index measure of </w:t>
      </w:r>
      <w:r w:rsidR="00B44D9D" w:rsidRPr="00874196">
        <w:rPr>
          <w:rFonts w:ascii="Calibri" w:hAnsi="Calibri"/>
          <w:b/>
          <w:color w:val="000000"/>
          <w:sz w:val="22"/>
          <w:szCs w:val="22"/>
        </w:rPr>
        <w:t>poverty</w:t>
      </w:r>
      <w:r w:rsidR="00B44D9D" w:rsidRPr="00874196">
        <w:rPr>
          <w:rFonts w:ascii="Calibri" w:hAnsi="Calibri"/>
          <w:color w:val="000000"/>
          <w:sz w:val="22"/>
          <w:szCs w:val="22"/>
        </w:rPr>
        <w:t>;</w:t>
      </w:r>
    </w:p>
    <w:p w:rsidR="00B44D9D" w:rsidRPr="00874196" w:rsidRDefault="00874196" w:rsidP="00874196">
      <w:pPr>
        <w:ind w:left="1350" w:hanging="180"/>
        <w:rPr>
          <w:rFonts w:ascii="Calibri" w:hAnsi="Calibri"/>
          <w:color w:val="000000"/>
          <w:sz w:val="22"/>
          <w:szCs w:val="22"/>
        </w:rPr>
      </w:pPr>
      <w:r w:rsidRPr="00874196">
        <w:rPr>
          <w:rFonts w:ascii="Calibri" w:hAnsi="Calibri"/>
          <w:color w:val="000000"/>
          <w:sz w:val="22"/>
          <w:szCs w:val="22"/>
        </w:rPr>
        <w:t xml:space="preserve">* </w:t>
      </w:r>
      <w:r w:rsidR="00B44D9D" w:rsidRPr="00874196">
        <w:rPr>
          <w:rFonts w:ascii="Calibri" w:hAnsi="Calibri"/>
          <w:color w:val="000000"/>
          <w:sz w:val="22"/>
          <w:szCs w:val="22"/>
        </w:rPr>
        <w:t xml:space="preserve">The HFIAS-based measure of insufficient dietary quantity and FCS-based measure of inadequate dietary quality to classify households into </w:t>
      </w:r>
      <w:r w:rsidR="00B44D9D" w:rsidRPr="00874196">
        <w:rPr>
          <w:rFonts w:ascii="Calibri" w:hAnsi="Calibri"/>
          <w:b/>
          <w:color w:val="000000"/>
          <w:sz w:val="22"/>
          <w:szCs w:val="22"/>
        </w:rPr>
        <w:t>food consumption</w:t>
      </w:r>
      <w:r w:rsidR="00B44D9D" w:rsidRPr="00874196">
        <w:rPr>
          <w:rFonts w:ascii="Calibri" w:hAnsi="Calibri"/>
          <w:color w:val="000000"/>
          <w:sz w:val="22"/>
          <w:szCs w:val="22"/>
        </w:rPr>
        <w:t xml:space="preserve"> status groups;</w:t>
      </w:r>
    </w:p>
    <w:p w:rsidR="00B44D9D" w:rsidRPr="00874196" w:rsidRDefault="00874196" w:rsidP="00874196">
      <w:pPr>
        <w:ind w:left="1350" w:hanging="180"/>
        <w:rPr>
          <w:rFonts w:ascii="Calibri" w:hAnsi="Calibri"/>
          <w:color w:val="000000"/>
          <w:sz w:val="22"/>
          <w:szCs w:val="22"/>
        </w:rPr>
      </w:pPr>
      <w:r w:rsidRPr="00874196">
        <w:rPr>
          <w:rFonts w:ascii="Calibri" w:hAnsi="Calibri"/>
          <w:color w:val="000000"/>
          <w:sz w:val="22"/>
          <w:szCs w:val="22"/>
        </w:rPr>
        <w:t xml:space="preserve">* </w:t>
      </w:r>
      <w:r w:rsidR="00B44D9D" w:rsidRPr="00874196">
        <w:rPr>
          <w:rFonts w:ascii="Calibri" w:hAnsi="Calibri"/>
          <w:color w:val="000000"/>
          <w:sz w:val="22"/>
          <w:szCs w:val="22"/>
        </w:rPr>
        <w:t xml:space="preserve">The improved measure of </w:t>
      </w:r>
      <w:r w:rsidR="00B44D9D" w:rsidRPr="00874196">
        <w:rPr>
          <w:rFonts w:ascii="Calibri" w:hAnsi="Calibri"/>
          <w:b/>
          <w:color w:val="000000"/>
          <w:sz w:val="22"/>
          <w:szCs w:val="22"/>
        </w:rPr>
        <w:t>resilience</w:t>
      </w:r>
      <w:r w:rsidR="00B44D9D" w:rsidRPr="00874196">
        <w:rPr>
          <w:rFonts w:ascii="Calibri" w:hAnsi="Calibri"/>
          <w:color w:val="000000"/>
          <w:sz w:val="22"/>
          <w:szCs w:val="22"/>
        </w:rPr>
        <w:t xml:space="preserve"> based on the concept of adaptive capacity to classify households into three resilience groups.</w:t>
      </w:r>
    </w:p>
    <w:p w:rsidR="00B44D9D" w:rsidRPr="00874196" w:rsidRDefault="00B44D9D" w:rsidP="00B44D9D">
      <w:pPr>
        <w:pStyle w:val="ListParagraph"/>
        <w:numPr>
          <w:ilvl w:val="0"/>
          <w:numId w:val="11"/>
        </w:numPr>
        <w:rPr>
          <w:rFonts w:ascii="Calibri" w:hAnsi="Calibri"/>
          <w:color w:val="000000"/>
          <w:sz w:val="22"/>
          <w:szCs w:val="22"/>
        </w:rPr>
      </w:pPr>
      <w:r w:rsidRPr="00874196">
        <w:rPr>
          <w:rFonts w:ascii="Calibri" w:hAnsi="Calibri"/>
          <w:color w:val="000000"/>
          <w:sz w:val="22"/>
          <w:szCs w:val="22"/>
        </w:rPr>
        <w:t xml:space="preserve">Such a food insecurity measurement methodology is conceptually valid and the most empirically sound possible given the current SEFSec data collection methodology.  </w:t>
      </w:r>
    </w:p>
    <w:p w:rsidR="00B44D9D" w:rsidRPr="00874196" w:rsidRDefault="00B44D9D" w:rsidP="00B44D9D">
      <w:pPr>
        <w:rPr>
          <w:rFonts w:ascii="Calibri" w:hAnsi="Calibri"/>
          <w:color w:val="000000"/>
          <w:sz w:val="22"/>
          <w:szCs w:val="22"/>
        </w:rPr>
      </w:pPr>
    </w:p>
    <w:p w:rsidR="00B44D9D" w:rsidRPr="00874196" w:rsidRDefault="00B44D9D" w:rsidP="00B44D9D">
      <w:pPr>
        <w:rPr>
          <w:rFonts w:asciiTheme="minorHAnsi" w:hAnsiTheme="minorHAnsi"/>
          <w:sz w:val="22"/>
          <w:szCs w:val="22"/>
        </w:rPr>
      </w:pPr>
      <w:r w:rsidRPr="00874196">
        <w:rPr>
          <w:rFonts w:asciiTheme="minorHAnsi" w:hAnsiTheme="minorHAnsi"/>
          <w:sz w:val="22"/>
          <w:szCs w:val="22"/>
        </w:rPr>
        <w:t>Additional recommendations to consider</w:t>
      </w:r>
      <w:r w:rsidR="00874196">
        <w:rPr>
          <w:rFonts w:asciiTheme="minorHAnsi" w:hAnsiTheme="minorHAnsi"/>
          <w:sz w:val="22"/>
          <w:szCs w:val="22"/>
        </w:rPr>
        <w:t xml:space="preserve"> are</w:t>
      </w:r>
      <w:r w:rsidRPr="00874196">
        <w:rPr>
          <w:rFonts w:asciiTheme="minorHAnsi" w:hAnsiTheme="minorHAnsi"/>
          <w:sz w:val="22"/>
          <w:szCs w:val="22"/>
        </w:rPr>
        <w:t xml:space="preserve">: </w:t>
      </w:r>
    </w:p>
    <w:p w:rsidR="00B44D9D" w:rsidRPr="00874196" w:rsidRDefault="00B44D9D" w:rsidP="00B44D9D">
      <w:pPr>
        <w:pStyle w:val="ListParagraph"/>
        <w:numPr>
          <w:ilvl w:val="0"/>
          <w:numId w:val="12"/>
        </w:numPr>
        <w:rPr>
          <w:rFonts w:asciiTheme="minorHAnsi" w:eastAsiaTheme="majorEastAsia" w:hAnsiTheme="minorHAnsi" w:cstheme="majorBidi"/>
          <w:b/>
          <w:bCs/>
          <w:sz w:val="22"/>
          <w:szCs w:val="22"/>
          <w:lang w:eastAsia="ja-JP"/>
        </w:rPr>
      </w:pPr>
      <w:r w:rsidRPr="00874196">
        <w:rPr>
          <w:rFonts w:asciiTheme="minorHAnsi" w:hAnsiTheme="minorHAnsi"/>
          <w:sz w:val="22"/>
          <w:szCs w:val="22"/>
        </w:rPr>
        <w:t xml:space="preserve">Determine whether the appropriate statistical conditions are satisfied for implementing a quasi-experimental method (e.g., PSM) for estimating pre-assistance food insecurity prevalences; </w:t>
      </w:r>
    </w:p>
    <w:p w:rsidR="00B44D9D" w:rsidRPr="00874196" w:rsidRDefault="00B44D9D" w:rsidP="00B44D9D">
      <w:pPr>
        <w:pStyle w:val="ListParagraph"/>
        <w:numPr>
          <w:ilvl w:val="0"/>
          <w:numId w:val="12"/>
        </w:numPr>
        <w:rPr>
          <w:sz w:val="22"/>
          <w:szCs w:val="22"/>
        </w:rPr>
      </w:pPr>
      <w:r w:rsidRPr="00874196">
        <w:rPr>
          <w:rFonts w:asciiTheme="minorHAnsi" w:hAnsiTheme="minorHAnsi"/>
          <w:sz w:val="22"/>
          <w:szCs w:val="22"/>
        </w:rPr>
        <w:t>Implement a set of 2-3 experimental expanded expenditure modules to be administered to a random sub-set of households as part of the next PECS.  Use the data to evaluate the cost versus accuracy trade-off of an expanded SEFSec expenditures module.</w:t>
      </w:r>
    </w:p>
    <w:p w:rsidR="00465AE7" w:rsidRDefault="00465AE7">
      <w:pPr>
        <w:rPr>
          <w:rFonts w:asciiTheme="minorHAnsi" w:eastAsiaTheme="majorEastAsia" w:hAnsiTheme="minorHAnsi" w:cstheme="majorBidi"/>
          <w:b/>
          <w:bCs/>
          <w:color w:val="365F91" w:themeColor="accent1" w:themeShade="BF"/>
          <w:sz w:val="28"/>
          <w:szCs w:val="28"/>
        </w:rPr>
      </w:pPr>
      <w:r>
        <w:rPr>
          <w:rFonts w:asciiTheme="minorHAnsi" w:hAnsiTheme="minorHAnsi"/>
        </w:rPr>
        <w:br w:type="page"/>
      </w:r>
    </w:p>
    <w:p w:rsidR="009F06C0" w:rsidRPr="00613506" w:rsidRDefault="00782C02" w:rsidP="0098190D">
      <w:pPr>
        <w:pStyle w:val="Heading1"/>
        <w:rPr>
          <w:rFonts w:asciiTheme="minorHAnsi" w:hAnsiTheme="minorHAnsi"/>
        </w:rPr>
      </w:pPr>
      <w:bookmarkStart w:id="16" w:name="_Toc395979701"/>
      <w:r w:rsidRPr="00613506">
        <w:rPr>
          <w:rFonts w:asciiTheme="minorHAnsi" w:hAnsiTheme="minorHAnsi"/>
        </w:rPr>
        <w:lastRenderedPageBreak/>
        <w:t xml:space="preserve">1.   </w:t>
      </w:r>
      <w:r w:rsidR="009F06C0" w:rsidRPr="00613506">
        <w:rPr>
          <w:rFonts w:asciiTheme="minorHAnsi" w:hAnsiTheme="minorHAnsi"/>
        </w:rPr>
        <w:t>Introduction</w:t>
      </w:r>
      <w:bookmarkEnd w:id="16"/>
    </w:p>
    <w:p w:rsidR="009F06C0" w:rsidRPr="009F06C0" w:rsidRDefault="009F06C0" w:rsidP="009F06C0">
      <w:pPr>
        <w:rPr>
          <w:lang w:eastAsia="ja-JP"/>
        </w:rPr>
      </w:pPr>
    </w:p>
    <w:p w:rsidR="009F06C0" w:rsidRPr="009F06C0" w:rsidRDefault="009F06C0" w:rsidP="009321C3">
      <w:pPr>
        <w:rPr>
          <w:rFonts w:asciiTheme="minorHAnsi" w:hAnsiTheme="minorHAnsi"/>
        </w:rPr>
      </w:pPr>
      <w:r w:rsidRPr="009F06C0">
        <w:rPr>
          <w:rFonts w:asciiTheme="minorHAnsi" w:hAnsiTheme="minorHAnsi"/>
        </w:rPr>
        <w:t xml:space="preserve">The annual SEFSec survey administered by the Palestinian Central Bureau of Statistics (PCBS) and the United Nations through FAO, UNRWA and WFP assesses the socio-economic and food security situation in the State of Palestine.    The analysis of the data is undertaken by the Food Security Analysis Unit (FSAU).  </w:t>
      </w:r>
    </w:p>
    <w:p w:rsidR="009F06C0" w:rsidRPr="009F06C0" w:rsidRDefault="009F06C0" w:rsidP="009321C3">
      <w:pPr>
        <w:rPr>
          <w:rFonts w:asciiTheme="minorHAnsi" w:hAnsiTheme="minorHAnsi"/>
        </w:rPr>
      </w:pPr>
    </w:p>
    <w:p w:rsidR="009F06C0" w:rsidRPr="009F06C0" w:rsidRDefault="009F06C0" w:rsidP="009321C3">
      <w:pPr>
        <w:rPr>
          <w:rFonts w:asciiTheme="minorHAnsi" w:hAnsiTheme="minorHAnsi"/>
          <w:lang w:val="en-GB"/>
        </w:rPr>
      </w:pPr>
      <w:r w:rsidRPr="009F06C0">
        <w:rPr>
          <w:rFonts w:asciiTheme="minorHAnsi" w:hAnsiTheme="minorHAnsi"/>
        </w:rPr>
        <w:t>From November 2013 through March 2014, the SEFSec partners engaged the services of TANGO, International staff to assess the SEFSec food security analysis methodology and make recommendations regarding how it could be improved.  This effort resulted in the report “</w:t>
      </w:r>
      <w:r w:rsidRPr="009F06C0">
        <w:rPr>
          <w:rFonts w:asciiTheme="minorHAnsi" w:eastAsia="Calibri" w:hAnsiTheme="minorHAnsi" w:cs="Calibri"/>
          <w:bCs/>
          <w:lang w:val="en-GB"/>
        </w:rPr>
        <w:t>Review of Palestine SEFSec Food Security Analysis Methodology,”</w:t>
      </w:r>
      <w:r>
        <w:rPr>
          <w:rFonts w:asciiTheme="minorHAnsi" w:eastAsia="Calibri" w:hAnsiTheme="minorHAnsi" w:cs="Calibri"/>
          <w:bCs/>
          <w:lang w:val="en-GB"/>
        </w:rPr>
        <w:t xml:space="preserve"> which </w:t>
      </w:r>
      <w:r w:rsidRPr="009F06C0">
        <w:rPr>
          <w:rFonts w:asciiTheme="minorHAnsi" w:hAnsiTheme="minorHAnsi"/>
          <w:lang w:val="en-GB"/>
        </w:rPr>
        <w:t xml:space="preserve">proposed some methodological improvements but also raised additional questions that must be answered for the FSAU to move ahead with confidence to adopt a new SEFSec methodology.   </w:t>
      </w:r>
    </w:p>
    <w:p w:rsidR="009F06C0" w:rsidRPr="009F06C0" w:rsidRDefault="009F06C0" w:rsidP="009321C3">
      <w:pPr>
        <w:rPr>
          <w:rFonts w:asciiTheme="minorHAnsi" w:hAnsiTheme="minorHAnsi"/>
          <w:lang w:val="en-GB"/>
        </w:rPr>
      </w:pPr>
    </w:p>
    <w:p w:rsidR="009F06C0" w:rsidRPr="009F06C0" w:rsidRDefault="009F06C0" w:rsidP="009321C3">
      <w:pPr>
        <w:rPr>
          <w:rFonts w:asciiTheme="minorHAnsi" w:hAnsiTheme="minorHAnsi"/>
          <w:lang w:val="en-GB"/>
        </w:rPr>
      </w:pPr>
      <w:r w:rsidRPr="009F06C0">
        <w:rPr>
          <w:rFonts w:asciiTheme="minorHAnsi" w:hAnsiTheme="minorHAnsi"/>
          <w:lang w:val="en-GB"/>
        </w:rPr>
        <w:t xml:space="preserve">The purpose of Phase II of the SEFSec review is to refine and validate the preferred options presented in the Phase I report and produce summary statistics for the final preferred choice of the FSAU (including PCBS).  </w:t>
      </w:r>
      <w:r>
        <w:rPr>
          <w:rFonts w:asciiTheme="minorHAnsi" w:hAnsiTheme="minorHAnsi"/>
          <w:lang w:val="en-GB"/>
        </w:rPr>
        <w:t>The objective of this report is to b</w:t>
      </w:r>
      <w:r w:rsidRPr="009F06C0">
        <w:rPr>
          <w:rFonts w:asciiTheme="minorHAnsi" w:hAnsiTheme="minorHAnsi"/>
          <w:lang w:val="en-GB"/>
        </w:rPr>
        <w:t xml:space="preserve">uild upon the work that was done in the Phase I review with additional analysis to arrive at a single new methodology upon which all members of the FSAU can agree.  The specific tasks are </w:t>
      </w:r>
      <w:r>
        <w:rPr>
          <w:rFonts w:asciiTheme="minorHAnsi" w:hAnsiTheme="minorHAnsi"/>
          <w:lang w:val="en-GB"/>
        </w:rPr>
        <w:t>to</w:t>
      </w:r>
      <w:r w:rsidRPr="009F06C0">
        <w:rPr>
          <w:rFonts w:asciiTheme="minorHAnsi" w:hAnsiTheme="minorHAnsi"/>
          <w:lang w:val="en-GB"/>
        </w:rPr>
        <w:t>:</w:t>
      </w:r>
    </w:p>
    <w:p w:rsidR="009F06C0" w:rsidRPr="009F06C0" w:rsidRDefault="009F06C0" w:rsidP="007D7476">
      <w:pPr>
        <w:rPr>
          <w:rFonts w:asciiTheme="minorHAnsi" w:hAnsiTheme="minorHAnsi"/>
          <w:lang w:val="en-GB"/>
        </w:rPr>
      </w:pPr>
    </w:p>
    <w:p w:rsidR="009F06C0" w:rsidRPr="009E4703" w:rsidRDefault="009F06C0" w:rsidP="009E4703">
      <w:pPr>
        <w:pStyle w:val="ListParagraph"/>
        <w:numPr>
          <w:ilvl w:val="0"/>
          <w:numId w:val="17"/>
        </w:numPr>
        <w:rPr>
          <w:rFonts w:asciiTheme="minorHAnsi" w:hAnsiTheme="minorHAnsi"/>
          <w:color w:val="000000"/>
        </w:rPr>
      </w:pPr>
      <w:r w:rsidRPr="009E4703">
        <w:rPr>
          <w:rFonts w:asciiTheme="minorHAnsi" w:hAnsiTheme="minorHAnsi"/>
          <w:color w:val="000000"/>
        </w:rPr>
        <w:t xml:space="preserve">Validate the stability over time of the asset-based index measuring poverty; </w:t>
      </w:r>
    </w:p>
    <w:p w:rsidR="007D7476" w:rsidRPr="009E4703" w:rsidRDefault="009F06C0" w:rsidP="009E4703">
      <w:pPr>
        <w:pStyle w:val="ListParagraph"/>
        <w:numPr>
          <w:ilvl w:val="0"/>
          <w:numId w:val="17"/>
        </w:numPr>
        <w:rPr>
          <w:rFonts w:asciiTheme="minorHAnsi" w:hAnsiTheme="minorHAnsi"/>
          <w:color w:val="000000"/>
        </w:rPr>
      </w:pPr>
      <w:r w:rsidRPr="009E4703">
        <w:rPr>
          <w:rFonts w:asciiTheme="minorHAnsi" w:hAnsiTheme="minorHAnsi"/>
          <w:color w:val="000000"/>
        </w:rPr>
        <w:t xml:space="preserve">Assess the possibility of developing a hybrid food consumption index combining the </w:t>
      </w:r>
      <w:r w:rsidR="00874196" w:rsidRPr="009E4703">
        <w:rPr>
          <w:rFonts w:asciiTheme="minorHAnsi" w:hAnsiTheme="minorHAnsi"/>
          <w:color w:val="000000"/>
        </w:rPr>
        <w:t xml:space="preserve">  </w:t>
      </w:r>
    </w:p>
    <w:p w:rsidR="009F06C0" w:rsidRPr="009E4703" w:rsidRDefault="009F06C0" w:rsidP="009E4703">
      <w:pPr>
        <w:pStyle w:val="ListParagraph"/>
        <w:numPr>
          <w:ilvl w:val="0"/>
          <w:numId w:val="17"/>
        </w:numPr>
        <w:rPr>
          <w:rFonts w:asciiTheme="minorHAnsi" w:hAnsiTheme="minorHAnsi"/>
          <w:color w:val="000000"/>
        </w:rPr>
      </w:pPr>
      <w:r w:rsidRPr="009E4703">
        <w:rPr>
          <w:rFonts w:asciiTheme="minorHAnsi" w:hAnsiTheme="minorHAnsi"/>
          <w:color w:val="000000"/>
        </w:rPr>
        <w:t xml:space="preserve">Household Food Insecurity Access Scale (HFIAS) and Food Consumption Score (FCS); </w:t>
      </w:r>
    </w:p>
    <w:p w:rsidR="009F06C0" w:rsidRPr="009E4703" w:rsidRDefault="009F06C0" w:rsidP="009E4703">
      <w:pPr>
        <w:pStyle w:val="ListParagraph"/>
        <w:numPr>
          <w:ilvl w:val="0"/>
          <w:numId w:val="17"/>
        </w:numPr>
        <w:rPr>
          <w:rFonts w:asciiTheme="minorHAnsi" w:hAnsiTheme="minorHAnsi"/>
          <w:color w:val="000000"/>
        </w:rPr>
      </w:pPr>
      <w:r w:rsidRPr="009E4703">
        <w:rPr>
          <w:rFonts w:asciiTheme="minorHAnsi" w:hAnsiTheme="minorHAnsi"/>
          <w:color w:val="000000"/>
        </w:rPr>
        <w:t xml:space="preserve">Provide an improved measure of resilience; </w:t>
      </w:r>
    </w:p>
    <w:p w:rsidR="009F06C0" w:rsidRPr="009E4703" w:rsidRDefault="009F06C0" w:rsidP="009E4703">
      <w:pPr>
        <w:pStyle w:val="ListParagraph"/>
        <w:numPr>
          <w:ilvl w:val="0"/>
          <w:numId w:val="17"/>
        </w:numPr>
        <w:rPr>
          <w:rFonts w:asciiTheme="minorHAnsi" w:hAnsiTheme="minorHAnsi"/>
        </w:rPr>
      </w:pPr>
      <w:r w:rsidRPr="009E4703">
        <w:rPr>
          <w:rFonts w:asciiTheme="minorHAnsi" w:hAnsiTheme="minorHAnsi"/>
          <w:color w:val="000000"/>
        </w:rPr>
        <w:t xml:space="preserve">Update the </w:t>
      </w:r>
      <w:r w:rsidR="009E4703" w:rsidRPr="009E4703">
        <w:rPr>
          <w:rFonts w:asciiTheme="minorHAnsi" w:hAnsiTheme="minorHAnsi"/>
          <w:color w:val="000000"/>
        </w:rPr>
        <w:t xml:space="preserve">Phase I </w:t>
      </w:r>
      <w:r w:rsidRPr="009E4703">
        <w:rPr>
          <w:rFonts w:asciiTheme="minorHAnsi" w:hAnsiTheme="minorHAnsi"/>
          <w:color w:val="000000"/>
        </w:rPr>
        <w:t xml:space="preserve">definitions of the terminologies of food insecurity groups; </w:t>
      </w:r>
    </w:p>
    <w:p w:rsidR="009F06C0" w:rsidRPr="009E4703" w:rsidRDefault="009F06C0" w:rsidP="009E4703">
      <w:pPr>
        <w:pStyle w:val="ListParagraph"/>
        <w:numPr>
          <w:ilvl w:val="0"/>
          <w:numId w:val="17"/>
        </w:numPr>
        <w:rPr>
          <w:rFonts w:asciiTheme="minorHAnsi" w:hAnsiTheme="minorHAnsi"/>
        </w:rPr>
      </w:pPr>
      <w:r w:rsidRPr="009E4703">
        <w:rPr>
          <w:rFonts w:asciiTheme="minorHAnsi" w:hAnsiTheme="minorHAnsi"/>
          <w:color w:val="000000"/>
        </w:rPr>
        <w:t xml:space="preserve">Assess options for measuring pre-assistance food insecurity rates;   </w:t>
      </w:r>
    </w:p>
    <w:p w:rsidR="009F06C0" w:rsidRPr="009E4703" w:rsidRDefault="009F06C0" w:rsidP="009E4703">
      <w:pPr>
        <w:pStyle w:val="ListParagraph"/>
        <w:numPr>
          <w:ilvl w:val="0"/>
          <w:numId w:val="17"/>
        </w:numPr>
        <w:rPr>
          <w:rFonts w:asciiTheme="minorHAnsi" w:hAnsiTheme="minorHAnsi"/>
          <w:color w:val="000000"/>
        </w:rPr>
      </w:pPr>
      <w:r w:rsidRPr="009E4703">
        <w:rPr>
          <w:rFonts w:asciiTheme="minorHAnsi" w:hAnsiTheme="minorHAnsi"/>
          <w:color w:val="000000"/>
        </w:rPr>
        <w:t>Suggest longer-term options for refining the expenditure module; and</w:t>
      </w:r>
    </w:p>
    <w:p w:rsidR="009F06C0" w:rsidRPr="009E4703" w:rsidRDefault="009F06C0" w:rsidP="009E4703">
      <w:pPr>
        <w:pStyle w:val="ListParagraph"/>
        <w:numPr>
          <w:ilvl w:val="0"/>
          <w:numId w:val="17"/>
        </w:numPr>
        <w:rPr>
          <w:rFonts w:asciiTheme="minorHAnsi" w:hAnsiTheme="minorHAnsi"/>
          <w:color w:val="000000"/>
        </w:rPr>
      </w:pPr>
      <w:r w:rsidRPr="009E4703">
        <w:rPr>
          <w:rFonts w:asciiTheme="minorHAnsi" w:hAnsiTheme="minorHAnsi"/>
          <w:color w:val="000000"/>
        </w:rPr>
        <w:t xml:space="preserve">Propose a single recommended methodology for consideration by the FSAU. </w:t>
      </w:r>
    </w:p>
    <w:p w:rsidR="008935F0" w:rsidRDefault="00782C02" w:rsidP="009321C3">
      <w:pPr>
        <w:pStyle w:val="TOCHeading"/>
        <w:rPr>
          <w:rFonts w:asciiTheme="minorHAnsi" w:hAnsiTheme="minorHAnsi"/>
        </w:rPr>
      </w:pPr>
      <w:r w:rsidRPr="00B30983">
        <w:rPr>
          <w:rFonts w:asciiTheme="minorHAnsi" w:hAnsiTheme="minorHAnsi"/>
        </w:rPr>
        <w:t xml:space="preserve"> </w:t>
      </w:r>
    </w:p>
    <w:p w:rsidR="008935F0" w:rsidRDefault="008935F0">
      <w:pPr>
        <w:rPr>
          <w:rFonts w:asciiTheme="minorHAnsi" w:eastAsiaTheme="majorEastAsia" w:hAnsiTheme="minorHAnsi" w:cstheme="majorBidi"/>
          <w:b/>
          <w:bCs/>
          <w:color w:val="365F91" w:themeColor="accent1" w:themeShade="BF"/>
          <w:sz w:val="28"/>
          <w:szCs w:val="28"/>
          <w:lang w:eastAsia="ja-JP"/>
        </w:rPr>
      </w:pPr>
      <w:r>
        <w:rPr>
          <w:rFonts w:asciiTheme="minorHAnsi" w:hAnsiTheme="minorHAnsi"/>
        </w:rPr>
        <w:br w:type="page"/>
      </w:r>
    </w:p>
    <w:p w:rsidR="00782C02" w:rsidRPr="00613506" w:rsidRDefault="00782C02" w:rsidP="0098190D">
      <w:pPr>
        <w:pStyle w:val="Heading1"/>
        <w:rPr>
          <w:rFonts w:asciiTheme="minorHAnsi" w:hAnsiTheme="minorHAnsi"/>
        </w:rPr>
      </w:pPr>
      <w:bookmarkStart w:id="17" w:name="_Toc395979702"/>
      <w:r w:rsidRPr="00613506">
        <w:rPr>
          <w:rFonts w:asciiTheme="minorHAnsi" w:hAnsiTheme="minorHAnsi"/>
        </w:rPr>
        <w:lastRenderedPageBreak/>
        <w:t>2.  Validat</w:t>
      </w:r>
      <w:r w:rsidR="00625F5B" w:rsidRPr="00613506">
        <w:rPr>
          <w:rFonts w:asciiTheme="minorHAnsi" w:hAnsiTheme="minorHAnsi"/>
        </w:rPr>
        <w:t>i</w:t>
      </w:r>
      <w:r w:rsidRPr="00613506">
        <w:rPr>
          <w:rFonts w:asciiTheme="minorHAnsi" w:hAnsiTheme="minorHAnsi"/>
        </w:rPr>
        <w:t>on of the st</w:t>
      </w:r>
      <w:r w:rsidR="00B02B95" w:rsidRPr="00613506">
        <w:rPr>
          <w:rFonts w:asciiTheme="minorHAnsi" w:hAnsiTheme="minorHAnsi"/>
        </w:rPr>
        <w:t>a</w:t>
      </w:r>
      <w:r w:rsidRPr="00613506">
        <w:rPr>
          <w:rFonts w:asciiTheme="minorHAnsi" w:hAnsiTheme="minorHAnsi"/>
        </w:rPr>
        <w:t>bility over time and accuracy of asset-based estimate</w:t>
      </w:r>
      <w:r w:rsidR="008A0A65" w:rsidRPr="00613506">
        <w:rPr>
          <w:rFonts w:asciiTheme="minorHAnsi" w:hAnsiTheme="minorHAnsi"/>
        </w:rPr>
        <w:t>s</w:t>
      </w:r>
      <w:r w:rsidRPr="00613506">
        <w:rPr>
          <w:rFonts w:asciiTheme="minorHAnsi" w:hAnsiTheme="minorHAnsi"/>
        </w:rPr>
        <w:t xml:space="preserve"> of</w:t>
      </w:r>
      <w:r w:rsidR="00C41249" w:rsidRPr="00613506">
        <w:rPr>
          <w:rFonts w:asciiTheme="minorHAnsi" w:hAnsiTheme="minorHAnsi"/>
        </w:rPr>
        <w:t xml:space="preserve"> poverty for Palestine</w:t>
      </w:r>
      <w:bookmarkEnd w:id="17"/>
    </w:p>
    <w:p w:rsidR="00782C02" w:rsidRPr="00B30983" w:rsidRDefault="00782C02" w:rsidP="00782C02">
      <w:pPr>
        <w:rPr>
          <w:rFonts w:asciiTheme="minorHAnsi" w:hAnsiTheme="minorHAnsi"/>
        </w:rPr>
      </w:pPr>
    </w:p>
    <w:p w:rsidR="000D430F" w:rsidRPr="00B30983" w:rsidRDefault="00C41249" w:rsidP="00C41249">
      <w:pPr>
        <w:rPr>
          <w:rFonts w:asciiTheme="minorHAnsi" w:hAnsiTheme="minorHAnsi"/>
        </w:rPr>
      </w:pPr>
      <w:r w:rsidRPr="00B30983">
        <w:rPr>
          <w:rFonts w:asciiTheme="minorHAnsi" w:hAnsiTheme="minorHAnsi"/>
        </w:rPr>
        <w:t xml:space="preserve">The Phase I report </w:t>
      </w:r>
      <w:r w:rsidR="00B02B95">
        <w:rPr>
          <w:rFonts w:asciiTheme="minorHAnsi" w:hAnsiTheme="minorHAnsi"/>
        </w:rPr>
        <w:t xml:space="preserve">presented </w:t>
      </w:r>
      <w:r w:rsidRPr="00B30983">
        <w:rPr>
          <w:rFonts w:asciiTheme="minorHAnsi" w:hAnsiTheme="minorHAnsi"/>
        </w:rPr>
        <w:t>th</w:t>
      </w:r>
      <w:r w:rsidR="00B02B95">
        <w:rPr>
          <w:rFonts w:asciiTheme="minorHAnsi" w:hAnsiTheme="minorHAnsi"/>
        </w:rPr>
        <w:t>r</w:t>
      </w:r>
      <w:r w:rsidRPr="00B30983">
        <w:rPr>
          <w:rFonts w:asciiTheme="minorHAnsi" w:hAnsiTheme="minorHAnsi"/>
        </w:rPr>
        <w:t>e</w:t>
      </w:r>
      <w:r w:rsidR="00B02B95">
        <w:rPr>
          <w:rFonts w:asciiTheme="minorHAnsi" w:hAnsiTheme="minorHAnsi"/>
        </w:rPr>
        <w:t>e</w:t>
      </w:r>
      <w:r w:rsidRPr="00B30983">
        <w:rPr>
          <w:rFonts w:asciiTheme="minorHAnsi" w:hAnsiTheme="minorHAnsi"/>
        </w:rPr>
        <w:t xml:space="preserve"> options for measuring poverty</w:t>
      </w:r>
      <w:r w:rsidR="00B02B95">
        <w:rPr>
          <w:rFonts w:asciiTheme="minorHAnsi" w:hAnsiTheme="minorHAnsi"/>
        </w:rPr>
        <w:t>:</w:t>
      </w:r>
      <w:r w:rsidRPr="00B30983">
        <w:rPr>
          <w:rFonts w:asciiTheme="minorHAnsi" w:hAnsiTheme="minorHAnsi"/>
        </w:rPr>
        <w:t xml:space="preserve"> (1) relying directly on the SEFSec expenditures data, (2) using the PMTF formula employed for selecting beneficiaries for government social protection programs in Palestine, and (3) relying on an asset index</w:t>
      </w:r>
      <w:r w:rsidR="00B02B95">
        <w:rPr>
          <w:rFonts w:asciiTheme="minorHAnsi" w:hAnsiTheme="minorHAnsi"/>
        </w:rPr>
        <w:t>.  T</w:t>
      </w:r>
      <w:r w:rsidRPr="00B30983">
        <w:rPr>
          <w:rFonts w:asciiTheme="minorHAnsi" w:hAnsiTheme="minorHAnsi"/>
        </w:rPr>
        <w:t xml:space="preserve">he latter </w:t>
      </w:r>
      <w:r w:rsidR="00B02B95">
        <w:rPr>
          <w:rFonts w:asciiTheme="minorHAnsi" w:hAnsiTheme="minorHAnsi"/>
        </w:rPr>
        <w:t xml:space="preserve">was determined to be </w:t>
      </w:r>
      <w:r w:rsidRPr="00B30983">
        <w:rPr>
          <w:rFonts w:asciiTheme="minorHAnsi" w:hAnsiTheme="minorHAnsi"/>
        </w:rPr>
        <w:t>the best option.  However, some additional analysis was recommended to determine whether an asset index would yield accurate estimates of poverty over time, which requires that the relationship between the assets and total expenditures is temporally stable.  The purpose of this section</w:t>
      </w:r>
      <w:r w:rsidR="000D430F" w:rsidRPr="00B30983">
        <w:rPr>
          <w:rFonts w:asciiTheme="minorHAnsi" w:hAnsiTheme="minorHAnsi"/>
        </w:rPr>
        <w:t xml:space="preserve">’s analysis </w:t>
      </w:r>
      <w:r w:rsidR="00194352">
        <w:rPr>
          <w:rFonts w:asciiTheme="minorHAnsi" w:hAnsiTheme="minorHAnsi"/>
        </w:rPr>
        <w:t xml:space="preserve">is </w:t>
      </w:r>
      <w:r w:rsidR="000D430F" w:rsidRPr="00B30983">
        <w:rPr>
          <w:rFonts w:asciiTheme="minorHAnsi" w:hAnsiTheme="minorHAnsi"/>
        </w:rPr>
        <w:t>to determine whether a set of temporally stable assets is available in the SEFSec surveys and, subsequently, whether</w:t>
      </w:r>
      <w:r w:rsidR="00194352">
        <w:rPr>
          <w:rFonts w:asciiTheme="minorHAnsi" w:hAnsiTheme="minorHAnsi"/>
        </w:rPr>
        <w:t xml:space="preserve"> </w:t>
      </w:r>
      <w:r w:rsidR="00194352" w:rsidRPr="00B30983">
        <w:rPr>
          <w:rFonts w:asciiTheme="minorHAnsi" w:hAnsiTheme="minorHAnsi"/>
        </w:rPr>
        <w:t>an index based on them</w:t>
      </w:r>
      <w:r w:rsidR="000D430F" w:rsidRPr="00B30983">
        <w:rPr>
          <w:rFonts w:asciiTheme="minorHAnsi" w:hAnsiTheme="minorHAnsi"/>
        </w:rPr>
        <w:t xml:space="preserve"> will </w:t>
      </w:r>
      <w:r w:rsidR="00194352" w:rsidRPr="00B30983">
        <w:rPr>
          <w:rFonts w:asciiTheme="minorHAnsi" w:hAnsiTheme="minorHAnsi"/>
        </w:rPr>
        <w:t>allow accurate classification of households into poverty groups</w:t>
      </w:r>
      <w:r w:rsidR="00194352">
        <w:rPr>
          <w:rFonts w:asciiTheme="minorHAnsi" w:hAnsiTheme="minorHAnsi"/>
        </w:rPr>
        <w:t xml:space="preserve"> and </w:t>
      </w:r>
      <w:r w:rsidR="000D430F" w:rsidRPr="00B30983">
        <w:rPr>
          <w:rFonts w:asciiTheme="minorHAnsi" w:hAnsiTheme="minorHAnsi"/>
        </w:rPr>
        <w:t>accurate estimates of poverty</w:t>
      </w:r>
      <w:r w:rsidR="00194352">
        <w:rPr>
          <w:rFonts w:asciiTheme="minorHAnsi" w:hAnsiTheme="minorHAnsi"/>
        </w:rPr>
        <w:t xml:space="preserve">.  </w:t>
      </w:r>
      <w:r w:rsidR="000D430F" w:rsidRPr="00B30983">
        <w:rPr>
          <w:rFonts w:asciiTheme="minorHAnsi" w:hAnsiTheme="minorHAnsi"/>
        </w:rPr>
        <w:t xml:space="preserve"> The data relied on are PECS and SEFSec data from 2009, 2010 and 2011.    </w:t>
      </w:r>
    </w:p>
    <w:p w:rsidR="00C76CC2" w:rsidRPr="00B30983" w:rsidRDefault="00C76CC2" w:rsidP="00C41249">
      <w:pPr>
        <w:rPr>
          <w:rFonts w:asciiTheme="minorHAnsi" w:hAnsiTheme="minorHAnsi"/>
        </w:rPr>
      </w:pPr>
    </w:p>
    <w:p w:rsidR="00C41249" w:rsidRPr="00B30983" w:rsidRDefault="000D430F" w:rsidP="00C41249">
      <w:pPr>
        <w:rPr>
          <w:rFonts w:asciiTheme="minorHAnsi" w:hAnsiTheme="minorHAnsi"/>
        </w:rPr>
      </w:pPr>
      <w:r w:rsidRPr="00B30983">
        <w:rPr>
          <w:rFonts w:asciiTheme="minorHAnsi" w:hAnsiTheme="minorHAnsi"/>
        </w:rPr>
        <w:t xml:space="preserve">It is important to keep in mind that the reliance on an asset-based measure of poverty is </w:t>
      </w:r>
      <w:r w:rsidR="00194352">
        <w:rPr>
          <w:rFonts w:asciiTheme="minorHAnsi" w:hAnsiTheme="minorHAnsi"/>
        </w:rPr>
        <w:t>anticipated</w:t>
      </w:r>
      <w:r w:rsidRPr="00B30983">
        <w:rPr>
          <w:rFonts w:asciiTheme="minorHAnsi" w:hAnsiTheme="minorHAnsi"/>
        </w:rPr>
        <w:t xml:space="preserve"> to be short-term, perhaps for the next five years.  In the longer term, it is expected that more accurate expenditures data will be collected in the SEFSec surveys.</w:t>
      </w:r>
    </w:p>
    <w:p w:rsidR="00C41249" w:rsidRPr="00B30983" w:rsidRDefault="00C41249" w:rsidP="00C41249">
      <w:pPr>
        <w:rPr>
          <w:rFonts w:asciiTheme="minorHAnsi" w:hAnsiTheme="minorHAnsi"/>
        </w:rPr>
      </w:pPr>
    </w:p>
    <w:p w:rsidR="00C41249" w:rsidRPr="009321C3" w:rsidRDefault="00BD7E3D" w:rsidP="0098190D">
      <w:pPr>
        <w:pStyle w:val="Heading3"/>
        <w:numPr>
          <w:ilvl w:val="0"/>
          <w:numId w:val="0"/>
        </w:numPr>
        <w:ind w:left="1152"/>
        <w:rPr>
          <w:rFonts w:asciiTheme="minorHAnsi" w:hAnsiTheme="minorHAnsi"/>
          <w:sz w:val="28"/>
          <w:szCs w:val="28"/>
        </w:rPr>
      </w:pPr>
      <w:bookmarkStart w:id="18" w:name="_Toc382822223"/>
      <w:bookmarkStart w:id="19" w:name="_Toc395979703"/>
      <w:r w:rsidRPr="009321C3">
        <w:rPr>
          <w:rFonts w:asciiTheme="minorHAnsi" w:hAnsiTheme="minorHAnsi"/>
          <w:color w:val="365F91" w:themeColor="accent1" w:themeShade="BF"/>
          <w:sz w:val="28"/>
          <w:szCs w:val="28"/>
        </w:rPr>
        <w:t>2.1 Options</w:t>
      </w:r>
      <w:r w:rsidR="00C41249" w:rsidRPr="009321C3">
        <w:rPr>
          <w:rFonts w:asciiTheme="minorHAnsi" w:hAnsiTheme="minorHAnsi"/>
          <w:color w:val="365F91" w:themeColor="accent1" w:themeShade="BF"/>
          <w:sz w:val="28"/>
          <w:szCs w:val="28"/>
        </w:rPr>
        <w:t xml:space="preserve"> for constructing asset indexes</w:t>
      </w:r>
      <w:bookmarkEnd w:id="18"/>
      <w:bookmarkEnd w:id="19"/>
    </w:p>
    <w:p w:rsidR="00C41249" w:rsidRPr="00B30983" w:rsidRDefault="00C41249" w:rsidP="00C41249">
      <w:pPr>
        <w:rPr>
          <w:rFonts w:asciiTheme="minorHAnsi" w:hAnsiTheme="minorHAnsi"/>
          <w:lang w:val="en-GB"/>
        </w:rPr>
      </w:pPr>
    </w:p>
    <w:p w:rsidR="000D430F" w:rsidRPr="00B30983" w:rsidRDefault="000D430F" w:rsidP="000D430F">
      <w:pPr>
        <w:rPr>
          <w:rFonts w:asciiTheme="minorHAnsi" w:hAnsiTheme="minorHAnsi"/>
        </w:rPr>
      </w:pPr>
      <w:r w:rsidRPr="00B30983">
        <w:rPr>
          <w:rFonts w:asciiTheme="minorHAnsi" w:hAnsiTheme="minorHAnsi"/>
        </w:rPr>
        <w:t>Asset indexes are used as an alternative to what is considered the most accurate</w:t>
      </w:r>
      <w:r w:rsidR="00B02B95" w:rsidRPr="00B30983">
        <w:rPr>
          <w:rFonts w:asciiTheme="minorHAnsi" w:hAnsiTheme="minorHAnsi"/>
        </w:rPr>
        <w:t>—</w:t>
      </w:r>
      <w:r w:rsidRPr="00B30983">
        <w:rPr>
          <w:rFonts w:asciiTheme="minorHAnsi" w:hAnsiTheme="minorHAnsi"/>
        </w:rPr>
        <w:t>yet more costly</w:t>
      </w:r>
      <w:r w:rsidR="00B02B95" w:rsidRPr="00B30983">
        <w:rPr>
          <w:rFonts w:asciiTheme="minorHAnsi" w:hAnsiTheme="minorHAnsi"/>
        </w:rPr>
        <w:t>—</w:t>
      </w:r>
      <w:r w:rsidRPr="00B30983">
        <w:rPr>
          <w:rFonts w:asciiTheme="minorHAnsi" w:hAnsiTheme="minorHAnsi"/>
        </w:rPr>
        <w:t xml:space="preserve">technique for measuring households’ income, the collection of data on households’ total expenditures.  Three options for constructing asset indexes are explored here.  </w:t>
      </w:r>
    </w:p>
    <w:p w:rsidR="000D430F" w:rsidRPr="00B30983" w:rsidRDefault="000D430F" w:rsidP="00782C02">
      <w:pPr>
        <w:ind w:left="540" w:hanging="540"/>
        <w:rPr>
          <w:rFonts w:asciiTheme="minorHAnsi" w:hAnsiTheme="minorHAnsi"/>
        </w:rPr>
      </w:pPr>
    </w:p>
    <w:p w:rsidR="00C41249" w:rsidRPr="00B30983" w:rsidRDefault="000D430F" w:rsidP="000D430F">
      <w:pPr>
        <w:rPr>
          <w:rFonts w:asciiTheme="minorHAnsi" w:hAnsiTheme="minorHAnsi"/>
        </w:rPr>
      </w:pPr>
      <w:r w:rsidRPr="00B30983">
        <w:rPr>
          <w:rFonts w:asciiTheme="minorHAnsi" w:hAnsiTheme="minorHAnsi"/>
          <w:b/>
        </w:rPr>
        <w:t>1.  Principal components analysis (PCA)</w:t>
      </w:r>
      <w:r w:rsidRPr="00B30983">
        <w:rPr>
          <w:rFonts w:asciiTheme="minorHAnsi" w:hAnsiTheme="minorHAnsi"/>
        </w:rPr>
        <w:t xml:space="preserve">.   Asset ownership dummy variables (1=owned, </w:t>
      </w:r>
      <w:r w:rsidR="00194352">
        <w:rPr>
          <w:rFonts w:asciiTheme="minorHAnsi" w:hAnsiTheme="minorHAnsi"/>
        </w:rPr>
        <w:t>0</w:t>
      </w:r>
      <w:r w:rsidRPr="00B30983">
        <w:rPr>
          <w:rFonts w:asciiTheme="minorHAnsi" w:hAnsiTheme="minorHAnsi"/>
        </w:rPr>
        <w:t>=not owned) are combined into an index defined as the first principal component yielded by PCA.  The first component is that for which the variables are most highly inter-correlated.</w:t>
      </w:r>
      <w:r w:rsidR="006B6A08">
        <w:rPr>
          <w:rFonts w:asciiTheme="minorHAnsi" w:hAnsiTheme="minorHAnsi"/>
        </w:rPr>
        <w:t xml:space="preserve">  For this analysis</w:t>
      </w:r>
      <w:r w:rsidR="00BD7E3D">
        <w:rPr>
          <w:rFonts w:asciiTheme="minorHAnsi" w:hAnsiTheme="minorHAnsi"/>
        </w:rPr>
        <w:t>, the</w:t>
      </w:r>
      <w:r w:rsidR="006B6A08">
        <w:rPr>
          <w:rFonts w:asciiTheme="minorHAnsi" w:hAnsiTheme="minorHAnsi"/>
        </w:rPr>
        <w:t xml:space="preserve"> </w:t>
      </w:r>
      <w:r w:rsidR="00194352">
        <w:rPr>
          <w:rFonts w:asciiTheme="minorHAnsi" w:hAnsiTheme="minorHAnsi"/>
        </w:rPr>
        <w:t xml:space="preserve">PCA </w:t>
      </w:r>
      <w:r w:rsidR="006B6A08">
        <w:rPr>
          <w:rFonts w:asciiTheme="minorHAnsi" w:hAnsiTheme="minorHAnsi"/>
        </w:rPr>
        <w:t>index is divided by the number of household adult equivalents.</w:t>
      </w:r>
    </w:p>
    <w:p w:rsidR="000D430F" w:rsidRPr="00B30983" w:rsidRDefault="000D430F" w:rsidP="000D430F">
      <w:pPr>
        <w:rPr>
          <w:rFonts w:asciiTheme="minorHAnsi" w:hAnsiTheme="minorHAnsi"/>
        </w:rPr>
      </w:pPr>
    </w:p>
    <w:p w:rsidR="000D430F" w:rsidRPr="00B30983" w:rsidRDefault="000D430F" w:rsidP="000D430F">
      <w:pPr>
        <w:rPr>
          <w:rFonts w:asciiTheme="minorHAnsi" w:hAnsiTheme="minorHAnsi"/>
        </w:rPr>
      </w:pPr>
      <w:r w:rsidRPr="00B30983">
        <w:rPr>
          <w:rFonts w:asciiTheme="minorHAnsi" w:hAnsiTheme="minorHAnsi"/>
          <w:b/>
        </w:rPr>
        <w:t>2.   Count index.</w:t>
      </w:r>
      <w:r w:rsidRPr="00B30983">
        <w:rPr>
          <w:rFonts w:asciiTheme="minorHAnsi" w:hAnsiTheme="minorHAnsi"/>
        </w:rPr>
        <w:t xml:space="preserve">  The simple su</w:t>
      </w:r>
      <w:r w:rsidR="006B6A08">
        <w:rPr>
          <w:rFonts w:asciiTheme="minorHAnsi" w:hAnsiTheme="minorHAnsi"/>
        </w:rPr>
        <w:t>m of the number of assets owned, a</w:t>
      </w:r>
      <w:r w:rsidR="00194352">
        <w:rPr>
          <w:rFonts w:asciiTheme="minorHAnsi" w:hAnsiTheme="minorHAnsi"/>
        </w:rPr>
        <w:t>lso</w:t>
      </w:r>
      <w:r w:rsidR="006B6A08">
        <w:rPr>
          <w:rFonts w:asciiTheme="minorHAnsi" w:hAnsiTheme="minorHAnsi"/>
        </w:rPr>
        <w:t xml:space="preserve"> divided by the number of household adult equivalents.</w:t>
      </w:r>
    </w:p>
    <w:p w:rsidR="000D430F" w:rsidRPr="00B30983" w:rsidRDefault="000D430F" w:rsidP="000D430F">
      <w:pPr>
        <w:rPr>
          <w:rFonts w:asciiTheme="minorHAnsi" w:hAnsiTheme="minorHAnsi"/>
        </w:rPr>
      </w:pPr>
    </w:p>
    <w:p w:rsidR="00C41249" w:rsidRDefault="000D430F" w:rsidP="000D430F">
      <w:pPr>
        <w:rPr>
          <w:rFonts w:asciiTheme="minorHAnsi" w:hAnsiTheme="minorHAnsi"/>
        </w:rPr>
      </w:pPr>
      <w:r w:rsidRPr="00B30983">
        <w:rPr>
          <w:rFonts w:asciiTheme="minorHAnsi" w:hAnsiTheme="minorHAnsi"/>
          <w:b/>
        </w:rPr>
        <w:t>3.   Regression-based index.</w:t>
      </w:r>
      <w:r w:rsidRPr="00B30983">
        <w:rPr>
          <w:rFonts w:asciiTheme="minorHAnsi" w:hAnsiTheme="minorHAnsi"/>
        </w:rPr>
        <w:t xml:space="preserve">   An index constructed using regression </w:t>
      </w:r>
      <w:r w:rsidR="00194352">
        <w:rPr>
          <w:rFonts w:asciiTheme="minorHAnsi" w:hAnsiTheme="minorHAnsi"/>
        </w:rPr>
        <w:t>analysis</w:t>
      </w:r>
      <w:r w:rsidR="00B02B95">
        <w:rPr>
          <w:rFonts w:asciiTheme="minorHAnsi" w:hAnsiTheme="minorHAnsi"/>
        </w:rPr>
        <w:t>,</w:t>
      </w:r>
      <w:r w:rsidR="00194352">
        <w:rPr>
          <w:rFonts w:asciiTheme="minorHAnsi" w:hAnsiTheme="minorHAnsi"/>
        </w:rPr>
        <w:t xml:space="preserve"> where the independent </w:t>
      </w:r>
      <w:r w:rsidRPr="00B30983">
        <w:rPr>
          <w:rFonts w:asciiTheme="minorHAnsi" w:hAnsiTheme="minorHAnsi"/>
        </w:rPr>
        <w:t xml:space="preserve">variables </w:t>
      </w:r>
      <w:r w:rsidR="00194352">
        <w:rPr>
          <w:rFonts w:asciiTheme="minorHAnsi" w:hAnsiTheme="minorHAnsi"/>
        </w:rPr>
        <w:t xml:space="preserve">are the asset ownership dummy </w:t>
      </w:r>
      <w:r w:rsidRPr="00B30983">
        <w:rPr>
          <w:rFonts w:asciiTheme="minorHAnsi" w:hAnsiTheme="minorHAnsi"/>
        </w:rPr>
        <w:t xml:space="preserve">variables </w:t>
      </w:r>
      <w:r w:rsidR="004D03BC">
        <w:rPr>
          <w:rFonts w:asciiTheme="minorHAnsi" w:hAnsiTheme="minorHAnsi"/>
        </w:rPr>
        <w:t xml:space="preserve">and the dependent variable is </w:t>
      </w:r>
      <w:r w:rsidRPr="00B30983">
        <w:rPr>
          <w:rFonts w:asciiTheme="minorHAnsi" w:hAnsiTheme="minorHAnsi"/>
        </w:rPr>
        <w:t>total expenditures.  The regression coefficients</w:t>
      </w:r>
      <w:r w:rsidR="004D03BC">
        <w:rPr>
          <w:rFonts w:asciiTheme="minorHAnsi" w:hAnsiTheme="minorHAnsi"/>
        </w:rPr>
        <w:t xml:space="preserve">, which are the index weights, </w:t>
      </w:r>
      <w:r w:rsidRPr="00B30983">
        <w:rPr>
          <w:rFonts w:asciiTheme="minorHAnsi" w:hAnsiTheme="minorHAnsi"/>
        </w:rPr>
        <w:t xml:space="preserve">must be obtained using data from a prior data set containing both the asset variables and </w:t>
      </w:r>
      <w:r w:rsidR="00B02B95">
        <w:rPr>
          <w:rFonts w:asciiTheme="minorHAnsi" w:hAnsiTheme="minorHAnsi"/>
        </w:rPr>
        <w:t xml:space="preserve">data to calculate </w:t>
      </w:r>
      <w:r w:rsidRPr="00B30983">
        <w:rPr>
          <w:rFonts w:asciiTheme="minorHAnsi" w:hAnsiTheme="minorHAnsi"/>
        </w:rPr>
        <w:t xml:space="preserve">total expenditures itself.  </w:t>
      </w:r>
      <w:r w:rsidR="004D03BC" w:rsidRPr="00B30983">
        <w:rPr>
          <w:rFonts w:asciiTheme="minorHAnsi" w:hAnsiTheme="minorHAnsi"/>
        </w:rPr>
        <w:t xml:space="preserve">This </w:t>
      </w:r>
      <w:r w:rsidR="00B02B95">
        <w:rPr>
          <w:rFonts w:asciiTheme="minorHAnsi" w:hAnsiTheme="minorHAnsi"/>
        </w:rPr>
        <w:t xml:space="preserve">third </w:t>
      </w:r>
      <w:r w:rsidR="004D03BC" w:rsidRPr="00B30983">
        <w:rPr>
          <w:rFonts w:asciiTheme="minorHAnsi" w:hAnsiTheme="minorHAnsi"/>
        </w:rPr>
        <w:t xml:space="preserve">method may be superior since it relies not only on assets themselves but also directly on information about their relationship to total expenditures. </w:t>
      </w:r>
      <w:r w:rsidR="004D03BC">
        <w:rPr>
          <w:rFonts w:asciiTheme="minorHAnsi" w:hAnsiTheme="minorHAnsi"/>
        </w:rPr>
        <w:t xml:space="preserve"> </w:t>
      </w:r>
      <w:r w:rsidRPr="00B30983">
        <w:rPr>
          <w:rFonts w:asciiTheme="minorHAnsi" w:hAnsiTheme="minorHAnsi"/>
        </w:rPr>
        <w:t xml:space="preserve">Here we will </w:t>
      </w:r>
      <w:r w:rsidR="00B02B95">
        <w:rPr>
          <w:rFonts w:asciiTheme="minorHAnsi" w:hAnsiTheme="minorHAnsi"/>
        </w:rPr>
        <w:t xml:space="preserve">consider </w:t>
      </w:r>
      <w:r w:rsidRPr="00B30983">
        <w:rPr>
          <w:rFonts w:asciiTheme="minorHAnsi" w:hAnsiTheme="minorHAnsi"/>
        </w:rPr>
        <w:t xml:space="preserve">two options:  (1)  combining asset ownership variables with </w:t>
      </w:r>
      <w:r w:rsidR="00C76CC2" w:rsidRPr="00B30983">
        <w:rPr>
          <w:rFonts w:asciiTheme="minorHAnsi" w:hAnsiTheme="minorHAnsi"/>
        </w:rPr>
        <w:t xml:space="preserve">other expenditure correlates, that is, </w:t>
      </w:r>
      <w:r w:rsidRPr="00B30983">
        <w:rPr>
          <w:rFonts w:asciiTheme="minorHAnsi" w:hAnsiTheme="minorHAnsi"/>
        </w:rPr>
        <w:t xml:space="preserve">household dwelling characteristics and household demographic characteristics (following Stifel and Christiaensen 2006); and (2) including only the asset ownership variables as independent variables.  </w:t>
      </w:r>
    </w:p>
    <w:p w:rsidR="0019043C" w:rsidRDefault="0019043C" w:rsidP="000D430F">
      <w:pPr>
        <w:rPr>
          <w:rFonts w:asciiTheme="minorHAnsi" w:hAnsiTheme="minorHAnsi"/>
        </w:rPr>
      </w:pPr>
    </w:p>
    <w:p w:rsidR="0019043C" w:rsidRPr="00B30983" w:rsidRDefault="0019043C" w:rsidP="000D430F">
      <w:pPr>
        <w:rPr>
          <w:rFonts w:asciiTheme="minorHAnsi" w:hAnsiTheme="minorHAnsi"/>
        </w:rPr>
      </w:pPr>
      <w:r>
        <w:rPr>
          <w:rFonts w:asciiTheme="minorHAnsi" w:hAnsiTheme="minorHAnsi"/>
        </w:rPr>
        <w:lastRenderedPageBreak/>
        <w:t>The next section identifies a set of assets/expenditure correlates that have a stable relationship with total expenditures over time.   These assets/correlates will later be used to construct the three asset indexes.</w:t>
      </w:r>
    </w:p>
    <w:p w:rsidR="00C41249" w:rsidRPr="00B30983" w:rsidRDefault="00C41249" w:rsidP="00782C02">
      <w:pPr>
        <w:ind w:left="540" w:hanging="540"/>
        <w:rPr>
          <w:rFonts w:asciiTheme="minorHAnsi" w:hAnsiTheme="minorHAnsi"/>
        </w:rPr>
      </w:pPr>
    </w:p>
    <w:p w:rsidR="00782C02" w:rsidRPr="009321C3" w:rsidRDefault="00BD7E3D" w:rsidP="0098190D">
      <w:pPr>
        <w:pStyle w:val="Heading3"/>
        <w:numPr>
          <w:ilvl w:val="0"/>
          <w:numId w:val="0"/>
        </w:numPr>
        <w:ind w:left="1152"/>
        <w:rPr>
          <w:rFonts w:asciiTheme="minorHAnsi" w:hAnsiTheme="minorHAnsi"/>
          <w:color w:val="365F91" w:themeColor="accent1" w:themeShade="BF"/>
          <w:sz w:val="28"/>
          <w:szCs w:val="28"/>
        </w:rPr>
      </w:pPr>
      <w:bookmarkStart w:id="20" w:name="_Toc395979704"/>
      <w:r w:rsidRPr="009321C3">
        <w:rPr>
          <w:rFonts w:asciiTheme="minorHAnsi" w:hAnsiTheme="minorHAnsi"/>
          <w:color w:val="365F91" w:themeColor="accent1" w:themeShade="BF"/>
          <w:sz w:val="28"/>
          <w:szCs w:val="28"/>
        </w:rPr>
        <w:t xml:space="preserve">2.2 </w:t>
      </w:r>
      <w:r w:rsidR="0019043C" w:rsidRPr="009321C3">
        <w:rPr>
          <w:rFonts w:asciiTheme="minorHAnsi" w:hAnsiTheme="minorHAnsi"/>
          <w:color w:val="365F91" w:themeColor="accent1" w:themeShade="BF"/>
          <w:sz w:val="28"/>
          <w:szCs w:val="28"/>
        </w:rPr>
        <w:t xml:space="preserve"> </w:t>
      </w:r>
      <w:r w:rsidRPr="009321C3">
        <w:rPr>
          <w:rFonts w:asciiTheme="minorHAnsi" w:hAnsiTheme="minorHAnsi"/>
          <w:color w:val="365F91" w:themeColor="accent1" w:themeShade="BF"/>
          <w:sz w:val="28"/>
          <w:szCs w:val="28"/>
        </w:rPr>
        <w:t>Evaluation</w:t>
      </w:r>
      <w:r w:rsidR="000D430F" w:rsidRPr="009321C3">
        <w:rPr>
          <w:rFonts w:asciiTheme="minorHAnsi" w:hAnsiTheme="minorHAnsi"/>
          <w:color w:val="365F91" w:themeColor="accent1" w:themeShade="BF"/>
          <w:sz w:val="28"/>
          <w:szCs w:val="28"/>
        </w:rPr>
        <w:t xml:space="preserve"> of the stability over time of the relationship between asset ownership and total expenditures</w:t>
      </w:r>
      <w:bookmarkEnd w:id="20"/>
      <w:r w:rsidR="00C76CC2" w:rsidRPr="009321C3">
        <w:rPr>
          <w:rFonts w:asciiTheme="minorHAnsi" w:hAnsiTheme="minorHAnsi"/>
          <w:color w:val="365F91" w:themeColor="accent1" w:themeShade="BF"/>
          <w:sz w:val="28"/>
          <w:szCs w:val="28"/>
        </w:rPr>
        <w:t xml:space="preserve"> </w:t>
      </w:r>
    </w:p>
    <w:p w:rsidR="00782C02" w:rsidRPr="009321C3" w:rsidRDefault="00782C02" w:rsidP="00782C02">
      <w:pPr>
        <w:rPr>
          <w:rFonts w:asciiTheme="minorHAnsi" w:hAnsiTheme="minorHAnsi"/>
          <w:sz w:val="28"/>
          <w:szCs w:val="28"/>
        </w:rPr>
      </w:pPr>
    </w:p>
    <w:p w:rsidR="00C76CC2" w:rsidRPr="00B30983" w:rsidRDefault="00C76CC2" w:rsidP="00782C02">
      <w:pPr>
        <w:rPr>
          <w:rFonts w:asciiTheme="minorHAnsi" w:hAnsiTheme="minorHAnsi"/>
        </w:rPr>
      </w:pPr>
      <w:r w:rsidRPr="00B30983">
        <w:rPr>
          <w:rFonts w:asciiTheme="minorHAnsi" w:hAnsiTheme="minorHAnsi"/>
        </w:rPr>
        <w:t xml:space="preserve">Table </w:t>
      </w:r>
      <w:r w:rsidR="004D03BC">
        <w:rPr>
          <w:rFonts w:asciiTheme="minorHAnsi" w:hAnsiTheme="minorHAnsi"/>
        </w:rPr>
        <w:t>2</w:t>
      </w:r>
      <w:r w:rsidRPr="00B30983">
        <w:rPr>
          <w:rFonts w:asciiTheme="minorHAnsi" w:hAnsiTheme="minorHAnsi"/>
        </w:rPr>
        <w:t xml:space="preserve">.1 </w:t>
      </w:r>
      <w:r w:rsidR="00B02B95">
        <w:rPr>
          <w:rFonts w:asciiTheme="minorHAnsi" w:hAnsiTheme="minorHAnsi"/>
        </w:rPr>
        <w:t xml:space="preserve">gives mean values of the asset ownership variables </w:t>
      </w:r>
      <w:r w:rsidRPr="00B30983">
        <w:rPr>
          <w:rFonts w:asciiTheme="minorHAnsi" w:hAnsiTheme="minorHAnsi"/>
        </w:rPr>
        <w:t>and other expenditure correlates that are common to both the SEFSec and PECS surveys, and that are thus potential candidates for this validation exercise</w:t>
      </w:r>
      <w:r w:rsidR="00B02B95">
        <w:rPr>
          <w:rFonts w:asciiTheme="minorHAnsi" w:hAnsiTheme="minorHAnsi"/>
        </w:rPr>
        <w:t xml:space="preserve">, </w:t>
      </w:r>
      <w:r w:rsidR="0019043C">
        <w:rPr>
          <w:rFonts w:asciiTheme="minorHAnsi" w:hAnsiTheme="minorHAnsi"/>
        </w:rPr>
        <w:t xml:space="preserve">from PECS </w:t>
      </w:r>
      <w:r w:rsidR="00B02B95">
        <w:rPr>
          <w:rFonts w:asciiTheme="minorHAnsi" w:hAnsiTheme="minorHAnsi"/>
        </w:rPr>
        <w:t>2009, 2010 and 2011</w:t>
      </w:r>
      <w:r w:rsidRPr="00B30983">
        <w:rPr>
          <w:rFonts w:asciiTheme="minorHAnsi" w:hAnsiTheme="minorHAnsi"/>
        </w:rPr>
        <w:t xml:space="preserve">.  </w:t>
      </w:r>
      <w:r w:rsidR="004D03BC">
        <w:rPr>
          <w:rFonts w:asciiTheme="minorHAnsi" w:hAnsiTheme="minorHAnsi"/>
        </w:rPr>
        <w:t>Also reported are t</w:t>
      </w:r>
      <w:r w:rsidRPr="00B30983">
        <w:rPr>
          <w:rFonts w:asciiTheme="minorHAnsi" w:hAnsiTheme="minorHAnsi"/>
        </w:rPr>
        <w:t>he calculated (real)</w:t>
      </w:r>
      <w:r w:rsidRPr="00B30983">
        <w:rPr>
          <w:rStyle w:val="FootnoteReference"/>
          <w:rFonts w:asciiTheme="minorHAnsi" w:hAnsiTheme="minorHAnsi"/>
        </w:rPr>
        <w:footnoteReference w:id="1"/>
      </w:r>
      <w:r w:rsidRPr="00B30983">
        <w:rPr>
          <w:rFonts w:asciiTheme="minorHAnsi" w:hAnsiTheme="minorHAnsi"/>
        </w:rPr>
        <w:t xml:space="preserve"> total expenditures per adult equivalent, which will be the measure of total </w:t>
      </w:r>
      <w:r w:rsidR="00BD7E3D" w:rsidRPr="00B30983">
        <w:rPr>
          <w:rFonts w:asciiTheme="minorHAnsi" w:hAnsiTheme="minorHAnsi"/>
        </w:rPr>
        <w:t>expenditures</w:t>
      </w:r>
      <w:r w:rsidRPr="00B30983">
        <w:rPr>
          <w:rFonts w:asciiTheme="minorHAnsi" w:hAnsiTheme="minorHAnsi"/>
        </w:rPr>
        <w:t xml:space="preserve"> relied on, </w:t>
      </w:r>
      <w:r w:rsidR="004D03BC">
        <w:rPr>
          <w:rFonts w:asciiTheme="minorHAnsi" w:hAnsiTheme="minorHAnsi"/>
        </w:rPr>
        <w:t xml:space="preserve">and estimates of both deep poverty and poverty calculated using the national poverty line.  </w:t>
      </w:r>
      <w:r w:rsidRPr="00B30983">
        <w:rPr>
          <w:rFonts w:asciiTheme="minorHAnsi" w:hAnsiTheme="minorHAnsi"/>
        </w:rPr>
        <w:t xml:space="preserve">As can be seen, total expenditures </w:t>
      </w:r>
      <w:r w:rsidR="004D03BC">
        <w:rPr>
          <w:rFonts w:asciiTheme="minorHAnsi" w:hAnsiTheme="minorHAnsi"/>
        </w:rPr>
        <w:t xml:space="preserve">and poverty </w:t>
      </w:r>
      <w:r w:rsidRPr="00B30983">
        <w:rPr>
          <w:rFonts w:asciiTheme="minorHAnsi" w:hAnsiTheme="minorHAnsi"/>
        </w:rPr>
        <w:t>ha</w:t>
      </w:r>
      <w:r w:rsidR="004D03BC">
        <w:rPr>
          <w:rFonts w:asciiTheme="minorHAnsi" w:hAnsiTheme="minorHAnsi"/>
        </w:rPr>
        <w:t>ve</w:t>
      </w:r>
      <w:r w:rsidRPr="00B30983">
        <w:rPr>
          <w:rFonts w:asciiTheme="minorHAnsi" w:hAnsiTheme="minorHAnsi"/>
        </w:rPr>
        <w:t xml:space="preserve"> changed little over the three-year period</w:t>
      </w:r>
      <w:r w:rsidR="0019043C">
        <w:rPr>
          <w:rFonts w:asciiTheme="minorHAnsi" w:hAnsiTheme="minorHAnsi"/>
        </w:rPr>
        <w:t>, and there is no apparent trend upwards or downwards</w:t>
      </w:r>
      <w:r w:rsidRPr="00B30983">
        <w:rPr>
          <w:rFonts w:asciiTheme="minorHAnsi" w:hAnsiTheme="minorHAnsi"/>
        </w:rPr>
        <w:t>.    Among the 16 assets, ownership has increased for eight, decreased for four, and shows no trend for four.   Three is little difference in the measures of demographic characteristics over the three years.</w:t>
      </w:r>
    </w:p>
    <w:p w:rsidR="00C76CC2" w:rsidRPr="00B30983" w:rsidRDefault="00C76CC2" w:rsidP="00782C02">
      <w:pPr>
        <w:rPr>
          <w:rFonts w:asciiTheme="minorHAnsi" w:hAnsiTheme="minorHAnsi"/>
        </w:rPr>
      </w:pPr>
    </w:p>
    <w:p w:rsidR="00C76CC2" w:rsidRPr="00B30983" w:rsidRDefault="00C76CC2" w:rsidP="00782C02">
      <w:pPr>
        <w:rPr>
          <w:rFonts w:asciiTheme="minorHAnsi" w:hAnsiTheme="minorHAnsi"/>
        </w:rPr>
      </w:pPr>
      <w:r w:rsidRPr="00B30983">
        <w:rPr>
          <w:rFonts w:asciiTheme="minorHAnsi" w:hAnsiTheme="minorHAnsi"/>
        </w:rPr>
        <w:t>To determine which of the assets and other expenditure correlates have a stable relationship with total expenditures, at least in the short run, OLS regressions with total expenditures per adult equivalent</w:t>
      </w:r>
      <w:r w:rsidR="00887028" w:rsidRPr="00B30983">
        <w:rPr>
          <w:rStyle w:val="FootnoteReference"/>
          <w:rFonts w:asciiTheme="minorHAnsi" w:hAnsiTheme="minorHAnsi"/>
        </w:rPr>
        <w:footnoteReference w:id="2"/>
      </w:r>
      <w:r w:rsidRPr="00B30983">
        <w:rPr>
          <w:rFonts w:asciiTheme="minorHAnsi" w:hAnsiTheme="minorHAnsi"/>
        </w:rPr>
        <w:t xml:space="preserve"> </w:t>
      </w:r>
      <w:r w:rsidR="004D03BC">
        <w:rPr>
          <w:rFonts w:asciiTheme="minorHAnsi" w:hAnsiTheme="minorHAnsi"/>
        </w:rPr>
        <w:t xml:space="preserve">as the dependent variable and the </w:t>
      </w:r>
      <w:r w:rsidRPr="00B30983">
        <w:rPr>
          <w:rFonts w:asciiTheme="minorHAnsi" w:hAnsiTheme="minorHAnsi"/>
        </w:rPr>
        <w:t xml:space="preserve">correlates </w:t>
      </w:r>
      <w:r w:rsidR="004D03BC">
        <w:rPr>
          <w:rFonts w:asciiTheme="minorHAnsi" w:hAnsiTheme="minorHAnsi"/>
        </w:rPr>
        <w:t xml:space="preserve">as independent variables </w:t>
      </w:r>
      <w:r w:rsidRPr="00B30983">
        <w:rPr>
          <w:rFonts w:asciiTheme="minorHAnsi" w:hAnsiTheme="minorHAnsi"/>
        </w:rPr>
        <w:t>are run</w:t>
      </w:r>
      <w:r w:rsidR="004D03BC">
        <w:rPr>
          <w:rFonts w:asciiTheme="minorHAnsi" w:hAnsiTheme="minorHAnsi"/>
        </w:rPr>
        <w:t xml:space="preserve"> separately for all </w:t>
      </w:r>
      <w:r w:rsidR="00887028" w:rsidRPr="00B30983">
        <w:rPr>
          <w:rFonts w:asciiTheme="minorHAnsi" w:hAnsiTheme="minorHAnsi"/>
        </w:rPr>
        <w:t>three years</w:t>
      </w:r>
      <w:r w:rsidR="0019043C">
        <w:rPr>
          <w:rFonts w:asciiTheme="minorHAnsi" w:hAnsiTheme="minorHAnsi"/>
        </w:rPr>
        <w:t>,</w:t>
      </w:r>
      <w:r w:rsidR="00B02B95">
        <w:rPr>
          <w:rFonts w:asciiTheme="minorHAnsi" w:hAnsiTheme="minorHAnsi"/>
        </w:rPr>
        <w:t xml:space="preserve"> a</w:t>
      </w:r>
      <w:r w:rsidR="00CB10CC" w:rsidRPr="00B30983">
        <w:rPr>
          <w:rFonts w:asciiTheme="minorHAnsi" w:hAnsiTheme="minorHAnsi"/>
        </w:rPr>
        <w:t>nd the regression coefficients are compared</w:t>
      </w:r>
      <w:r w:rsidR="004D03BC">
        <w:rPr>
          <w:rFonts w:asciiTheme="minorHAnsi" w:hAnsiTheme="minorHAnsi"/>
        </w:rPr>
        <w:t xml:space="preserve"> across the years</w:t>
      </w:r>
      <w:r w:rsidRPr="00B30983">
        <w:rPr>
          <w:rFonts w:asciiTheme="minorHAnsi" w:hAnsiTheme="minorHAnsi"/>
        </w:rPr>
        <w:t xml:space="preserve">.   </w:t>
      </w:r>
      <w:r w:rsidR="00887028" w:rsidRPr="00B30983">
        <w:rPr>
          <w:rFonts w:asciiTheme="minorHAnsi" w:hAnsiTheme="minorHAnsi"/>
        </w:rPr>
        <w:t>R</w:t>
      </w:r>
      <w:r w:rsidRPr="00B30983">
        <w:rPr>
          <w:rFonts w:asciiTheme="minorHAnsi" w:hAnsiTheme="minorHAnsi"/>
        </w:rPr>
        <w:t>egressions are run in a series of rounds to determine which</w:t>
      </w:r>
      <w:r w:rsidR="004D03BC">
        <w:rPr>
          <w:rFonts w:asciiTheme="minorHAnsi" w:hAnsiTheme="minorHAnsi"/>
        </w:rPr>
        <w:t xml:space="preserve"> assets’ </w:t>
      </w:r>
      <w:r w:rsidRPr="00B30983">
        <w:rPr>
          <w:rFonts w:asciiTheme="minorHAnsi" w:hAnsiTheme="minorHAnsi"/>
        </w:rPr>
        <w:t>coefficients</w:t>
      </w:r>
      <w:r w:rsidR="004D03BC">
        <w:rPr>
          <w:rFonts w:asciiTheme="minorHAnsi" w:hAnsiTheme="minorHAnsi"/>
        </w:rPr>
        <w:t xml:space="preserve"> </w:t>
      </w:r>
      <w:r w:rsidRPr="00B30983">
        <w:rPr>
          <w:rFonts w:asciiTheme="minorHAnsi" w:hAnsiTheme="minorHAnsi"/>
        </w:rPr>
        <w:t xml:space="preserve">are </w:t>
      </w:r>
      <w:r w:rsidR="00887028" w:rsidRPr="00B30983">
        <w:rPr>
          <w:rFonts w:asciiTheme="minorHAnsi" w:hAnsiTheme="minorHAnsi"/>
        </w:rPr>
        <w:t xml:space="preserve">statistically significant and </w:t>
      </w:r>
      <w:r w:rsidRPr="00B30983">
        <w:rPr>
          <w:rFonts w:asciiTheme="minorHAnsi" w:hAnsiTheme="minorHAnsi"/>
        </w:rPr>
        <w:t>stable and which not, as follows:</w:t>
      </w:r>
    </w:p>
    <w:p w:rsidR="00C76CC2" w:rsidRPr="00B30983" w:rsidRDefault="00C76CC2" w:rsidP="00782C02">
      <w:pPr>
        <w:rPr>
          <w:rFonts w:asciiTheme="minorHAnsi" w:hAnsiTheme="minorHAnsi"/>
        </w:rPr>
      </w:pPr>
    </w:p>
    <w:p w:rsidR="00C76CC2" w:rsidRPr="00B30983" w:rsidRDefault="00C76CC2" w:rsidP="00B02B95">
      <w:pPr>
        <w:ind w:left="450"/>
        <w:rPr>
          <w:rFonts w:asciiTheme="minorHAnsi" w:hAnsiTheme="minorHAnsi"/>
        </w:rPr>
      </w:pPr>
      <w:r w:rsidRPr="00B30983">
        <w:rPr>
          <w:rFonts w:asciiTheme="minorHAnsi" w:hAnsiTheme="minorHAnsi"/>
        </w:rPr>
        <w:t xml:space="preserve">Round 1:  </w:t>
      </w:r>
      <w:r w:rsidR="00887028" w:rsidRPr="00B30983">
        <w:rPr>
          <w:rFonts w:asciiTheme="minorHAnsi" w:hAnsiTheme="minorHAnsi"/>
        </w:rPr>
        <w:t xml:space="preserve">Run regressions with all </w:t>
      </w:r>
      <w:r w:rsidRPr="00B30983">
        <w:rPr>
          <w:rFonts w:asciiTheme="minorHAnsi" w:hAnsiTheme="minorHAnsi"/>
        </w:rPr>
        <w:t>expenditure correlates included</w:t>
      </w:r>
      <w:r w:rsidR="00887028" w:rsidRPr="00B30983">
        <w:rPr>
          <w:rFonts w:asciiTheme="minorHAnsi" w:hAnsiTheme="minorHAnsi"/>
        </w:rPr>
        <w:t>.</w:t>
      </w:r>
      <w:r w:rsidR="004D03BC">
        <w:rPr>
          <w:rFonts w:asciiTheme="minorHAnsi" w:hAnsiTheme="minorHAnsi"/>
        </w:rPr>
        <w:t xml:space="preserve">  The results of the</w:t>
      </w:r>
      <w:r w:rsidR="00B02B95">
        <w:rPr>
          <w:rFonts w:asciiTheme="minorHAnsi" w:hAnsiTheme="minorHAnsi"/>
        </w:rPr>
        <w:t>se initial</w:t>
      </w:r>
      <w:r w:rsidR="004D03BC">
        <w:rPr>
          <w:rFonts w:asciiTheme="minorHAnsi" w:hAnsiTheme="minorHAnsi"/>
        </w:rPr>
        <w:t xml:space="preserve"> regressions are reported in Table 2.2.</w:t>
      </w:r>
    </w:p>
    <w:p w:rsidR="00887028" w:rsidRPr="00B30983" w:rsidRDefault="00887028" w:rsidP="00B02B95">
      <w:pPr>
        <w:ind w:left="450"/>
        <w:rPr>
          <w:rFonts w:asciiTheme="minorHAnsi" w:hAnsiTheme="minorHAnsi"/>
        </w:rPr>
      </w:pPr>
    </w:p>
    <w:p w:rsidR="00C76CC2" w:rsidRPr="00B30983" w:rsidRDefault="00C76CC2" w:rsidP="00B02B95">
      <w:pPr>
        <w:ind w:left="450"/>
        <w:rPr>
          <w:rFonts w:asciiTheme="minorHAnsi" w:hAnsiTheme="minorHAnsi"/>
        </w:rPr>
      </w:pPr>
      <w:r w:rsidRPr="00B30983">
        <w:rPr>
          <w:rFonts w:asciiTheme="minorHAnsi" w:hAnsiTheme="minorHAnsi"/>
        </w:rPr>
        <w:t xml:space="preserve">Round 2:  </w:t>
      </w:r>
      <w:r w:rsidR="00887028" w:rsidRPr="00B30983">
        <w:rPr>
          <w:rFonts w:asciiTheme="minorHAnsi" w:hAnsiTheme="minorHAnsi"/>
        </w:rPr>
        <w:t>Run regressions excluding non-asset expenditure correlates that are not statistically significant (at least at the 10% level) for at least two of the years.</w:t>
      </w:r>
    </w:p>
    <w:p w:rsidR="00887028" w:rsidRPr="00B30983" w:rsidRDefault="00887028" w:rsidP="00B02B95">
      <w:pPr>
        <w:ind w:left="450"/>
        <w:rPr>
          <w:rFonts w:asciiTheme="minorHAnsi" w:hAnsiTheme="minorHAnsi"/>
        </w:rPr>
      </w:pPr>
    </w:p>
    <w:p w:rsidR="00887028" w:rsidRPr="00B30983" w:rsidRDefault="00887028" w:rsidP="00B02B95">
      <w:pPr>
        <w:ind w:left="450"/>
        <w:rPr>
          <w:rFonts w:asciiTheme="minorHAnsi" w:hAnsiTheme="minorHAnsi"/>
        </w:rPr>
      </w:pPr>
      <w:r w:rsidRPr="00B30983">
        <w:rPr>
          <w:rFonts w:asciiTheme="minorHAnsi" w:hAnsiTheme="minorHAnsi"/>
        </w:rPr>
        <w:t>Round 3:   Run regressions excluding remaining non-asset variables whose coefficients have</w:t>
      </w:r>
      <w:r w:rsidR="004D03BC">
        <w:rPr>
          <w:rFonts w:asciiTheme="minorHAnsi" w:hAnsiTheme="minorHAnsi"/>
        </w:rPr>
        <w:t xml:space="preserve"> a percent difference of more than </w:t>
      </w:r>
      <w:r w:rsidRPr="00B30983">
        <w:rPr>
          <w:rFonts w:asciiTheme="minorHAnsi" w:hAnsiTheme="minorHAnsi"/>
        </w:rPr>
        <w:t>100 between any two years.</w:t>
      </w:r>
    </w:p>
    <w:p w:rsidR="00887028" w:rsidRPr="00B30983" w:rsidRDefault="00887028" w:rsidP="00B02B95">
      <w:pPr>
        <w:ind w:left="450"/>
        <w:rPr>
          <w:rFonts w:asciiTheme="minorHAnsi" w:hAnsiTheme="minorHAnsi"/>
        </w:rPr>
      </w:pPr>
    </w:p>
    <w:p w:rsidR="00887028" w:rsidRPr="00B30983" w:rsidRDefault="00887028" w:rsidP="00B02B95">
      <w:pPr>
        <w:ind w:left="450"/>
        <w:rPr>
          <w:rFonts w:asciiTheme="minorHAnsi" w:hAnsiTheme="minorHAnsi"/>
        </w:rPr>
      </w:pPr>
      <w:r w:rsidRPr="00B30983">
        <w:rPr>
          <w:rFonts w:asciiTheme="minorHAnsi" w:hAnsiTheme="minorHAnsi"/>
        </w:rPr>
        <w:t xml:space="preserve">Round 4:  Run regressions excluding asset variables whose coefficients have </w:t>
      </w:r>
      <w:r w:rsidR="004D03BC">
        <w:rPr>
          <w:rFonts w:asciiTheme="minorHAnsi" w:hAnsiTheme="minorHAnsi"/>
        </w:rPr>
        <w:t xml:space="preserve">a percent difference of more than </w:t>
      </w:r>
      <w:r w:rsidRPr="00B30983">
        <w:rPr>
          <w:rFonts w:asciiTheme="minorHAnsi" w:hAnsiTheme="minorHAnsi"/>
        </w:rPr>
        <w:t>100 percent between any two years.</w:t>
      </w:r>
    </w:p>
    <w:p w:rsidR="007F3315" w:rsidRDefault="007F3315">
      <w:r>
        <w:br w:type="page"/>
      </w:r>
    </w:p>
    <w:tbl>
      <w:tblPr>
        <w:tblW w:w="8200" w:type="dxa"/>
        <w:tblInd w:w="93" w:type="dxa"/>
        <w:tblLook w:val="04A0" w:firstRow="1" w:lastRow="0" w:firstColumn="1" w:lastColumn="0" w:noHBand="0" w:noVBand="1"/>
      </w:tblPr>
      <w:tblGrid>
        <w:gridCol w:w="5259"/>
        <w:gridCol w:w="663"/>
        <w:gridCol w:w="663"/>
        <w:gridCol w:w="949"/>
        <w:gridCol w:w="666"/>
      </w:tblGrid>
      <w:tr w:rsidR="007F3315" w:rsidRPr="003C459A" w:rsidTr="007F3315">
        <w:trPr>
          <w:trHeight w:val="300"/>
        </w:trPr>
        <w:tc>
          <w:tcPr>
            <w:tcW w:w="8200" w:type="dxa"/>
            <w:gridSpan w:val="5"/>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b/>
                <w:bCs/>
                <w:color w:val="000000"/>
                <w:sz w:val="22"/>
                <w:szCs w:val="22"/>
              </w:rPr>
            </w:pPr>
            <w:r w:rsidRPr="003C459A">
              <w:rPr>
                <w:rFonts w:ascii="Calibri" w:eastAsia="Times New Roman" w:hAnsi="Calibri"/>
                <w:b/>
                <w:bCs/>
                <w:color w:val="000000"/>
                <w:sz w:val="22"/>
                <w:szCs w:val="22"/>
              </w:rPr>
              <w:lastRenderedPageBreak/>
              <w:t xml:space="preserve">Table </w:t>
            </w:r>
            <w:r>
              <w:rPr>
                <w:rFonts w:ascii="Calibri" w:eastAsia="Times New Roman" w:hAnsi="Calibri"/>
                <w:b/>
                <w:bCs/>
                <w:color w:val="000000"/>
                <w:sz w:val="22"/>
                <w:szCs w:val="22"/>
              </w:rPr>
              <w:t>2</w:t>
            </w:r>
            <w:r w:rsidRPr="003C459A">
              <w:rPr>
                <w:rFonts w:ascii="Calibri" w:eastAsia="Times New Roman" w:hAnsi="Calibri"/>
                <w:b/>
                <w:bCs/>
                <w:color w:val="000000"/>
                <w:sz w:val="22"/>
                <w:szCs w:val="22"/>
              </w:rPr>
              <w:t xml:space="preserve">.1   Means of asset ownership variables and other expenditure correlates, </w:t>
            </w:r>
          </w:p>
        </w:tc>
      </w:tr>
      <w:tr w:rsidR="007F3315" w:rsidRPr="003C459A" w:rsidTr="007F3315">
        <w:trPr>
          <w:trHeight w:val="315"/>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b/>
                <w:bCs/>
                <w:color w:val="000000"/>
                <w:sz w:val="22"/>
                <w:szCs w:val="22"/>
              </w:rPr>
            </w:pPr>
            <w:r w:rsidRPr="003C459A">
              <w:rPr>
                <w:rFonts w:ascii="Calibri" w:eastAsia="Times New Roman" w:hAnsi="Calibri"/>
                <w:b/>
                <w:bCs/>
                <w:color w:val="000000"/>
                <w:sz w:val="22"/>
                <w:szCs w:val="22"/>
              </w:rPr>
              <w:t xml:space="preserve">2009, 2010 and 2011 (PECS data) </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c>
          <w:tcPr>
            <w:tcW w:w="663"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c>
          <w:tcPr>
            <w:tcW w:w="94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single" w:sz="8" w:space="0" w:color="auto"/>
              <w:left w:val="nil"/>
              <w:bottom w:val="nil"/>
              <w:right w:val="nil"/>
            </w:tcBorders>
            <w:shd w:val="clear" w:color="000000" w:fill="C4BD97"/>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w:t>
            </w:r>
          </w:p>
        </w:tc>
        <w:tc>
          <w:tcPr>
            <w:tcW w:w="663" w:type="dxa"/>
            <w:tcBorders>
              <w:top w:val="single" w:sz="8" w:space="0" w:color="auto"/>
              <w:left w:val="nil"/>
              <w:bottom w:val="single" w:sz="4" w:space="0" w:color="auto"/>
              <w:right w:val="nil"/>
            </w:tcBorders>
            <w:shd w:val="clear" w:color="000000" w:fill="C4BD97"/>
            <w:noWrap/>
            <w:vAlign w:val="center"/>
            <w:hideMark/>
          </w:tcPr>
          <w:p w:rsidR="007F3315" w:rsidRPr="003C459A" w:rsidRDefault="007F3315" w:rsidP="007F3315">
            <w:pPr>
              <w:jc w:val="center"/>
              <w:rPr>
                <w:rFonts w:ascii="Arial" w:eastAsia="Times New Roman" w:hAnsi="Arial" w:cs="Arial"/>
                <w:b/>
                <w:bCs/>
                <w:sz w:val="20"/>
                <w:szCs w:val="20"/>
              </w:rPr>
            </w:pPr>
            <w:r w:rsidRPr="003C459A">
              <w:rPr>
                <w:rFonts w:ascii="Arial" w:eastAsia="Times New Roman" w:hAnsi="Arial" w:cs="Arial"/>
                <w:b/>
                <w:bCs/>
                <w:sz w:val="20"/>
                <w:szCs w:val="20"/>
              </w:rPr>
              <w:t>2009</w:t>
            </w:r>
          </w:p>
        </w:tc>
        <w:tc>
          <w:tcPr>
            <w:tcW w:w="663" w:type="dxa"/>
            <w:tcBorders>
              <w:top w:val="single" w:sz="8" w:space="0" w:color="auto"/>
              <w:left w:val="nil"/>
              <w:bottom w:val="single" w:sz="4" w:space="0" w:color="auto"/>
              <w:right w:val="nil"/>
            </w:tcBorders>
            <w:shd w:val="clear" w:color="000000" w:fill="C4BD97"/>
            <w:noWrap/>
            <w:vAlign w:val="center"/>
            <w:hideMark/>
          </w:tcPr>
          <w:p w:rsidR="007F3315" w:rsidRPr="003C459A" w:rsidRDefault="007F3315" w:rsidP="007F3315">
            <w:pPr>
              <w:jc w:val="center"/>
              <w:rPr>
                <w:rFonts w:ascii="Arial" w:eastAsia="Times New Roman" w:hAnsi="Arial" w:cs="Arial"/>
                <w:b/>
                <w:bCs/>
                <w:sz w:val="20"/>
                <w:szCs w:val="20"/>
              </w:rPr>
            </w:pPr>
            <w:r w:rsidRPr="003C459A">
              <w:rPr>
                <w:rFonts w:ascii="Arial" w:eastAsia="Times New Roman" w:hAnsi="Arial" w:cs="Arial"/>
                <w:b/>
                <w:bCs/>
                <w:sz w:val="20"/>
                <w:szCs w:val="20"/>
              </w:rPr>
              <w:t>2010</w:t>
            </w:r>
          </w:p>
        </w:tc>
        <w:tc>
          <w:tcPr>
            <w:tcW w:w="949" w:type="dxa"/>
            <w:tcBorders>
              <w:top w:val="single" w:sz="8" w:space="0" w:color="auto"/>
              <w:left w:val="nil"/>
              <w:bottom w:val="single" w:sz="4" w:space="0" w:color="auto"/>
              <w:right w:val="nil"/>
            </w:tcBorders>
            <w:shd w:val="clear" w:color="000000" w:fill="C4BD97"/>
            <w:vAlign w:val="center"/>
            <w:hideMark/>
          </w:tcPr>
          <w:p w:rsidR="007F3315" w:rsidRPr="003C459A" w:rsidRDefault="007F3315" w:rsidP="007F3315">
            <w:pPr>
              <w:jc w:val="center"/>
              <w:rPr>
                <w:rFonts w:ascii="Arial" w:eastAsia="Times New Roman" w:hAnsi="Arial" w:cs="Arial"/>
                <w:b/>
                <w:bCs/>
                <w:sz w:val="20"/>
                <w:szCs w:val="20"/>
              </w:rPr>
            </w:pPr>
            <w:r w:rsidRPr="003C459A">
              <w:rPr>
                <w:rFonts w:ascii="Arial" w:eastAsia="Times New Roman" w:hAnsi="Arial" w:cs="Arial"/>
                <w:b/>
                <w:bCs/>
                <w:sz w:val="20"/>
                <w:szCs w:val="20"/>
              </w:rPr>
              <w:t>2011</w:t>
            </w:r>
          </w:p>
        </w:tc>
        <w:tc>
          <w:tcPr>
            <w:tcW w:w="666" w:type="dxa"/>
            <w:tcBorders>
              <w:top w:val="nil"/>
              <w:left w:val="nil"/>
              <w:bottom w:val="nil"/>
              <w:right w:val="nil"/>
            </w:tcBorders>
            <w:shd w:val="clear" w:color="auto" w:fill="auto"/>
            <w:vAlign w:val="center"/>
            <w:hideMark/>
          </w:tcPr>
          <w:p w:rsidR="007F3315" w:rsidRPr="003C459A" w:rsidRDefault="007F3315" w:rsidP="007F3315">
            <w:pPr>
              <w:jc w:val="center"/>
              <w:rPr>
                <w:rFonts w:ascii="Arial" w:eastAsia="Times New Roman" w:hAnsi="Arial" w:cs="Arial"/>
                <w:b/>
                <w:bCs/>
                <w:sz w:val="20"/>
                <w:szCs w:val="20"/>
              </w:rPr>
            </w:pPr>
          </w:p>
        </w:tc>
      </w:tr>
      <w:tr w:rsidR="007F3315" w:rsidRPr="003C459A" w:rsidTr="007F3315">
        <w:trPr>
          <w:trHeight w:val="300"/>
        </w:trPr>
        <w:tc>
          <w:tcPr>
            <w:tcW w:w="5259" w:type="dxa"/>
            <w:tcBorders>
              <w:top w:val="nil"/>
              <w:left w:val="nil"/>
              <w:bottom w:val="nil"/>
              <w:right w:val="nil"/>
            </w:tcBorders>
            <w:shd w:val="clear" w:color="auto" w:fill="auto"/>
            <w:vAlign w:val="center"/>
            <w:hideMark/>
          </w:tcPr>
          <w:p w:rsidR="007F3315" w:rsidRPr="003C459A" w:rsidRDefault="007F3315" w:rsidP="007F3315">
            <w:pPr>
              <w:rPr>
                <w:rFonts w:ascii="Calibri" w:eastAsia="Times New Roman" w:hAnsi="Calibri"/>
                <w:b/>
                <w:bCs/>
                <w:color w:val="000000"/>
                <w:sz w:val="22"/>
                <w:szCs w:val="22"/>
              </w:rPr>
            </w:pPr>
            <w:r w:rsidRPr="003C459A">
              <w:rPr>
                <w:rFonts w:ascii="Calibri" w:eastAsia="Times New Roman" w:hAnsi="Calibri"/>
                <w:b/>
                <w:bCs/>
                <w:color w:val="000000"/>
                <w:sz w:val="22"/>
                <w:szCs w:val="22"/>
              </w:rPr>
              <w:t>Asset ownership (percent of households)</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0"/>
                <w:szCs w:val="20"/>
              </w:rPr>
            </w:pPr>
          </w:p>
        </w:tc>
        <w:tc>
          <w:tcPr>
            <w:tcW w:w="663"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0"/>
                <w:szCs w:val="20"/>
              </w:rPr>
            </w:pPr>
          </w:p>
        </w:tc>
        <w:tc>
          <w:tcPr>
            <w:tcW w:w="94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0"/>
                <w:szCs w:val="20"/>
              </w:rPr>
            </w:pP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0"/>
                <w:szCs w:val="20"/>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xml:space="preserve">     Refrigerator</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93.2</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95.5</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96.2</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xml:space="preserve">     Solar heater</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72.1</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70.0</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70.1</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xml:space="preserve">     Washing machine</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92.1</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94.3</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94.6</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xml:space="preserve">     Dishwasher</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1.7</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2.5</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1.9</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xml:space="preserve">     Central heating</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3.3</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2.6</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2.1</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xml:space="preserve">     Vacuum cleaner</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29.3</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30.3</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31.0</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xml:space="preserve">     Home library</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23.3</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22.4</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21.8</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xml:space="preserve">     TV</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95.8</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96.6</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97.6</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xml:space="preserve">     VCR/DVD</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24.5</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23.7</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21.6</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xml:space="preserve">     Telephone</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38.9</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39.8</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38.8</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xml:space="preserve">     Cell phone</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91.7</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94.9</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96.6</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xml:space="preserve">     Computer</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45.8</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49.7</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50.7</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xml:space="preserve">     Satellite dish</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89.1</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92.5</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94.4</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xml:space="preserve">     Radio/recorder</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59.9</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54.3</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46.1</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xml:space="preserve">     Microwave</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26.2</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30.2</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32.3</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xml:space="preserve">     Private car</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19.9</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22.6</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20.2</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b/>
                <w:bCs/>
                <w:color w:val="000000"/>
                <w:sz w:val="22"/>
                <w:szCs w:val="22"/>
              </w:rPr>
            </w:pPr>
            <w:r w:rsidRPr="003C459A">
              <w:rPr>
                <w:rFonts w:ascii="Calibri" w:eastAsia="Times New Roman" w:hAnsi="Calibri"/>
                <w:b/>
                <w:bCs/>
                <w:color w:val="000000"/>
                <w:sz w:val="22"/>
                <w:szCs w:val="22"/>
              </w:rPr>
              <w:t>Dwelling characteristics</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c>
          <w:tcPr>
            <w:tcW w:w="663"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c>
          <w:tcPr>
            <w:tcW w:w="94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xml:space="preserve">     Density of members per bedroom</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2.7</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2.7</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2.7</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xml:space="preserve">     Bathroom with piped water</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96.8</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97.9</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98.2</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xml:space="preserve">     Heating from gas, kerosene or electric</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58.8</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59.5</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55.0</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b/>
                <w:bCs/>
                <w:color w:val="000000"/>
                <w:sz w:val="22"/>
                <w:szCs w:val="22"/>
              </w:rPr>
            </w:pPr>
            <w:r w:rsidRPr="003C459A">
              <w:rPr>
                <w:rFonts w:ascii="Calibri" w:eastAsia="Times New Roman" w:hAnsi="Calibri"/>
                <w:b/>
                <w:bCs/>
                <w:color w:val="000000"/>
                <w:sz w:val="22"/>
                <w:szCs w:val="22"/>
              </w:rPr>
              <w:t>Demographic characteristics</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c>
          <w:tcPr>
            <w:tcW w:w="663"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c>
          <w:tcPr>
            <w:tcW w:w="94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xml:space="preserve">     Household size</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6.0</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6.0</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6.0</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xml:space="preserve">     Percent of household members &lt; 16</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37.7</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37.5</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36.9</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xml:space="preserve">     Percent of household members 16-30 </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26.8</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25.8</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25.8</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xml:space="preserve">     Percent of household members &gt;30 </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35.5</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36.7</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37.3</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xml:space="preserve">     Female household head</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10.0</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9.3</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11.1</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xml:space="preserve">     Age of household head</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45.4</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46.1</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46.5</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xml:space="preserve">     Household head has no formal education</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18.0</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16.4</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16.5</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xml:space="preserve">     Refugee household</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47.7</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48.1</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47.2</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xml:space="preserve">     Household located in urban area</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73.5</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73.4</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73.6</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xml:space="preserve">     Household in West Bank (versus Gaza)</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66.0</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65.8</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65.6</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165"/>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c>
          <w:tcPr>
            <w:tcW w:w="663"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c>
          <w:tcPr>
            <w:tcW w:w="663"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c>
          <w:tcPr>
            <w:tcW w:w="94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b/>
                <w:bCs/>
                <w:color w:val="000000"/>
                <w:sz w:val="22"/>
                <w:szCs w:val="22"/>
              </w:rPr>
            </w:pPr>
            <w:r w:rsidRPr="003C459A">
              <w:rPr>
                <w:rFonts w:ascii="Calibri" w:eastAsia="Times New Roman" w:hAnsi="Calibri"/>
                <w:b/>
                <w:bCs/>
                <w:color w:val="000000"/>
                <w:sz w:val="22"/>
                <w:szCs w:val="22"/>
              </w:rPr>
              <w:t>Total expenditures per adult equivalent</w:t>
            </w:r>
            <w:r>
              <w:rPr>
                <w:rFonts w:ascii="Calibri" w:eastAsia="Times New Roman" w:hAnsi="Calibri"/>
                <w:b/>
                <w:bCs/>
                <w:color w:val="000000"/>
                <w:sz w:val="22"/>
                <w:szCs w:val="22"/>
              </w:rPr>
              <w:t xml:space="preserve"> (monthly NIS) </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1412</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1439</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1447</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b/>
                <w:bCs/>
                <w:color w:val="000000"/>
                <w:sz w:val="22"/>
                <w:szCs w:val="22"/>
              </w:rPr>
              <w:t>Deep poverty</w:t>
            </w:r>
            <w:r w:rsidRPr="003C459A">
              <w:rPr>
                <w:rFonts w:ascii="Calibri" w:eastAsia="Times New Roman" w:hAnsi="Calibri"/>
                <w:color w:val="000000"/>
                <w:sz w:val="22"/>
                <w:szCs w:val="22"/>
              </w:rPr>
              <w:t xml:space="preserve"> a/</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9.8</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10.8</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9.8</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5259"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b/>
                <w:bCs/>
                <w:color w:val="000000"/>
                <w:sz w:val="22"/>
                <w:szCs w:val="22"/>
              </w:rPr>
            </w:pPr>
            <w:r w:rsidRPr="003C459A">
              <w:rPr>
                <w:rFonts w:ascii="Calibri" w:eastAsia="Times New Roman" w:hAnsi="Calibri"/>
                <w:b/>
                <w:bCs/>
                <w:color w:val="000000"/>
                <w:sz w:val="22"/>
                <w:szCs w:val="22"/>
              </w:rPr>
              <w:t xml:space="preserve">Poverty (National line) </w:t>
            </w:r>
            <w:r w:rsidRPr="003C459A">
              <w:rPr>
                <w:rFonts w:ascii="Calibri" w:eastAsia="Times New Roman" w:hAnsi="Calibri"/>
                <w:color w:val="000000"/>
                <w:sz w:val="22"/>
                <w:szCs w:val="22"/>
              </w:rPr>
              <w:t>a/</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19.3</w:t>
            </w:r>
          </w:p>
        </w:tc>
        <w:tc>
          <w:tcPr>
            <w:tcW w:w="663"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20.7</w:t>
            </w:r>
          </w:p>
        </w:tc>
        <w:tc>
          <w:tcPr>
            <w:tcW w:w="949" w:type="dxa"/>
            <w:tcBorders>
              <w:top w:val="nil"/>
              <w:left w:val="nil"/>
              <w:bottom w:val="nil"/>
              <w:right w:val="nil"/>
            </w:tcBorders>
            <w:shd w:val="clear" w:color="auto" w:fill="auto"/>
            <w:noWrap/>
            <w:vAlign w:val="bottom"/>
            <w:hideMark/>
          </w:tcPr>
          <w:p w:rsidR="007F3315" w:rsidRPr="003C459A" w:rsidRDefault="007F3315" w:rsidP="007F3315">
            <w:pPr>
              <w:jc w:val="right"/>
              <w:rPr>
                <w:rFonts w:ascii="Calibri" w:eastAsia="Times New Roman" w:hAnsi="Calibri"/>
                <w:color w:val="000000"/>
                <w:sz w:val="22"/>
                <w:szCs w:val="22"/>
              </w:rPr>
            </w:pPr>
            <w:r w:rsidRPr="003C459A">
              <w:rPr>
                <w:rFonts w:ascii="Calibri" w:eastAsia="Times New Roman" w:hAnsi="Calibri"/>
                <w:color w:val="000000"/>
                <w:sz w:val="22"/>
                <w:szCs w:val="22"/>
              </w:rPr>
              <w:t>20.3</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120"/>
        </w:trPr>
        <w:tc>
          <w:tcPr>
            <w:tcW w:w="5259" w:type="dxa"/>
            <w:tcBorders>
              <w:top w:val="nil"/>
              <w:left w:val="nil"/>
              <w:bottom w:val="single" w:sz="8" w:space="0" w:color="auto"/>
              <w:right w:val="nil"/>
            </w:tcBorders>
            <w:shd w:val="clear" w:color="auto" w:fill="auto"/>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w:t>
            </w:r>
          </w:p>
        </w:tc>
        <w:tc>
          <w:tcPr>
            <w:tcW w:w="663" w:type="dxa"/>
            <w:tcBorders>
              <w:top w:val="nil"/>
              <w:left w:val="nil"/>
              <w:bottom w:val="single" w:sz="8" w:space="0" w:color="auto"/>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w:t>
            </w:r>
          </w:p>
        </w:tc>
        <w:tc>
          <w:tcPr>
            <w:tcW w:w="663" w:type="dxa"/>
            <w:tcBorders>
              <w:top w:val="nil"/>
              <w:left w:val="nil"/>
              <w:bottom w:val="single" w:sz="8" w:space="0" w:color="auto"/>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w:t>
            </w:r>
          </w:p>
        </w:tc>
        <w:tc>
          <w:tcPr>
            <w:tcW w:w="949" w:type="dxa"/>
            <w:tcBorders>
              <w:top w:val="nil"/>
              <w:left w:val="nil"/>
              <w:bottom w:val="single" w:sz="8" w:space="0" w:color="auto"/>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r w:rsidRPr="003C459A">
              <w:rPr>
                <w:rFonts w:ascii="Calibri" w:eastAsia="Times New Roman" w:hAnsi="Calibri"/>
                <w:color w:val="000000"/>
                <w:sz w:val="22"/>
                <w:szCs w:val="22"/>
              </w:rPr>
              <w:t> </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22"/>
                <w:szCs w:val="22"/>
              </w:rPr>
            </w:pPr>
          </w:p>
        </w:tc>
      </w:tr>
      <w:tr w:rsidR="007F3315" w:rsidRPr="003C459A" w:rsidTr="007F3315">
        <w:trPr>
          <w:trHeight w:val="300"/>
        </w:trPr>
        <w:tc>
          <w:tcPr>
            <w:tcW w:w="8200" w:type="dxa"/>
            <w:gridSpan w:val="5"/>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18"/>
                <w:szCs w:val="18"/>
              </w:rPr>
            </w:pPr>
            <w:r w:rsidRPr="003C459A">
              <w:rPr>
                <w:rFonts w:ascii="Calibri" w:eastAsia="Times New Roman" w:hAnsi="Calibri"/>
                <w:color w:val="000000"/>
                <w:sz w:val="18"/>
                <w:szCs w:val="18"/>
              </w:rPr>
              <w:t xml:space="preserve">a/  The poverty estimates represent the percent of households (as opposed to individuals) who </w:t>
            </w:r>
            <w:r w:rsidR="00BD7E3D">
              <w:rPr>
                <w:rFonts w:ascii="Calibri" w:eastAsia="Times New Roman" w:hAnsi="Calibri"/>
                <w:color w:val="000000"/>
                <w:sz w:val="18"/>
                <w:szCs w:val="18"/>
              </w:rPr>
              <w:t>are</w:t>
            </w:r>
          </w:p>
        </w:tc>
      </w:tr>
      <w:tr w:rsidR="007F3315" w:rsidRPr="003C459A" w:rsidTr="007F3315">
        <w:trPr>
          <w:trHeight w:val="300"/>
        </w:trPr>
        <w:tc>
          <w:tcPr>
            <w:tcW w:w="7534" w:type="dxa"/>
            <w:gridSpan w:val="4"/>
            <w:tcBorders>
              <w:top w:val="nil"/>
              <w:left w:val="nil"/>
              <w:bottom w:val="nil"/>
              <w:right w:val="nil"/>
            </w:tcBorders>
            <w:shd w:val="clear" w:color="auto" w:fill="auto"/>
            <w:vAlign w:val="bottom"/>
            <w:hideMark/>
          </w:tcPr>
          <w:p w:rsidR="007F3315" w:rsidRPr="003C459A" w:rsidRDefault="007F3315" w:rsidP="007F3315">
            <w:pPr>
              <w:rPr>
                <w:rFonts w:ascii="Calibri" w:eastAsia="Times New Roman" w:hAnsi="Calibri"/>
                <w:color w:val="000000"/>
                <w:sz w:val="18"/>
                <w:szCs w:val="18"/>
              </w:rPr>
            </w:pPr>
            <w:r w:rsidRPr="003C459A">
              <w:rPr>
                <w:rFonts w:ascii="Calibri" w:eastAsia="Times New Roman" w:hAnsi="Calibri"/>
                <w:color w:val="000000"/>
                <w:sz w:val="18"/>
                <w:szCs w:val="18"/>
              </w:rPr>
              <w:t>classified as poor.</w:t>
            </w:r>
          </w:p>
        </w:tc>
        <w:tc>
          <w:tcPr>
            <w:tcW w:w="666" w:type="dxa"/>
            <w:tcBorders>
              <w:top w:val="nil"/>
              <w:left w:val="nil"/>
              <w:bottom w:val="nil"/>
              <w:right w:val="nil"/>
            </w:tcBorders>
            <w:shd w:val="clear" w:color="auto" w:fill="auto"/>
            <w:noWrap/>
            <w:vAlign w:val="bottom"/>
            <w:hideMark/>
          </w:tcPr>
          <w:p w:rsidR="007F3315" w:rsidRPr="003C459A" w:rsidRDefault="007F3315" w:rsidP="007F3315">
            <w:pPr>
              <w:rPr>
                <w:rFonts w:ascii="Calibri" w:eastAsia="Times New Roman" w:hAnsi="Calibri"/>
                <w:color w:val="000000"/>
                <w:sz w:val="18"/>
                <w:szCs w:val="18"/>
              </w:rPr>
            </w:pPr>
          </w:p>
        </w:tc>
      </w:tr>
    </w:tbl>
    <w:p w:rsidR="007F3315" w:rsidRPr="002C3E95" w:rsidRDefault="007F3315" w:rsidP="007F3315">
      <w:pPr>
        <w:rPr>
          <w:rFonts w:asciiTheme="minorHAnsi" w:hAnsiTheme="minorHAnsi"/>
          <w:sz w:val="18"/>
          <w:szCs w:val="18"/>
        </w:rPr>
      </w:pPr>
      <w:r w:rsidRPr="002C3E95">
        <w:rPr>
          <w:rFonts w:asciiTheme="minorHAnsi" w:hAnsiTheme="minorHAnsi"/>
          <w:sz w:val="18"/>
          <w:szCs w:val="18"/>
        </w:rPr>
        <w:t>Note:  All variable means are survey-weight corrected.</w:t>
      </w:r>
    </w:p>
    <w:tbl>
      <w:tblPr>
        <w:tblW w:w="10326" w:type="dxa"/>
        <w:tblInd w:w="93" w:type="dxa"/>
        <w:tblLook w:val="04A0" w:firstRow="1" w:lastRow="0" w:firstColumn="1" w:lastColumn="0" w:noHBand="0" w:noVBand="1"/>
      </w:tblPr>
      <w:tblGrid>
        <w:gridCol w:w="4155"/>
        <w:gridCol w:w="1067"/>
        <w:gridCol w:w="718"/>
        <w:gridCol w:w="267"/>
        <w:gridCol w:w="1067"/>
        <w:gridCol w:w="718"/>
        <w:gridCol w:w="267"/>
        <w:gridCol w:w="1067"/>
        <w:gridCol w:w="1000"/>
      </w:tblGrid>
      <w:tr w:rsidR="00A043E7" w:rsidRPr="00314D2A" w:rsidTr="00DD3E15">
        <w:trPr>
          <w:trHeight w:val="300"/>
        </w:trPr>
        <w:tc>
          <w:tcPr>
            <w:tcW w:w="9326" w:type="dxa"/>
            <w:gridSpan w:val="8"/>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b/>
                <w:bCs/>
                <w:color w:val="000000"/>
                <w:sz w:val="22"/>
                <w:szCs w:val="22"/>
              </w:rPr>
            </w:pPr>
            <w:r>
              <w:lastRenderedPageBreak/>
              <w:br w:type="page"/>
            </w:r>
            <w:r w:rsidRPr="00314D2A">
              <w:rPr>
                <w:rFonts w:ascii="Calibri" w:eastAsia="Times New Roman" w:hAnsi="Calibri"/>
                <w:b/>
                <w:bCs/>
                <w:color w:val="000000"/>
                <w:sz w:val="22"/>
                <w:szCs w:val="22"/>
              </w:rPr>
              <w:t xml:space="preserve">Table </w:t>
            </w:r>
            <w:r>
              <w:rPr>
                <w:rFonts w:ascii="Calibri" w:eastAsia="Times New Roman" w:hAnsi="Calibri"/>
                <w:b/>
                <w:bCs/>
                <w:color w:val="000000"/>
                <w:sz w:val="22"/>
                <w:szCs w:val="22"/>
              </w:rPr>
              <w:t>2</w:t>
            </w:r>
            <w:r w:rsidRPr="00314D2A">
              <w:rPr>
                <w:rFonts w:ascii="Calibri" w:eastAsia="Times New Roman" w:hAnsi="Calibri"/>
                <w:b/>
                <w:bCs/>
                <w:color w:val="000000"/>
                <w:sz w:val="22"/>
                <w:szCs w:val="22"/>
              </w:rPr>
              <w:t>.2   Regression of total expenditures per adult equivalent on asset ownership and</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r>
      <w:tr w:rsidR="00A043E7" w:rsidRPr="00314D2A" w:rsidTr="00DD3E15">
        <w:trPr>
          <w:trHeight w:val="315"/>
        </w:trPr>
        <w:tc>
          <w:tcPr>
            <w:tcW w:w="9326" w:type="dxa"/>
            <w:gridSpan w:val="8"/>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b/>
                <w:bCs/>
                <w:color w:val="000000"/>
                <w:sz w:val="22"/>
                <w:szCs w:val="22"/>
              </w:rPr>
            </w:pPr>
            <w:r w:rsidRPr="00314D2A">
              <w:rPr>
                <w:rFonts w:ascii="Calibri" w:eastAsia="Times New Roman" w:hAnsi="Calibri"/>
                <w:b/>
                <w:bCs/>
                <w:color w:val="000000"/>
                <w:sz w:val="22"/>
                <w:szCs w:val="22"/>
              </w:rPr>
              <w:t xml:space="preserve">other expenditure correlates, 2009, 2010 and 2011 (PECS data):  </w:t>
            </w:r>
            <w:r w:rsidRPr="00314D2A">
              <w:rPr>
                <w:rFonts w:ascii="Calibri" w:eastAsia="Times New Roman" w:hAnsi="Calibri"/>
                <w:b/>
                <w:bCs/>
                <w:color w:val="FF0000"/>
                <w:sz w:val="22"/>
                <w:szCs w:val="22"/>
              </w:rPr>
              <w:t>All expenditure correlates</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r>
      <w:tr w:rsidR="00A043E7" w:rsidRPr="00314D2A" w:rsidTr="00DD3E15">
        <w:trPr>
          <w:trHeight w:val="300"/>
        </w:trPr>
        <w:tc>
          <w:tcPr>
            <w:tcW w:w="4155" w:type="dxa"/>
            <w:tcBorders>
              <w:top w:val="single" w:sz="8" w:space="0" w:color="auto"/>
              <w:left w:val="nil"/>
              <w:bottom w:val="nil"/>
              <w:right w:val="nil"/>
            </w:tcBorders>
            <w:shd w:val="clear" w:color="000000" w:fill="C4BD97"/>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w:t>
            </w:r>
          </w:p>
        </w:tc>
        <w:tc>
          <w:tcPr>
            <w:tcW w:w="1785" w:type="dxa"/>
            <w:gridSpan w:val="2"/>
            <w:tcBorders>
              <w:top w:val="single" w:sz="8" w:space="0" w:color="auto"/>
              <w:left w:val="nil"/>
              <w:bottom w:val="single" w:sz="4" w:space="0" w:color="auto"/>
              <w:right w:val="nil"/>
            </w:tcBorders>
            <w:shd w:val="clear" w:color="000000" w:fill="C4BD97"/>
            <w:noWrap/>
            <w:vAlign w:val="center"/>
            <w:hideMark/>
          </w:tcPr>
          <w:p w:rsidR="00A043E7" w:rsidRPr="00314D2A" w:rsidRDefault="00A043E7" w:rsidP="00DD3E15">
            <w:pPr>
              <w:jc w:val="center"/>
              <w:rPr>
                <w:rFonts w:ascii="Arial" w:eastAsia="Times New Roman" w:hAnsi="Arial" w:cs="Arial"/>
                <w:b/>
                <w:bCs/>
                <w:sz w:val="20"/>
                <w:szCs w:val="20"/>
              </w:rPr>
            </w:pPr>
            <w:r w:rsidRPr="00314D2A">
              <w:rPr>
                <w:rFonts w:ascii="Arial" w:eastAsia="Times New Roman" w:hAnsi="Arial" w:cs="Arial"/>
                <w:b/>
                <w:bCs/>
                <w:sz w:val="20"/>
                <w:szCs w:val="20"/>
              </w:rPr>
              <w:t>2009</w:t>
            </w:r>
          </w:p>
        </w:tc>
        <w:tc>
          <w:tcPr>
            <w:tcW w:w="267" w:type="dxa"/>
            <w:tcBorders>
              <w:top w:val="single" w:sz="8" w:space="0" w:color="auto"/>
              <w:left w:val="nil"/>
              <w:bottom w:val="single" w:sz="4" w:space="0" w:color="auto"/>
              <w:right w:val="nil"/>
            </w:tcBorders>
            <w:shd w:val="clear" w:color="000000" w:fill="C4BD97"/>
            <w:noWrap/>
            <w:vAlign w:val="center"/>
            <w:hideMark/>
          </w:tcPr>
          <w:p w:rsidR="00A043E7" w:rsidRPr="00314D2A" w:rsidRDefault="00A043E7" w:rsidP="00DD3E15">
            <w:pPr>
              <w:jc w:val="center"/>
              <w:rPr>
                <w:rFonts w:ascii="Calibri" w:eastAsia="Times New Roman" w:hAnsi="Calibri"/>
                <w:color w:val="000000"/>
                <w:sz w:val="22"/>
                <w:szCs w:val="22"/>
              </w:rPr>
            </w:pPr>
          </w:p>
        </w:tc>
        <w:tc>
          <w:tcPr>
            <w:tcW w:w="1785" w:type="dxa"/>
            <w:gridSpan w:val="2"/>
            <w:tcBorders>
              <w:top w:val="single" w:sz="8" w:space="0" w:color="auto"/>
              <w:left w:val="nil"/>
              <w:bottom w:val="single" w:sz="4" w:space="0" w:color="auto"/>
              <w:right w:val="nil"/>
            </w:tcBorders>
            <w:shd w:val="clear" w:color="000000" w:fill="C4BD97"/>
            <w:noWrap/>
            <w:vAlign w:val="center"/>
            <w:hideMark/>
          </w:tcPr>
          <w:p w:rsidR="00A043E7" w:rsidRPr="00314D2A" w:rsidRDefault="00A043E7" w:rsidP="00DD3E15">
            <w:pPr>
              <w:jc w:val="center"/>
              <w:rPr>
                <w:rFonts w:ascii="Arial" w:eastAsia="Times New Roman" w:hAnsi="Arial" w:cs="Arial"/>
                <w:b/>
                <w:bCs/>
                <w:sz w:val="20"/>
                <w:szCs w:val="20"/>
              </w:rPr>
            </w:pPr>
            <w:r w:rsidRPr="00314D2A">
              <w:rPr>
                <w:rFonts w:ascii="Arial" w:eastAsia="Times New Roman" w:hAnsi="Arial" w:cs="Arial"/>
                <w:b/>
                <w:bCs/>
                <w:sz w:val="20"/>
                <w:szCs w:val="20"/>
              </w:rPr>
              <w:t>2010</w:t>
            </w:r>
          </w:p>
        </w:tc>
        <w:tc>
          <w:tcPr>
            <w:tcW w:w="267" w:type="dxa"/>
            <w:tcBorders>
              <w:top w:val="single" w:sz="8" w:space="0" w:color="auto"/>
              <w:left w:val="nil"/>
              <w:bottom w:val="single" w:sz="4" w:space="0" w:color="auto"/>
              <w:right w:val="nil"/>
            </w:tcBorders>
            <w:shd w:val="clear" w:color="000000" w:fill="C4BD97"/>
            <w:noWrap/>
            <w:vAlign w:val="center"/>
            <w:hideMark/>
          </w:tcPr>
          <w:p w:rsidR="00A043E7" w:rsidRPr="00314D2A" w:rsidRDefault="00A043E7" w:rsidP="00DD3E15">
            <w:pPr>
              <w:jc w:val="center"/>
              <w:rPr>
                <w:rFonts w:ascii="Calibri" w:eastAsia="Times New Roman" w:hAnsi="Calibri"/>
                <w:color w:val="000000"/>
                <w:sz w:val="22"/>
                <w:szCs w:val="22"/>
              </w:rPr>
            </w:pPr>
          </w:p>
        </w:tc>
        <w:tc>
          <w:tcPr>
            <w:tcW w:w="2067" w:type="dxa"/>
            <w:gridSpan w:val="2"/>
            <w:tcBorders>
              <w:top w:val="single" w:sz="8" w:space="0" w:color="auto"/>
              <w:left w:val="nil"/>
              <w:bottom w:val="single" w:sz="4" w:space="0" w:color="auto"/>
              <w:right w:val="nil"/>
            </w:tcBorders>
            <w:shd w:val="clear" w:color="000000" w:fill="C4BD97"/>
            <w:vAlign w:val="center"/>
            <w:hideMark/>
          </w:tcPr>
          <w:p w:rsidR="00A043E7" w:rsidRPr="00314D2A" w:rsidRDefault="00A043E7" w:rsidP="00DD3E15">
            <w:pPr>
              <w:jc w:val="center"/>
              <w:rPr>
                <w:rFonts w:ascii="Arial" w:eastAsia="Times New Roman" w:hAnsi="Arial" w:cs="Arial"/>
                <w:b/>
                <w:bCs/>
                <w:sz w:val="20"/>
                <w:szCs w:val="20"/>
              </w:rPr>
            </w:pPr>
            <w:r w:rsidRPr="00314D2A">
              <w:rPr>
                <w:rFonts w:ascii="Arial" w:eastAsia="Times New Roman" w:hAnsi="Arial" w:cs="Arial"/>
                <w:b/>
                <w:bCs/>
                <w:sz w:val="20"/>
                <w:szCs w:val="20"/>
              </w:rPr>
              <w:t>2011</w:t>
            </w:r>
          </w:p>
        </w:tc>
      </w:tr>
      <w:tr w:rsidR="00A043E7" w:rsidRPr="00314D2A" w:rsidTr="00DD3E15">
        <w:trPr>
          <w:trHeight w:val="300"/>
        </w:trPr>
        <w:tc>
          <w:tcPr>
            <w:tcW w:w="4155" w:type="dxa"/>
            <w:tcBorders>
              <w:top w:val="nil"/>
              <w:left w:val="nil"/>
              <w:bottom w:val="single" w:sz="4" w:space="0" w:color="auto"/>
              <w:right w:val="nil"/>
            </w:tcBorders>
            <w:shd w:val="clear" w:color="000000" w:fill="C4BD97"/>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w:t>
            </w:r>
          </w:p>
        </w:tc>
        <w:tc>
          <w:tcPr>
            <w:tcW w:w="1067" w:type="dxa"/>
            <w:tcBorders>
              <w:top w:val="nil"/>
              <w:left w:val="nil"/>
              <w:bottom w:val="single" w:sz="4" w:space="0" w:color="auto"/>
              <w:right w:val="nil"/>
            </w:tcBorders>
            <w:shd w:val="clear" w:color="000000" w:fill="C4BD97"/>
            <w:noWrap/>
            <w:vAlign w:val="bottom"/>
            <w:hideMark/>
          </w:tcPr>
          <w:p w:rsidR="00A043E7" w:rsidRPr="00314D2A" w:rsidRDefault="00A043E7" w:rsidP="00DD3E15">
            <w:pPr>
              <w:jc w:val="center"/>
              <w:rPr>
                <w:rFonts w:ascii="Arial" w:eastAsia="Times New Roman" w:hAnsi="Arial" w:cs="Arial"/>
                <w:sz w:val="18"/>
                <w:szCs w:val="18"/>
              </w:rPr>
            </w:pPr>
            <w:r w:rsidRPr="00314D2A">
              <w:rPr>
                <w:rFonts w:ascii="Arial" w:eastAsia="Times New Roman" w:hAnsi="Arial" w:cs="Arial"/>
                <w:sz w:val="18"/>
                <w:szCs w:val="18"/>
              </w:rPr>
              <w:t>Coefficient</w:t>
            </w:r>
          </w:p>
        </w:tc>
        <w:tc>
          <w:tcPr>
            <w:tcW w:w="718" w:type="dxa"/>
            <w:tcBorders>
              <w:top w:val="nil"/>
              <w:left w:val="nil"/>
              <w:bottom w:val="single" w:sz="4" w:space="0" w:color="auto"/>
              <w:right w:val="nil"/>
            </w:tcBorders>
            <w:shd w:val="clear" w:color="000000" w:fill="C4BD97"/>
            <w:noWrap/>
            <w:vAlign w:val="bottom"/>
            <w:hideMark/>
          </w:tcPr>
          <w:p w:rsidR="00A043E7" w:rsidRPr="00314D2A" w:rsidRDefault="00A043E7" w:rsidP="00DD3E15">
            <w:pPr>
              <w:jc w:val="center"/>
              <w:rPr>
                <w:rFonts w:ascii="Arial" w:eastAsia="Times New Roman" w:hAnsi="Arial" w:cs="Arial"/>
                <w:sz w:val="18"/>
                <w:szCs w:val="18"/>
              </w:rPr>
            </w:pPr>
            <w:r w:rsidRPr="00314D2A">
              <w:rPr>
                <w:rFonts w:ascii="Arial" w:eastAsia="Times New Roman" w:hAnsi="Arial" w:cs="Arial"/>
                <w:sz w:val="18"/>
                <w:szCs w:val="18"/>
              </w:rPr>
              <w:t>p-value</w:t>
            </w:r>
          </w:p>
        </w:tc>
        <w:tc>
          <w:tcPr>
            <w:tcW w:w="267" w:type="dxa"/>
            <w:tcBorders>
              <w:top w:val="nil"/>
              <w:left w:val="nil"/>
              <w:bottom w:val="single" w:sz="4" w:space="0" w:color="auto"/>
              <w:right w:val="nil"/>
            </w:tcBorders>
            <w:shd w:val="clear" w:color="000000" w:fill="C4BD97"/>
            <w:noWrap/>
            <w:vAlign w:val="bottom"/>
            <w:hideMark/>
          </w:tcPr>
          <w:p w:rsidR="00A043E7" w:rsidRPr="00314D2A" w:rsidRDefault="00A043E7" w:rsidP="00DD3E15">
            <w:pPr>
              <w:jc w:val="center"/>
              <w:rPr>
                <w:rFonts w:ascii="Arial" w:eastAsia="Times New Roman" w:hAnsi="Arial" w:cs="Arial"/>
                <w:sz w:val="18"/>
                <w:szCs w:val="18"/>
              </w:rPr>
            </w:pPr>
            <w:r w:rsidRPr="00314D2A">
              <w:rPr>
                <w:rFonts w:ascii="Arial" w:eastAsia="Times New Roman" w:hAnsi="Arial" w:cs="Arial"/>
                <w:sz w:val="18"/>
                <w:szCs w:val="18"/>
              </w:rPr>
              <w:t> </w:t>
            </w:r>
          </w:p>
        </w:tc>
        <w:tc>
          <w:tcPr>
            <w:tcW w:w="1067" w:type="dxa"/>
            <w:tcBorders>
              <w:top w:val="nil"/>
              <w:left w:val="nil"/>
              <w:bottom w:val="single" w:sz="4" w:space="0" w:color="auto"/>
              <w:right w:val="nil"/>
            </w:tcBorders>
            <w:shd w:val="clear" w:color="000000" w:fill="C4BD97"/>
            <w:noWrap/>
            <w:vAlign w:val="bottom"/>
            <w:hideMark/>
          </w:tcPr>
          <w:p w:rsidR="00A043E7" w:rsidRPr="00314D2A" w:rsidRDefault="00A043E7" w:rsidP="00DD3E15">
            <w:pPr>
              <w:jc w:val="center"/>
              <w:rPr>
                <w:rFonts w:ascii="Arial" w:eastAsia="Times New Roman" w:hAnsi="Arial" w:cs="Arial"/>
                <w:sz w:val="18"/>
                <w:szCs w:val="18"/>
              </w:rPr>
            </w:pPr>
            <w:r w:rsidRPr="00314D2A">
              <w:rPr>
                <w:rFonts w:ascii="Arial" w:eastAsia="Times New Roman" w:hAnsi="Arial" w:cs="Arial"/>
                <w:sz w:val="18"/>
                <w:szCs w:val="18"/>
              </w:rPr>
              <w:t>Coefficient</w:t>
            </w:r>
          </w:p>
        </w:tc>
        <w:tc>
          <w:tcPr>
            <w:tcW w:w="718" w:type="dxa"/>
            <w:tcBorders>
              <w:top w:val="nil"/>
              <w:left w:val="nil"/>
              <w:bottom w:val="single" w:sz="4" w:space="0" w:color="auto"/>
              <w:right w:val="nil"/>
            </w:tcBorders>
            <w:shd w:val="clear" w:color="000000" w:fill="C4BD97"/>
            <w:noWrap/>
            <w:vAlign w:val="bottom"/>
            <w:hideMark/>
          </w:tcPr>
          <w:p w:rsidR="00A043E7" w:rsidRPr="00314D2A" w:rsidRDefault="00A043E7" w:rsidP="00DD3E15">
            <w:pPr>
              <w:jc w:val="center"/>
              <w:rPr>
                <w:rFonts w:ascii="Arial" w:eastAsia="Times New Roman" w:hAnsi="Arial" w:cs="Arial"/>
                <w:sz w:val="18"/>
                <w:szCs w:val="18"/>
              </w:rPr>
            </w:pPr>
            <w:r w:rsidRPr="00314D2A">
              <w:rPr>
                <w:rFonts w:ascii="Arial" w:eastAsia="Times New Roman" w:hAnsi="Arial" w:cs="Arial"/>
                <w:sz w:val="18"/>
                <w:szCs w:val="18"/>
              </w:rPr>
              <w:t>p-value</w:t>
            </w:r>
          </w:p>
        </w:tc>
        <w:tc>
          <w:tcPr>
            <w:tcW w:w="267" w:type="dxa"/>
            <w:tcBorders>
              <w:top w:val="nil"/>
              <w:left w:val="nil"/>
              <w:bottom w:val="single" w:sz="4" w:space="0" w:color="auto"/>
              <w:right w:val="nil"/>
            </w:tcBorders>
            <w:shd w:val="clear" w:color="000000" w:fill="C4BD97"/>
            <w:noWrap/>
            <w:vAlign w:val="bottom"/>
            <w:hideMark/>
          </w:tcPr>
          <w:p w:rsidR="00A043E7" w:rsidRPr="00314D2A" w:rsidRDefault="00A043E7" w:rsidP="00DD3E15">
            <w:pPr>
              <w:jc w:val="center"/>
              <w:rPr>
                <w:rFonts w:ascii="Arial" w:eastAsia="Times New Roman" w:hAnsi="Arial" w:cs="Arial"/>
                <w:sz w:val="18"/>
                <w:szCs w:val="18"/>
              </w:rPr>
            </w:pPr>
            <w:r w:rsidRPr="00314D2A">
              <w:rPr>
                <w:rFonts w:ascii="Arial" w:eastAsia="Times New Roman" w:hAnsi="Arial" w:cs="Arial"/>
                <w:sz w:val="18"/>
                <w:szCs w:val="18"/>
              </w:rPr>
              <w:t> </w:t>
            </w:r>
          </w:p>
        </w:tc>
        <w:tc>
          <w:tcPr>
            <w:tcW w:w="1067" w:type="dxa"/>
            <w:tcBorders>
              <w:top w:val="nil"/>
              <w:left w:val="nil"/>
              <w:bottom w:val="single" w:sz="4" w:space="0" w:color="auto"/>
              <w:right w:val="nil"/>
            </w:tcBorders>
            <w:shd w:val="clear" w:color="000000" w:fill="C4BD97"/>
            <w:noWrap/>
            <w:vAlign w:val="bottom"/>
            <w:hideMark/>
          </w:tcPr>
          <w:p w:rsidR="00A043E7" w:rsidRPr="00314D2A" w:rsidRDefault="00A043E7" w:rsidP="00DD3E15">
            <w:pPr>
              <w:jc w:val="center"/>
              <w:rPr>
                <w:rFonts w:ascii="Arial" w:eastAsia="Times New Roman" w:hAnsi="Arial" w:cs="Arial"/>
                <w:sz w:val="18"/>
                <w:szCs w:val="18"/>
              </w:rPr>
            </w:pPr>
            <w:r w:rsidRPr="00314D2A">
              <w:rPr>
                <w:rFonts w:ascii="Arial" w:eastAsia="Times New Roman" w:hAnsi="Arial" w:cs="Arial"/>
                <w:sz w:val="18"/>
                <w:szCs w:val="18"/>
              </w:rPr>
              <w:t>Coefficient</w:t>
            </w:r>
          </w:p>
        </w:tc>
        <w:tc>
          <w:tcPr>
            <w:tcW w:w="1000" w:type="dxa"/>
            <w:tcBorders>
              <w:top w:val="nil"/>
              <w:left w:val="nil"/>
              <w:bottom w:val="single" w:sz="4" w:space="0" w:color="auto"/>
              <w:right w:val="nil"/>
            </w:tcBorders>
            <w:shd w:val="clear" w:color="000000" w:fill="C4BD97"/>
            <w:noWrap/>
            <w:vAlign w:val="bottom"/>
            <w:hideMark/>
          </w:tcPr>
          <w:p w:rsidR="00A043E7" w:rsidRPr="00314D2A" w:rsidRDefault="00A043E7" w:rsidP="00DD3E15">
            <w:pPr>
              <w:jc w:val="center"/>
              <w:rPr>
                <w:rFonts w:ascii="Arial" w:eastAsia="Times New Roman" w:hAnsi="Arial" w:cs="Arial"/>
                <w:sz w:val="18"/>
                <w:szCs w:val="18"/>
              </w:rPr>
            </w:pPr>
            <w:r w:rsidRPr="00314D2A">
              <w:rPr>
                <w:rFonts w:ascii="Arial" w:eastAsia="Times New Roman" w:hAnsi="Arial" w:cs="Arial"/>
                <w:sz w:val="18"/>
                <w:szCs w:val="18"/>
              </w:rPr>
              <w:t>p-value</w:t>
            </w:r>
          </w:p>
        </w:tc>
      </w:tr>
      <w:tr w:rsidR="00A043E7" w:rsidRPr="00314D2A" w:rsidTr="00DD3E15">
        <w:trPr>
          <w:trHeight w:val="300"/>
        </w:trPr>
        <w:tc>
          <w:tcPr>
            <w:tcW w:w="4155" w:type="dxa"/>
            <w:tcBorders>
              <w:top w:val="nil"/>
              <w:left w:val="nil"/>
              <w:bottom w:val="nil"/>
              <w:right w:val="nil"/>
            </w:tcBorders>
            <w:shd w:val="clear" w:color="auto" w:fill="auto"/>
            <w:vAlign w:val="center"/>
            <w:hideMark/>
          </w:tcPr>
          <w:p w:rsidR="00A043E7" w:rsidRPr="00314D2A" w:rsidRDefault="00A043E7" w:rsidP="00DD3E15">
            <w:pPr>
              <w:rPr>
                <w:rFonts w:ascii="Calibri" w:eastAsia="Times New Roman" w:hAnsi="Calibri"/>
                <w:b/>
                <w:bCs/>
                <w:color w:val="000000"/>
                <w:sz w:val="22"/>
                <w:szCs w:val="22"/>
              </w:rPr>
            </w:pPr>
            <w:r w:rsidRPr="00314D2A">
              <w:rPr>
                <w:rFonts w:ascii="Calibri" w:eastAsia="Times New Roman" w:hAnsi="Calibri"/>
                <w:b/>
                <w:bCs/>
                <w:color w:val="000000"/>
                <w:sz w:val="22"/>
                <w:szCs w:val="22"/>
              </w:rPr>
              <w:t>Asset ownership (percent of households)</w:t>
            </w:r>
          </w:p>
        </w:tc>
        <w:tc>
          <w:tcPr>
            <w:tcW w:w="10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0"/>
                <w:szCs w:val="20"/>
              </w:rPr>
            </w:pPr>
          </w:p>
        </w:tc>
        <w:tc>
          <w:tcPr>
            <w:tcW w:w="718"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0"/>
                <w:szCs w:val="20"/>
              </w:rPr>
            </w:pP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0"/>
                <w:szCs w:val="20"/>
              </w:rPr>
            </w:pPr>
          </w:p>
        </w:tc>
        <w:tc>
          <w:tcPr>
            <w:tcW w:w="10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0"/>
                <w:szCs w:val="20"/>
              </w:rPr>
            </w:pPr>
          </w:p>
        </w:tc>
        <w:tc>
          <w:tcPr>
            <w:tcW w:w="718"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0"/>
                <w:szCs w:val="20"/>
              </w:rPr>
            </w:pP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0"/>
                <w:szCs w:val="20"/>
              </w:rPr>
            </w:pPr>
          </w:p>
        </w:tc>
        <w:tc>
          <w:tcPr>
            <w:tcW w:w="10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0"/>
                <w:szCs w:val="20"/>
              </w:rPr>
            </w:pPr>
          </w:p>
        </w:tc>
        <w:tc>
          <w:tcPr>
            <w:tcW w:w="1000"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0"/>
                <w:szCs w:val="20"/>
              </w:rPr>
            </w:pP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xml:space="preserve">     Refrigerator</w:t>
            </w: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0.043</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0.186</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0.095</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0.008</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0.155</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xml:space="preserve">     Solar heater</w:t>
            </w: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0.099</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0.063</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0.023</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0.112</w:t>
            </w: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xml:space="preserve">     Washing machine</w:t>
            </w: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-0.022</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0.479</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0.016</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0.615</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0.081</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0.007</w:t>
            </w: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xml:space="preserve">     Dishwasher</w:t>
            </w: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0.189</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0.001</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0.003</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0.949</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0.187</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0.001</w:t>
            </w: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xml:space="preserve">     Central heating</w:t>
            </w: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0.160</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0.325</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0.117</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0.025</w:t>
            </w: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xml:space="preserve">     Vacuum cleaner</w:t>
            </w: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0.058</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0.003</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0.077</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0.123</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xml:space="preserve">     Home library</w:t>
            </w: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0.037</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0.048</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0.093</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0.080</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xml:space="preserve">     TV</w:t>
            </w: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0.080</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0.060</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-0.008</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0.866</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0.027</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0.563</w:t>
            </w: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xml:space="preserve">     VCR/DVD</w:t>
            </w: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0.089</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0.138</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0.089</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xml:space="preserve">     Telephone</w:t>
            </w: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0.095</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0.083</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0.086</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xml:space="preserve">     Cell phone</w:t>
            </w: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0.168</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0.147</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0.126</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0.001</w:t>
            </w: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xml:space="preserve">     Computer</w:t>
            </w: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0.076</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0.084</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0.093</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xml:space="preserve">     Satellite dish</w:t>
            </w: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0.023</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0.411</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0.083</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0.008</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0.022</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0.478</w:t>
            </w: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xml:space="preserve">     Radio/recorder</w:t>
            </w: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0.085</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0.028</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0.055</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0.007</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0.616</w:t>
            </w: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xml:space="preserve">     Microwave</w:t>
            </w: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0.126</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0.123</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0.098</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xml:space="preserve">     Private car</w:t>
            </w: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0.307</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0.295</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0.234</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b/>
                <w:bCs/>
                <w:color w:val="000000"/>
                <w:sz w:val="22"/>
                <w:szCs w:val="22"/>
              </w:rPr>
            </w:pPr>
            <w:r w:rsidRPr="00314D2A">
              <w:rPr>
                <w:rFonts w:ascii="Calibri" w:eastAsia="Times New Roman" w:hAnsi="Calibri"/>
                <w:b/>
                <w:bCs/>
                <w:color w:val="000000"/>
                <w:sz w:val="22"/>
                <w:szCs w:val="22"/>
              </w:rPr>
              <w:t>Dwelling characteristics</w:t>
            </w: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xml:space="preserve">     Density of members per bedroom</w:t>
            </w: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-0.015</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0.043</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-0.041</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-0.039</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xml:space="preserve">     Bathroom with piped water</w:t>
            </w: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-0.060</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0.148</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-0.011</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0.813</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0.109</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0.015</w:t>
            </w: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xml:space="preserve">     Heating from gas, kerosene or electric</w:t>
            </w: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0.112</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0.129</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0.072</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b/>
                <w:bCs/>
                <w:color w:val="000000"/>
                <w:sz w:val="22"/>
                <w:szCs w:val="22"/>
              </w:rPr>
            </w:pPr>
            <w:r w:rsidRPr="00314D2A">
              <w:rPr>
                <w:rFonts w:ascii="Calibri" w:eastAsia="Times New Roman" w:hAnsi="Calibri"/>
                <w:b/>
                <w:bCs/>
                <w:color w:val="000000"/>
                <w:sz w:val="22"/>
                <w:szCs w:val="22"/>
              </w:rPr>
              <w:t>Demographic characteristics</w:t>
            </w: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xml:space="preserve">     Household size</w:t>
            </w: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-0.061</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-0.047</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-0.051</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xml:space="preserve">     Percent of household members &lt; 16 a/</w:t>
            </w: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xml:space="preserve">     Percent of household members 16-30 </w:t>
            </w: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0.932</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0.614</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0.001</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0.002</w:t>
            </w: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xml:space="preserve">     Percent of household members &gt;30 </w:t>
            </w: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0.455</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0.001</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0.008</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0.002</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0.003</w:t>
            </w: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xml:space="preserve">     Female household head</w:t>
            </w: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0.072</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0.006</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0.046</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0.082</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0.054</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0.017</w:t>
            </w: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xml:space="preserve">     Age of household head</w:t>
            </w: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0.002</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0.026</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-0.002</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0.007</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-0.002</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0.003</w:t>
            </w: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xml:space="preserve">     Household head has no formal education</w:t>
            </w: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-0.076</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-0.012</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0.602</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-0.060</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0.003</w:t>
            </w: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xml:space="preserve">     Refugee household</w:t>
            </w: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-0.071</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-0.031</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0.043</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-0.055</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xml:space="preserve">     Household located in urban area</w:t>
            </w: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0.001</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0.968</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-0.014</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0.367</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-0.004</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0.745</w:t>
            </w: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xml:space="preserve">     Household in West Bank (versus Gaza)</w:t>
            </w: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0.006</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0.750</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0.056</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0.002</w:t>
            </w: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0.069</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0.000</w:t>
            </w:r>
          </w:p>
        </w:tc>
      </w:tr>
      <w:tr w:rsidR="00A043E7" w:rsidRPr="00314D2A" w:rsidTr="00DD3E15">
        <w:trPr>
          <w:trHeight w:val="12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718"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718"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00"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Number of observations</w:t>
            </w:r>
          </w:p>
        </w:tc>
        <w:tc>
          <w:tcPr>
            <w:tcW w:w="1067"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3,843</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3</w:t>
            </w:r>
            <w:r w:rsidR="00B02B95">
              <w:rPr>
                <w:rFonts w:ascii="Calibri" w:eastAsia="Times New Roman" w:hAnsi="Calibri"/>
                <w:color w:val="000000"/>
                <w:sz w:val="22"/>
                <w:szCs w:val="22"/>
              </w:rPr>
              <w:t>,</w:t>
            </w:r>
            <w:r w:rsidRPr="00314D2A">
              <w:rPr>
                <w:rFonts w:ascii="Calibri" w:eastAsia="Times New Roman" w:hAnsi="Calibri"/>
                <w:color w:val="000000"/>
                <w:sz w:val="22"/>
                <w:szCs w:val="22"/>
              </w:rPr>
              <w:t>749</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4</w:t>
            </w:r>
            <w:r w:rsidR="00B02B95">
              <w:rPr>
                <w:rFonts w:ascii="Calibri" w:eastAsia="Times New Roman" w:hAnsi="Calibri"/>
                <w:color w:val="000000"/>
                <w:sz w:val="22"/>
                <w:szCs w:val="22"/>
              </w:rPr>
              <w:t>,</w:t>
            </w:r>
            <w:r w:rsidRPr="00314D2A">
              <w:rPr>
                <w:rFonts w:ascii="Calibri" w:eastAsia="Times New Roman" w:hAnsi="Calibri"/>
                <w:color w:val="000000"/>
                <w:sz w:val="22"/>
                <w:szCs w:val="22"/>
              </w:rPr>
              <w:t>309</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R-squared</w:t>
            </w:r>
          </w:p>
        </w:tc>
        <w:tc>
          <w:tcPr>
            <w:tcW w:w="1067"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0.421</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0.461</w:t>
            </w:r>
          </w:p>
        </w:tc>
        <w:tc>
          <w:tcPr>
            <w:tcW w:w="718"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auto" w:fill="auto"/>
            <w:noWrap/>
            <w:vAlign w:val="bottom"/>
            <w:hideMark/>
          </w:tcPr>
          <w:p w:rsidR="00A043E7" w:rsidRPr="00314D2A" w:rsidRDefault="00A043E7" w:rsidP="00DD3E15">
            <w:pPr>
              <w:jc w:val="right"/>
              <w:rPr>
                <w:rFonts w:ascii="Calibri" w:eastAsia="Times New Roman" w:hAnsi="Calibri"/>
                <w:color w:val="000000"/>
                <w:sz w:val="22"/>
                <w:szCs w:val="22"/>
              </w:rPr>
            </w:pPr>
            <w:r w:rsidRPr="00314D2A">
              <w:rPr>
                <w:rFonts w:ascii="Calibri" w:eastAsia="Times New Roman" w:hAnsi="Calibri"/>
                <w:color w:val="000000"/>
                <w:sz w:val="22"/>
                <w:szCs w:val="22"/>
              </w:rPr>
              <w:t>0.429</w:t>
            </w:r>
          </w:p>
        </w:tc>
        <w:tc>
          <w:tcPr>
            <w:tcW w:w="1000"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r>
      <w:tr w:rsidR="00A043E7" w:rsidRPr="00314D2A" w:rsidTr="00DD3E15">
        <w:trPr>
          <w:trHeight w:val="120"/>
        </w:trPr>
        <w:tc>
          <w:tcPr>
            <w:tcW w:w="4155" w:type="dxa"/>
            <w:tcBorders>
              <w:top w:val="nil"/>
              <w:left w:val="nil"/>
              <w:bottom w:val="single" w:sz="8" w:space="0" w:color="auto"/>
              <w:right w:val="nil"/>
            </w:tcBorders>
            <w:shd w:val="clear" w:color="auto" w:fill="auto"/>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w:t>
            </w:r>
          </w:p>
        </w:tc>
        <w:tc>
          <w:tcPr>
            <w:tcW w:w="1067" w:type="dxa"/>
            <w:tcBorders>
              <w:top w:val="nil"/>
              <w:left w:val="nil"/>
              <w:bottom w:val="single" w:sz="8" w:space="0" w:color="auto"/>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w:t>
            </w:r>
          </w:p>
        </w:tc>
        <w:tc>
          <w:tcPr>
            <w:tcW w:w="718" w:type="dxa"/>
            <w:tcBorders>
              <w:top w:val="nil"/>
              <w:left w:val="nil"/>
              <w:bottom w:val="single" w:sz="8" w:space="0" w:color="auto"/>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w:t>
            </w:r>
          </w:p>
        </w:tc>
        <w:tc>
          <w:tcPr>
            <w:tcW w:w="267" w:type="dxa"/>
            <w:tcBorders>
              <w:top w:val="nil"/>
              <w:left w:val="nil"/>
              <w:bottom w:val="single" w:sz="8" w:space="0" w:color="auto"/>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w:t>
            </w:r>
          </w:p>
        </w:tc>
        <w:tc>
          <w:tcPr>
            <w:tcW w:w="1067" w:type="dxa"/>
            <w:tcBorders>
              <w:top w:val="nil"/>
              <w:left w:val="nil"/>
              <w:bottom w:val="single" w:sz="8" w:space="0" w:color="auto"/>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w:t>
            </w:r>
          </w:p>
        </w:tc>
        <w:tc>
          <w:tcPr>
            <w:tcW w:w="718" w:type="dxa"/>
            <w:tcBorders>
              <w:top w:val="nil"/>
              <w:left w:val="nil"/>
              <w:bottom w:val="single" w:sz="8" w:space="0" w:color="auto"/>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w:t>
            </w:r>
          </w:p>
        </w:tc>
        <w:tc>
          <w:tcPr>
            <w:tcW w:w="267" w:type="dxa"/>
            <w:tcBorders>
              <w:top w:val="nil"/>
              <w:left w:val="nil"/>
              <w:bottom w:val="single" w:sz="8" w:space="0" w:color="auto"/>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w:t>
            </w:r>
          </w:p>
        </w:tc>
        <w:tc>
          <w:tcPr>
            <w:tcW w:w="1067" w:type="dxa"/>
            <w:tcBorders>
              <w:top w:val="nil"/>
              <w:left w:val="nil"/>
              <w:bottom w:val="single" w:sz="8" w:space="0" w:color="auto"/>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w:t>
            </w:r>
          </w:p>
        </w:tc>
        <w:tc>
          <w:tcPr>
            <w:tcW w:w="1000" w:type="dxa"/>
            <w:tcBorders>
              <w:top w:val="nil"/>
              <w:left w:val="nil"/>
              <w:bottom w:val="single" w:sz="8" w:space="0" w:color="auto"/>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r w:rsidRPr="00314D2A">
              <w:rPr>
                <w:rFonts w:ascii="Calibri" w:eastAsia="Times New Roman" w:hAnsi="Calibri"/>
                <w:color w:val="000000"/>
                <w:sz w:val="22"/>
                <w:szCs w:val="22"/>
              </w:rPr>
              <w:t> </w:t>
            </w:r>
          </w:p>
        </w:tc>
      </w:tr>
      <w:tr w:rsidR="00A043E7" w:rsidRPr="00314D2A" w:rsidTr="00DD3E15">
        <w:trPr>
          <w:trHeight w:val="300"/>
        </w:trPr>
        <w:tc>
          <w:tcPr>
            <w:tcW w:w="4155"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18"/>
                <w:szCs w:val="18"/>
              </w:rPr>
            </w:pPr>
            <w:r w:rsidRPr="00314D2A">
              <w:rPr>
                <w:rFonts w:ascii="Calibri" w:eastAsia="Times New Roman" w:hAnsi="Calibri"/>
                <w:color w:val="000000"/>
                <w:sz w:val="18"/>
                <w:szCs w:val="18"/>
              </w:rPr>
              <w:t>a/ Reference category.</w:t>
            </w:r>
          </w:p>
        </w:tc>
        <w:tc>
          <w:tcPr>
            <w:tcW w:w="10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718"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718"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2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c>
          <w:tcPr>
            <w:tcW w:w="1000" w:type="dxa"/>
            <w:tcBorders>
              <w:top w:val="nil"/>
              <w:left w:val="nil"/>
              <w:bottom w:val="nil"/>
              <w:right w:val="nil"/>
            </w:tcBorders>
            <w:shd w:val="clear" w:color="auto" w:fill="auto"/>
            <w:noWrap/>
            <w:vAlign w:val="bottom"/>
            <w:hideMark/>
          </w:tcPr>
          <w:p w:rsidR="00A043E7" w:rsidRPr="00314D2A" w:rsidRDefault="00A043E7" w:rsidP="00DD3E15">
            <w:pPr>
              <w:rPr>
                <w:rFonts w:ascii="Calibri" w:eastAsia="Times New Roman" w:hAnsi="Calibri"/>
                <w:color w:val="000000"/>
                <w:sz w:val="22"/>
                <w:szCs w:val="22"/>
              </w:rPr>
            </w:pPr>
          </w:p>
        </w:tc>
      </w:tr>
    </w:tbl>
    <w:p w:rsidR="00A043E7" w:rsidRDefault="00A043E7" w:rsidP="00A043E7">
      <w:pPr>
        <w:ind w:left="-360"/>
      </w:pPr>
    </w:p>
    <w:p w:rsidR="00A043E7" w:rsidRDefault="00A043E7">
      <w:pPr>
        <w:rPr>
          <w:rFonts w:asciiTheme="minorHAnsi" w:hAnsiTheme="minorHAnsi"/>
        </w:rPr>
      </w:pPr>
      <w:r>
        <w:rPr>
          <w:rFonts w:asciiTheme="minorHAnsi" w:hAnsiTheme="minorHAnsi"/>
        </w:rPr>
        <w:br w:type="page"/>
      </w:r>
    </w:p>
    <w:p w:rsidR="00887028" w:rsidRPr="00B30983" w:rsidRDefault="00887028" w:rsidP="00887028">
      <w:pPr>
        <w:rPr>
          <w:rFonts w:asciiTheme="minorHAnsi" w:hAnsiTheme="minorHAnsi"/>
        </w:rPr>
      </w:pPr>
      <w:r w:rsidRPr="00B30983">
        <w:rPr>
          <w:rFonts w:asciiTheme="minorHAnsi" w:hAnsiTheme="minorHAnsi"/>
        </w:rPr>
        <w:lastRenderedPageBreak/>
        <w:t>One asset, “radio/recorder”, was excluded for the following reason</w:t>
      </w:r>
      <w:r w:rsidR="005E68D1">
        <w:rPr>
          <w:rFonts w:asciiTheme="minorHAnsi" w:hAnsiTheme="minorHAnsi"/>
        </w:rPr>
        <w:t>s</w:t>
      </w:r>
      <w:r w:rsidRPr="00B30983">
        <w:rPr>
          <w:rFonts w:asciiTheme="minorHAnsi" w:hAnsiTheme="minorHAnsi"/>
        </w:rPr>
        <w:t xml:space="preserve">.   </w:t>
      </w:r>
      <w:r w:rsidR="005E68D1">
        <w:rPr>
          <w:rFonts w:asciiTheme="minorHAnsi" w:hAnsiTheme="minorHAnsi"/>
        </w:rPr>
        <w:t>First,</w:t>
      </w:r>
      <w:r w:rsidRPr="00B30983">
        <w:rPr>
          <w:rFonts w:asciiTheme="minorHAnsi" w:hAnsiTheme="minorHAnsi"/>
        </w:rPr>
        <w:t xml:space="preserve"> its ownership </w:t>
      </w:r>
      <w:r w:rsidR="005E68D1">
        <w:rPr>
          <w:rFonts w:asciiTheme="minorHAnsi" w:hAnsiTheme="minorHAnsi"/>
        </w:rPr>
        <w:t xml:space="preserve">has </w:t>
      </w:r>
      <w:r w:rsidRPr="00B30983">
        <w:rPr>
          <w:rFonts w:asciiTheme="minorHAnsi" w:hAnsiTheme="minorHAnsi"/>
        </w:rPr>
        <w:t>dropped considerably and continually over the three-year period</w:t>
      </w:r>
      <w:r w:rsidR="005E68D1">
        <w:rPr>
          <w:rFonts w:asciiTheme="minorHAnsi" w:hAnsiTheme="minorHAnsi"/>
        </w:rPr>
        <w:t xml:space="preserve">, </w:t>
      </w:r>
      <w:r w:rsidRPr="00B30983">
        <w:rPr>
          <w:rFonts w:asciiTheme="minorHAnsi" w:hAnsiTheme="minorHAnsi"/>
        </w:rPr>
        <w:t>likely due to changes in consumption norms rather than incomes (see Johnston and Abreu 2013</w:t>
      </w:r>
      <w:r w:rsidR="0019043C">
        <w:rPr>
          <w:rFonts w:asciiTheme="minorHAnsi" w:hAnsiTheme="minorHAnsi"/>
        </w:rPr>
        <w:t xml:space="preserve"> on this issue</w:t>
      </w:r>
      <w:r w:rsidRPr="00B30983">
        <w:rPr>
          <w:rFonts w:asciiTheme="minorHAnsi" w:hAnsiTheme="minorHAnsi"/>
        </w:rPr>
        <w:t>)</w:t>
      </w:r>
      <w:r w:rsidR="005E68D1">
        <w:rPr>
          <w:rFonts w:asciiTheme="minorHAnsi" w:hAnsiTheme="minorHAnsi"/>
        </w:rPr>
        <w:t xml:space="preserve">. Second, </w:t>
      </w:r>
      <w:r w:rsidRPr="00B30983">
        <w:rPr>
          <w:rFonts w:asciiTheme="minorHAnsi" w:hAnsiTheme="minorHAnsi"/>
        </w:rPr>
        <w:t>its relationship to total expenditures has weakened over time as well.   It is thus not a good candidate for helping to track trends in poverty over time.</w:t>
      </w:r>
    </w:p>
    <w:p w:rsidR="00887028" w:rsidRPr="00B30983" w:rsidRDefault="00887028" w:rsidP="00887028">
      <w:pPr>
        <w:rPr>
          <w:rFonts w:asciiTheme="minorHAnsi" w:hAnsiTheme="minorHAnsi"/>
        </w:rPr>
      </w:pPr>
    </w:p>
    <w:p w:rsidR="00A043E7" w:rsidRDefault="004D03BC" w:rsidP="00887028">
      <w:pPr>
        <w:rPr>
          <w:rFonts w:asciiTheme="minorHAnsi" w:hAnsiTheme="minorHAnsi"/>
        </w:rPr>
      </w:pPr>
      <w:r>
        <w:rPr>
          <w:rFonts w:asciiTheme="minorHAnsi" w:hAnsiTheme="minorHAnsi"/>
        </w:rPr>
        <w:t>T</w:t>
      </w:r>
      <w:r w:rsidR="00B473D6" w:rsidRPr="00B30983">
        <w:rPr>
          <w:rFonts w:asciiTheme="minorHAnsi" w:hAnsiTheme="minorHAnsi"/>
        </w:rPr>
        <w:t xml:space="preserve">able </w:t>
      </w:r>
      <w:r>
        <w:rPr>
          <w:rFonts w:asciiTheme="minorHAnsi" w:hAnsiTheme="minorHAnsi"/>
        </w:rPr>
        <w:t>2</w:t>
      </w:r>
      <w:r w:rsidR="00B473D6" w:rsidRPr="00B30983">
        <w:rPr>
          <w:rFonts w:asciiTheme="minorHAnsi" w:hAnsiTheme="minorHAnsi"/>
        </w:rPr>
        <w:t xml:space="preserve">.3 reports on the </w:t>
      </w:r>
      <w:r>
        <w:rPr>
          <w:rFonts w:asciiTheme="minorHAnsi" w:hAnsiTheme="minorHAnsi"/>
        </w:rPr>
        <w:t xml:space="preserve">Round 4 </w:t>
      </w:r>
      <w:r w:rsidR="00B473D6" w:rsidRPr="00B30983">
        <w:rPr>
          <w:rFonts w:asciiTheme="minorHAnsi" w:hAnsiTheme="minorHAnsi"/>
        </w:rPr>
        <w:t>regressions</w:t>
      </w:r>
      <w:r>
        <w:rPr>
          <w:rFonts w:asciiTheme="minorHAnsi" w:hAnsiTheme="minorHAnsi"/>
        </w:rPr>
        <w:t xml:space="preserve">, that is, those containing  </w:t>
      </w:r>
      <w:r w:rsidR="00B473D6" w:rsidRPr="00B30983">
        <w:rPr>
          <w:rFonts w:asciiTheme="minorHAnsi" w:hAnsiTheme="minorHAnsi"/>
        </w:rPr>
        <w:t>on</w:t>
      </w:r>
      <w:r w:rsidR="00CB10CC" w:rsidRPr="00B30983">
        <w:rPr>
          <w:rFonts w:asciiTheme="minorHAnsi" w:hAnsiTheme="minorHAnsi"/>
        </w:rPr>
        <w:t>ly</w:t>
      </w:r>
      <w:r w:rsidR="00B473D6" w:rsidRPr="00B30983">
        <w:rPr>
          <w:rFonts w:asciiTheme="minorHAnsi" w:hAnsiTheme="minorHAnsi"/>
        </w:rPr>
        <w:t xml:space="preserve"> the assets and other expenditure correlates determined to have a reasonably stable relationship with total expenditures.</w:t>
      </w:r>
      <w:r w:rsidR="00CB10CC" w:rsidRPr="00B30983">
        <w:rPr>
          <w:rFonts w:asciiTheme="minorHAnsi" w:hAnsiTheme="minorHAnsi"/>
        </w:rPr>
        <w:t xml:space="preserve">  </w:t>
      </w:r>
      <w:r w:rsidR="00FC50E4" w:rsidRPr="00B30983">
        <w:rPr>
          <w:rFonts w:asciiTheme="minorHAnsi" w:hAnsiTheme="minorHAnsi"/>
        </w:rPr>
        <w:t xml:space="preserve"> All coefficients are statistically significant at the </w:t>
      </w:r>
      <w:r w:rsidR="005E68D1">
        <w:rPr>
          <w:rFonts w:asciiTheme="minorHAnsi" w:hAnsiTheme="minorHAnsi"/>
        </w:rPr>
        <w:t>one</w:t>
      </w:r>
      <w:r w:rsidR="00FC50E4" w:rsidRPr="00B30983">
        <w:rPr>
          <w:rFonts w:asciiTheme="minorHAnsi" w:hAnsiTheme="minorHAnsi"/>
        </w:rPr>
        <w:t xml:space="preserve"> percent level</w:t>
      </w:r>
      <w:r w:rsidR="005E68D1">
        <w:rPr>
          <w:rFonts w:asciiTheme="minorHAnsi" w:hAnsiTheme="minorHAnsi"/>
        </w:rPr>
        <w:t xml:space="preserve"> and have the same sign </w:t>
      </w:r>
      <w:r w:rsidR="0019043C">
        <w:rPr>
          <w:rFonts w:asciiTheme="minorHAnsi" w:hAnsiTheme="minorHAnsi"/>
        </w:rPr>
        <w:t xml:space="preserve">across the three years </w:t>
      </w:r>
      <w:r w:rsidR="005E68D1">
        <w:rPr>
          <w:rFonts w:asciiTheme="minorHAnsi" w:hAnsiTheme="minorHAnsi"/>
        </w:rPr>
        <w:t>(positive or negative)</w:t>
      </w:r>
      <w:r w:rsidR="00FC50E4" w:rsidRPr="00B30983">
        <w:rPr>
          <w:rFonts w:asciiTheme="minorHAnsi" w:hAnsiTheme="minorHAnsi"/>
        </w:rPr>
        <w:t xml:space="preserve">.  The average percent difference </w:t>
      </w:r>
      <w:r>
        <w:rPr>
          <w:rFonts w:asciiTheme="minorHAnsi" w:hAnsiTheme="minorHAnsi"/>
        </w:rPr>
        <w:t xml:space="preserve">in a variable’s coefficient </w:t>
      </w:r>
      <w:r w:rsidR="00FC50E4" w:rsidRPr="00B30983">
        <w:rPr>
          <w:rFonts w:asciiTheme="minorHAnsi" w:hAnsiTheme="minorHAnsi"/>
        </w:rPr>
        <w:t xml:space="preserve">between years is 20.8 </w:t>
      </w:r>
      <w:r w:rsidR="005E68D1">
        <w:rPr>
          <w:rFonts w:asciiTheme="minorHAnsi" w:hAnsiTheme="minorHAnsi"/>
        </w:rPr>
        <w:t>between</w:t>
      </w:r>
      <w:r w:rsidR="00FC50E4" w:rsidRPr="00B30983">
        <w:rPr>
          <w:rFonts w:asciiTheme="minorHAnsi" w:hAnsiTheme="minorHAnsi"/>
        </w:rPr>
        <w:t xml:space="preserve"> 2009 and 2010, 28.5 </w:t>
      </w:r>
      <w:r w:rsidR="005E68D1">
        <w:rPr>
          <w:rFonts w:asciiTheme="minorHAnsi" w:hAnsiTheme="minorHAnsi"/>
        </w:rPr>
        <w:t>between</w:t>
      </w:r>
      <w:r w:rsidR="00FC50E4" w:rsidRPr="00B30983">
        <w:rPr>
          <w:rFonts w:asciiTheme="minorHAnsi" w:hAnsiTheme="minorHAnsi"/>
        </w:rPr>
        <w:t xml:space="preserve"> 2010 and 2011 and 16.6 between 2009 and 2010.</w:t>
      </w:r>
      <w:r w:rsidR="00FC50E4" w:rsidRPr="00B30983">
        <w:rPr>
          <w:rStyle w:val="FootnoteReference"/>
          <w:rFonts w:asciiTheme="minorHAnsi" w:hAnsiTheme="minorHAnsi"/>
        </w:rPr>
        <w:footnoteReference w:id="3"/>
      </w:r>
      <w:r w:rsidR="00FC50E4" w:rsidRPr="00B30983">
        <w:rPr>
          <w:rFonts w:asciiTheme="minorHAnsi" w:hAnsiTheme="minorHAnsi"/>
        </w:rPr>
        <w:t xml:space="preserve">    We have thus been able to identify a set of assets, along with three other expenditure correlates, that have a reasonably stable relationship with total expenditures.</w:t>
      </w:r>
    </w:p>
    <w:p w:rsidR="00A043E7" w:rsidRDefault="00A043E7">
      <w:pPr>
        <w:rPr>
          <w:rFonts w:asciiTheme="minorHAnsi" w:hAnsiTheme="minorHAnsi"/>
        </w:rPr>
      </w:pPr>
    </w:p>
    <w:p w:rsidR="00A043E7" w:rsidRDefault="00A043E7">
      <w:pPr>
        <w:rPr>
          <w:rFonts w:asciiTheme="minorHAnsi" w:hAnsiTheme="minorHAnsi"/>
        </w:rPr>
      </w:pPr>
    </w:p>
    <w:tbl>
      <w:tblPr>
        <w:tblW w:w="10146" w:type="dxa"/>
        <w:tblInd w:w="93" w:type="dxa"/>
        <w:tblLook w:val="04A0" w:firstRow="1" w:lastRow="0" w:firstColumn="1" w:lastColumn="0" w:noHBand="0" w:noVBand="1"/>
      </w:tblPr>
      <w:tblGrid>
        <w:gridCol w:w="3975"/>
        <w:gridCol w:w="1067"/>
        <w:gridCol w:w="718"/>
        <w:gridCol w:w="267"/>
        <w:gridCol w:w="1067"/>
        <w:gridCol w:w="718"/>
        <w:gridCol w:w="267"/>
        <w:gridCol w:w="1067"/>
        <w:gridCol w:w="1000"/>
      </w:tblGrid>
      <w:tr w:rsidR="00A043E7" w:rsidRPr="004C68FC" w:rsidTr="00DD3E15">
        <w:trPr>
          <w:trHeight w:val="300"/>
        </w:trPr>
        <w:tc>
          <w:tcPr>
            <w:tcW w:w="9146" w:type="dxa"/>
            <w:gridSpan w:val="8"/>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b/>
                <w:bCs/>
                <w:color w:val="000000"/>
                <w:sz w:val="22"/>
                <w:szCs w:val="22"/>
              </w:rPr>
            </w:pPr>
            <w:r w:rsidRPr="004C68FC">
              <w:rPr>
                <w:rFonts w:ascii="Calibri" w:eastAsia="Times New Roman" w:hAnsi="Calibri"/>
                <w:b/>
                <w:bCs/>
                <w:color w:val="000000"/>
                <w:sz w:val="22"/>
                <w:szCs w:val="22"/>
              </w:rPr>
              <w:t xml:space="preserve">Table </w:t>
            </w:r>
            <w:r>
              <w:rPr>
                <w:rFonts w:ascii="Calibri" w:eastAsia="Times New Roman" w:hAnsi="Calibri"/>
                <w:b/>
                <w:bCs/>
                <w:color w:val="000000"/>
                <w:sz w:val="22"/>
                <w:szCs w:val="22"/>
              </w:rPr>
              <w:t>2</w:t>
            </w:r>
            <w:r w:rsidRPr="004C68FC">
              <w:rPr>
                <w:rFonts w:ascii="Calibri" w:eastAsia="Times New Roman" w:hAnsi="Calibri"/>
                <w:b/>
                <w:bCs/>
                <w:color w:val="000000"/>
                <w:sz w:val="22"/>
                <w:szCs w:val="22"/>
              </w:rPr>
              <w:t>.3   Regression of total expenditures per adult equivalent on asset ownership and</w:t>
            </w:r>
          </w:p>
        </w:tc>
        <w:tc>
          <w:tcPr>
            <w:tcW w:w="1000"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r>
      <w:tr w:rsidR="00A043E7" w:rsidRPr="004C68FC" w:rsidTr="00DD3E15">
        <w:trPr>
          <w:trHeight w:val="315"/>
        </w:trPr>
        <w:tc>
          <w:tcPr>
            <w:tcW w:w="10146" w:type="dxa"/>
            <w:gridSpan w:val="9"/>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b/>
                <w:bCs/>
                <w:color w:val="000000"/>
                <w:sz w:val="22"/>
                <w:szCs w:val="22"/>
              </w:rPr>
            </w:pPr>
            <w:r w:rsidRPr="004C68FC">
              <w:rPr>
                <w:rFonts w:ascii="Calibri" w:eastAsia="Times New Roman" w:hAnsi="Calibri"/>
                <w:b/>
                <w:bCs/>
                <w:color w:val="000000"/>
                <w:sz w:val="22"/>
                <w:szCs w:val="22"/>
              </w:rPr>
              <w:t xml:space="preserve">other expenditure correlates, 2009, 2010 and 2011 (PECS data): </w:t>
            </w:r>
            <w:r w:rsidRPr="004C68FC">
              <w:rPr>
                <w:rFonts w:ascii="Calibri" w:eastAsia="Times New Roman" w:hAnsi="Calibri"/>
                <w:b/>
                <w:bCs/>
                <w:color w:val="FF0000"/>
                <w:sz w:val="22"/>
                <w:szCs w:val="22"/>
              </w:rPr>
              <w:t xml:space="preserve"> Stable expenditure correlates only</w:t>
            </w:r>
          </w:p>
        </w:tc>
      </w:tr>
      <w:tr w:rsidR="00A043E7" w:rsidRPr="004C68FC" w:rsidTr="00DD3E15">
        <w:trPr>
          <w:trHeight w:val="300"/>
        </w:trPr>
        <w:tc>
          <w:tcPr>
            <w:tcW w:w="3975" w:type="dxa"/>
            <w:tcBorders>
              <w:top w:val="single" w:sz="8" w:space="0" w:color="auto"/>
              <w:left w:val="nil"/>
              <w:bottom w:val="nil"/>
              <w:right w:val="nil"/>
            </w:tcBorders>
            <w:shd w:val="clear" w:color="000000" w:fill="C4BD97"/>
            <w:noWrap/>
            <w:vAlign w:val="bottom"/>
            <w:hideMark/>
          </w:tcPr>
          <w:p w:rsidR="00A043E7" w:rsidRPr="004C68FC" w:rsidRDefault="00A043E7" w:rsidP="00DD3E15">
            <w:pPr>
              <w:rPr>
                <w:rFonts w:ascii="Calibri" w:eastAsia="Times New Roman" w:hAnsi="Calibri"/>
                <w:color w:val="000000"/>
                <w:sz w:val="22"/>
                <w:szCs w:val="22"/>
              </w:rPr>
            </w:pPr>
            <w:r w:rsidRPr="004C68FC">
              <w:rPr>
                <w:rFonts w:ascii="Calibri" w:eastAsia="Times New Roman" w:hAnsi="Calibri"/>
                <w:color w:val="000000"/>
                <w:sz w:val="22"/>
                <w:szCs w:val="22"/>
              </w:rPr>
              <w:t> </w:t>
            </w:r>
          </w:p>
        </w:tc>
        <w:tc>
          <w:tcPr>
            <w:tcW w:w="1785" w:type="dxa"/>
            <w:gridSpan w:val="2"/>
            <w:tcBorders>
              <w:top w:val="single" w:sz="8" w:space="0" w:color="auto"/>
              <w:left w:val="nil"/>
              <w:bottom w:val="single" w:sz="4" w:space="0" w:color="auto"/>
              <w:right w:val="nil"/>
            </w:tcBorders>
            <w:shd w:val="clear" w:color="000000" w:fill="C4BD97"/>
            <w:noWrap/>
            <w:vAlign w:val="bottom"/>
            <w:hideMark/>
          </w:tcPr>
          <w:p w:rsidR="00A043E7" w:rsidRPr="004C68FC" w:rsidRDefault="00A043E7" w:rsidP="00DD3E15">
            <w:pPr>
              <w:jc w:val="center"/>
              <w:rPr>
                <w:rFonts w:ascii="Arial" w:eastAsia="Times New Roman" w:hAnsi="Arial" w:cs="Arial"/>
                <w:b/>
                <w:bCs/>
                <w:sz w:val="20"/>
                <w:szCs w:val="20"/>
              </w:rPr>
            </w:pPr>
            <w:r w:rsidRPr="004C68FC">
              <w:rPr>
                <w:rFonts w:ascii="Arial" w:eastAsia="Times New Roman" w:hAnsi="Arial" w:cs="Arial"/>
                <w:b/>
                <w:bCs/>
                <w:sz w:val="20"/>
                <w:szCs w:val="20"/>
              </w:rPr>
              <w:t>2009</w:t>
            </w:r>
          </w:p>
        </w:tc>
        <w:tc>
          <w:tcPr>
            <w:tcW w:w="267" w:type="dxa"/>
            <w:tcBorders>
              <w:top w:val="single" w:sz="8" w:space="0" w:color="auto"/>
              <w:left w:val="nil"/>
              <w:bottom w:val="single" w:sz="4" w:space="0" w:color="auto"/>
              <w:right w:val="nil"/>
            </w:tcBorders>
            <w:shd w:val="clear" w:color="000000" w:fill="C4BD97"/>
            <w:noWrap/>
            <w:vAlign w:val="bottom"/>
            <w:hideMark/>
          </w:tcPr>
          <w:p w:rsidR="00A043E7" w:rsidRPr="004C68FC" w:rsidRDefault="00A043E7" w:rsidP="00DD3E15">
            <w:pPr>
              <w:jc w:val="center"/>
              <w:rPr>
                <w:rFonts w:ascii="Calibri" w:eastAsia="Times New Roman" w:hAnsi="Calibri"/>
                <w:color w:val="000000"/>
                <w:sz w:val="22"/>
                <w:szCs w:val="22"/>
              </w:rPr>
            </w:pPr>
            <w:r w:rsidRPr="004C68FC">
              <w:rPr>
                <w:rFonts w:ascii="Calibri" w:eastAsia="Times New Roman" w:hAnsi="Calibri"/>
                <w:color w:val="000000"/>
                <w:sz w:val="22"/>
                <w:szCs w:val="22"/>
              </w:rPr>
              <w:t> </w:t>
            </w:r>
          </w:p>
        </w:tc>
        <w:tc>
          <w:tcPr>
            <w:tcW w:w="1785" w:type="dxa"/>
            <w:gridSpan w:val="2"/>
            <w:tcBorders>
              <w:top w:val="single" w:sz="8" w:space="0" w:color="auto"/>
              <w:left w:val="nil"/>
              <w:bottom w:val="single" w:sz="4" w:space="0" w:color="auto"/>
              <w:right w:val="nil"/>
            </w:tcBorders>
            <w:shd w:val="clear" w:color="000000" w:fill="C4BD97"/>
            <w:noWrap/>
            <w:vAlign w:val="bottom"/>
            <w:hideMark/>
          </w:tcPr>
          <w:p w:rsidR="00A043E7" w:rsidRPr="004C68FC" w:rsidRDefault="00A043E7" w:rsidP="00DD3E15">
            <w:pPr>
              <w:jc w:val="center"/>
              <w:rPr>
                <w:rFonts w:ascii="Arial" w:eastAsia="Times New Roman" w:hAnsi="Arial" w:cs="Arial"/>
                <w:b/>
                <w:bCs/>
                <w:sz w:val="20"/>
                <w:szCs w:val="20"/>
              </w:rPr>
            </w:pPr>
            <w:r w:rsidRPr="004C68FC">
              <w:rPr>
                <w:rFonts w:ascii="Arial" w:eastAsia="Times New Roman" w:hAnsi="Arial" w:cs="Arial"/>
                <w:b/>
                <w:bCs/>
                <w:sz w:val="20"/>
                <w:szCs w:val="20"/>
              </w:rPr>
              <w:t>2010</w:t>
            </w:r>
          </w:p>
        </w:tc>
        <w:tc>
          <w:tcPr>
            <w:tcW w:w="267" w:type="dxa"/>
            <w:tcBorders>
              <w:top w:val="single" w:sz="8" w:space="0" w:color="auto"/>
              <w:left w:val="nil"/>
              <w:bottom w:val="single" w:sz="4" w:space="0" w:color="auto"/>
              <w:right w:val="nil"/>
            </w:tcBorders>
            <w:shd w:val="clear" w:color="000000" w:fill="C4BD97"/>
            <w:noWrap/>
            <w:vAlign w:val="bottom"/>
            <w:hideMark/>
          </w:tcPr>
          <w:p w:rsidR="00A043E7" w:rsidRPr="004C68FC" w:rsidRDefault="00A043E7" w:rsidP="00DD3E15">
            <w:pPr>
              <w:jc w:val="center"/>
              <w:rPr>
                <w:rFonts w:ascii="Calibri" w:eastAsia="Times New Roman" w:hAnsi="Calibri"/>
                <w:color w:val="000000"/>
                <w:sz w:val="22"/>
                <w:szCs w:val="22"/>
              </w:rPr>
            </w:pPr>
            <w:r w:rsidRPr="004C68FC">
              <w:rPr>
                <w:rFonts w:ascii="Calibri" w:eastAsia="Times New Roman" w:hAnsi="Calibri"/>
                <w:color w:val="000000"/>
                <w:sz w:val="22"/>
                <w:szCs w:val="22"/>
              </w:rPr>
              <w:t> </w:t>
            </w:r>
          </w:p>
        </w:tc>
        <w:tc>
          <w:tcPr>
            <w:tcW w:w="2067" w:type="dxa"/>
            <w:gridSpan w:val="2"/>
            <w:tcBorders>
              <w:top w:val="single" w:sz="8" w:space="0" w:color="auto"/>
              <w:left w:val="nil"/>
              <w:bottom w:val="single" w:sz="4" w:space="0" w:color="auto"/>
              <w:right w:val="nil"/>
            </w:tcBorders>
            <w:shd w:val="clear" w:color="000000" w:fill="C4BD97"/>
            <w:vAlign w:val="center"/>
            <w:hideMark/>
          </w:tcPr>
          <w:p w:rsidR="00A043E7" w:rsidRPr="004C68FC" w:rsidRDefault="00A043E7" w:rsidP="00DD3E15">
            <w:pPr>
              <w:jc w:val="center"/>
              <w:rPr>
                <w:rFonts w:ascii="Arial" w:eastAsia="Times New Roman" w:hAnsi="Arial" w:cs="Arial"/>
                <w:b/>
                <w:bCs/>
                <w:sz w:val="20"/>
                <w:szCs w:val="20"/>
              </w:rPr>
            </w:pPr>
            <w:r w:rsidRPr="004C68FC">
              <w:rPr>
                <w:rFonts w:ascii="Arial" w:eastAsia="Times New Roman" w:hAnsi="Arial" w:cs="Arial"/>
                <w:b/>
                <w:bCs/>
                <w:sz w:val="20"/>
                <w:szCs w:val="20"/>
              </w:rPr>
              <w:t>2011</w:t>
            </w:r>
          </w:p>
        </w:tc>
      </w:tr>
      <w:tr w:rsidR="00A043E7" w:rsidRPr="004C68FC" w:rsidTr="00DD3E15">
        <w:trPr>
          <w:trHeight w:val="300"/>
        </w:trPr>
        <w:tc>
          <w:tcPr>
            <w:tcW w:w="3975" w:type="dxa"/>
            <w:tcBorders>
              <w:top w:val="nil"/>
              <w:left w:val="nil"/>
              <w:bottom w:val="single" w:sz="4" w:space="0" w:color="auto"/>
              <w:right w:val="nil"/>
            </w:tcBorders>
            <w:shd w:val="clear" w:color="000000" w:fill="C4BD97"/>
            <w:noWrap/>
            <w:vAlign w:val="bottom"/>
            <w:hideMark/>
          </w:tcPr>
          <w:p w:rsidR="00A043E7" w:rsidRPr="004C68FC" w:rsidRDefault="00A043E7" w:rsidP="00DD3E15">
            <w:pPr>
              <w:rPr>
                <w:rFonts w:ascii="Calibri" w:eastAsia="Times New Roman" w:hAnsi="Calibri"/>
                <w:color w:val="000000"/>
                <w:sz w:val="22"/>
                <w:szCs w:val="22"/>
              </w:rPr>
            </w:pPr>
            <w:r w:rsidRPr="004C68FC">
              <w:rPr>
                <w:rFonts w:ascii="Calibri" w:eastAsia="Times New Roman" w:hAnsi="Calibri"/>
                <w:color w:val="000000"/>
                <w:sz w:val="22"/>
                <w:szCs w:val="22"/>
              </w:rPr>
              <w:t> </w:t>
            </w:r>
          </w:p>
        </w:tc>
        <w:tc>
          <w:tcPr>
            <w:tcW w:w="1067" w:type="dxa"/>
            <w:tcBorders>
              <w:top w:val="nil"/>
              <w:left w:val="nil"/>
              <w:bottom w:val="single" w:sz="4" w:space="0" w:color="auto"/>
              <w:right w:val="nil"/>
            </w:tcBorders>
            <w:shd w:val="clear" w:color="000000" w:fill="C4BD97"/>
            <w:noWrap/>
            <w:vAlign w:val="bottom"/>
            <w:hideMark/>
          </w:tcPr>
          <w:p w:rsidR="00A043E7" w:rsidRPr="004C68FC" w:rsidRDefault="00A043E7" w:rsidP="00DD3E15">
            <w:pPr>
              <w:jc w:val="center"/>
              <w:rPr>
                <w:rFonts w:ascii="Arial" w:eastAsia="Times New Roman" w:hAnsi="Arial" w:cs="Arial"/>
                <w:sz w:val="18"/>
                <w:szCs w:val="18"/>
              </w:rPr>
            </w:pPr>
            <w:r w:rsidRPr="004C68FC">
              <w:rPr>
                <w:rFonts w:ascii="Arial" w:eastAsia="Times New Roman" w:hAnsi="Arial" w:cs="Arial"/>
                <w:sz w:val="18"/>
                <w:szCs w:val="18"/>
              </w:rPr>
              <w:t>Coefficient</w:t>
            </w:r>
          </w:p>
        </w:tc>
        <w:tc>
          <w:tcPr>
            <w:tcW w:w="718" w:type="dxa"/>
            <w:tcBorders>
              <w:top w:val="nil"/>
              <w:left w:val="nil"/>
              <w:bottom w:val="single" w:sz="4" w:space="0" w:color="auto"/>
              <w:right w:val="nil"/>
            </w:tcBorders>
            <w:shd w:val="clear" w:color="000000" w:fill="C4BD97"/>
            <w:noWrap/>
            <w:vAlign w:val="bottom"/>
            <w:hideMark/>
          </w:tcPr>
          <w:p w:rsidR="00A043E7" w:rsidRPr="004C68FC" w:rsidRDefault="00A043E7" w:rsidP="00DD3E15">
            <w:pPr>
              <w:jc w:val="center"/>
              <w:rPr>
                <w:rFonts w:ascii="Arial" w:eastAsia="Times New Roman" w:hAnsi="Arial" w:cs="Arial"/>
                <w:sz w:val="18"/>
                <w:szCs w:val="18"/>
              </w:rPr>
            </w:pPr>
            <w:r w:rsidRPr="004C68FC">
              <w:rPr>
                <w:rFonts w:ascii="Arial" w:eastAsia="Times New Roman" w:hAnsi="Arial" w:cs="Arial"/>
                <w:sz w:val="18"/>
                <w:szCs w:val="18"/>
              </w:rPr>
              <w:t>p-value</w:t>
            </w:r>
          </w:p>
        </w:tc>
        <w:tc>
          <w:tcPr>
            <w:tcW w:w="267" w:type="dxa"/>
            <w:tcBorders>
              <w:top w:val="nil"/>
              <w:left w:val="nil"/>
              <w:bottom w:val="single" w:sz="4" w:space="0" w:color="auto"/>
              <w:right w:val="nil"/>
            </w:tcBorders>
            <w:shd w:val="clear" w:color="000000" w:fill="C4BD97"/>
            <w:noWrap/>
            <w:vAlign w:val="bottom"/>
            <w:hideMark/>
          </w:tcPr>
          <w:p w:rsidR="00A043E7" w:rsidRPr="004C68FC" w:rsidRDefault="00A043E7" w:rsidP="00DD3E15">
            <w:pPr>
              <w:jc w:val="center"/>
              <w:rPr>
                <w:rFonts w:ascii="Arial" w:eastAsia="Times New Roman" w:hAnsi="Arial" w:cs="Arial"/>
                <w:sz w:val="18"/>
                <w:szCs w:val="18"/>
              </w:rPr>
            </w:pPr>
            <w:r w:rsidRPr="004C68FC">
              <w:rPr>
                <w:rFonts w:ascii="Arial" w:eastAsia="Times New Roman" w:hAnsi="Arial" w:cs="Arial"/>
                <w:sz w:val="18"/>
                <w:szCs w:val="18"/>
              </w:rPr>
              <w:t> </w:t>
            </w:r>
          </w:p>
        </w:tc>
        <w:tc>
          <w:tcPr>
            <w:tcW w:w="1067" w:type="dxa"/>
            <w:tcBorders>
              <w:top w:val="nil"/>
              <w:left w:val="nil"/>
              <w:bottom w:val="single" w:sz="4" w:space="0" w:color="auto"/>
              <w:right w:val="nil"/>
            </w:tcBorders>
            <w:shd w:val="clear" w:color="000000" w:fill="C4BD97"/>
            <w:noWrap/>
            <w:vAlign w:val="bottom"/>
            <w:hideMark/>
          </w:tcPr>
          <w:p w:rsidR="00A043E7" w:rsidRPr="004C68FC" w:rsidRDefault="00A043E7" w:rsidP="00DD3E15">
            <w:pPr>
              <w:jc w:val="center"/>
              <w:rPr>
                <w:rFonts w:ascii="Arial" w:eastAsia="Times New Roman" w:hAnsi="Arial" w:cs="Arial"/>
                <w:sz w:val="18"/>
                <w:szCs w:val="18"/>
              </w:rPr>
            </w:pPr>
            <w:r w:rsidRPr="004C68FC">
              <w:rPr>
                <w:rFonts w:ascii="Arial" w:eastAsia="Times New Roman" w:hAnsi="Arial" w:cs="Arial"/>
                <w:sz w:val="18"/>
                <w:szCs w:val="18"/>
              </w:rPr>
              <w:t>Coefficient</w:t>
            </w:r>
          </w:p>
        </w:tc>
        <w:tc>
          <w:tcPr>
            <w:tcW w:w="718" w:type="dxa"/>
            <w:tcBorders>
              <w:top w:val="nil"/>
              <w:left w:val="nil"/>
              <w:bottom w:val="single" w:sz="4" w:space="0" w:color="auto"/>
              <w:right w:val="nil"/>
            </w:tcBorders>
            <w:shd w:val="clear" w:color="000000" w:fill="C4BD97"/>
            <w:noWrap/>
            <w:vAlign w:val="bottom"/>
            <w:hideMark/>
          </w:tcPr>
          <w:p w:rsidR="00A043E7" w:rsidRPr="004C68FC" w:rsidRDefault="00A043E7" w:rsidP="00DD3E15">
            <w:pPr>
              <w:jc w:val="center"/>
              <w:rPr>
                <w:rFonts w:ascii="Arial" w:eastAsia="Times New Roman" w:hAnsi="Arial" w:cs="Arial"/>
                <w:sz w:val="18"/>
                <w:szCs w:val="18"/>
              </w:rPr>
            </w:pPr>
            <w:r w:rsidRPr="004C68FC">
              <w:rPr>
                <w:rFonts w:ascii="Arial" w:eastAsia="Times New Roman" w:hAnsi="Arial" w:cs="Arial"/>
                <w:sz w:val="18"/>
                <w:szCs w:val="18"/>
              </w:rPr>
              <w:t>p-value</w:t>
            </w:r>
          </w:p>
        </w:tc>
        <w:tc>
          <w:tcPr>
            <w:tcW w:w="267" w:type="dxa"/>
            <w:tcBorders>
              <w:top w:val="nil"/>
              <w:left w:val="nil"/>
              <w:bottom w:val="single" w:sz="4" w:space="0" w:color="auto"/>
              <w:right w:val="nil"/>
            </w:tcBorders>
            <w:shd w:val="clear" w:color="000000" w:fill="C4BD97"/>
            <w:noWrap/>
            <w:vAlign w:val="bottom"/>
            <w:hideMark/>
          </w:tcPr>
          <w:p w:rsidR="00A043E7" w:rsidRPr="004C68FC" w:rsidRDefault="00A043E7" w:rsidP="00DD3E15">
            <w:pPr>
              <w:jc w:val="center"/>
              <w:rPr>
                <w:rFonts w:ascii="Arial" w:eastAsia="Times New Roman" w:hAnsi="Arial" w:cs="Arial"/>
                <w:sz w:val="18"/>
                <w:szCs w:val="18"/>
              </w:rPr>
            </w:pPr>
            <w:r w:rsidRPr="004C68FC">
              <w:rPr>
                <w:rFonts w:ascii="Arial" w:eastAsia="Times New Roman" w:hAnsi="Arial" w:cs="Arial"/>
                <w:sz w:val="18"/>
                <w:szCs w:val="18"/>
              </w:rPr>
              <w:t> </w:t>
            </w:r>
          </w:p>
        </w:tc>
        <w:tc>
          <w:tcPr>
            <w:tcW w:w="1067" w:type="dxa"/>
            <w:tcBorders>
              <w:top w:val="nil"/>
              <w:left w:val="nil"/>
              <w:bottom w:val="single" w:sz="4" w:space="0" w:color="auto"/>
              <w:right w:val="nil"/>
            </w:tcBorders>
            <w:shd w:val="clear" w:color="000000" w:fill="C4BD97"/>
            <w:noWrap/>
            <w:vAlign w:val="bottom"/>
            <w:hideMark/>
          </w:tcPr>
          <w:p w:rsidR="00A043E7" w:rsidRPr="004C68FC" w:rsidRDefault="00A043E7" w:rsidP="00DD3E15">
            <w:pPr>
              <w:jc w:val="center"/>
              <w:rPr>
                <w:rFonts w:ascii="Arial" w:eastAsia="Times New Roman" w:hAnsi="Arial" w:cs="Arial"/>
                <w:sz w:val="18"/>
                <w:szCs w:val="18"/>
              </w:rPr>
            </w:pPr>
            <w:r w:rsidRPr="004C68FC">
              <w:rPr>
                <w:rFonts w:ascii="Arial" w:eastAsia="Times New Roman" w:hAnsi="Arial" w:cs="Arial"/>
                <w:sz w:val="18"/>
                <w:szCs w:val="18"/>
              </w:rPr>
              <w:t>Coefficient</w:t>
            </w:r>
          </w:p>
        </w:tc>
        <w:tc>
          <w:tcPr>
            <w:tcW w:w="1000" w:type="dxa"/>
            <w:tcBorders>
              <w:top w:val="nil"/>
              <w:left w:val="nil"/>
              <w:bottom w:val="single" w:sz="4" w:space="0" w:color="auto"/>
              <w:right w:val="nil"/>
            </w:tcBorders>
            <w:shd w:val="clear" w:color="000000" w:fill="C4BD97"/>
            <w:noWrap/>
            <w:vAlign w:val="bottom"/>
            <w:hideMark/>
          </w:tcPr>
          <w:p w:rsidR="00A043E7" w:rsidRPr="004C68FC" w:rsidRDefault="00A043E7" w:rsidP="00DD3E15">
            <w:pPr>
              <w:jc w:val="center"/>
              <w:rPr>
                <w:rFonts w:ascii="Arial" w:eastAsia="Times New Roman" w:hAnsi="Arial" w:cs="Arial"/>
                <w:sz w:val="18"/>
                <w:szCs w:val="18"/>
              </w:rPr>
            </w:pPr>
            <w:r w:rsidRPr="004C68FC">
              <w:rPr>
                <w:rFonts w:ascii="Arial" w:eastAsia="Times New Roman" w:hAnsi="Arial" w:cs="Arial"/>
                <w:sz w:val="18"/>
                <w:szCs w:val="18"/>
              </w:rPr>
              <w:t>p-value</w:t>
            </w:r>
          </w:p>
        </w:tc>
      </w:tr>
      <w:tr w:rsidR="00A043E7" w:rsidRPr="004C68FC" w:rsidTr="00DD3E15">
        <w:trPr>
          <w:trHeight w:val="300"/>
        </w:trPr>
        <w:tc>
          <w:tcPr>
            <w:tcW w:w="3975" w:type="dxa"/>
            <w:tcBorders>
              <w:top w:val="nil"/>
              <w:left w:val="nil"/>
              <w:bottom w:val="nil"/>
              <w:right w:val="nil"/>
            </w:tcBorders>
            <w:shd w:val="clear" w:color="auto" w:fill="auto"/>
            <w:vAlign w:val="center"/>
            <w:hideMark/>
          </w:tcPr>
          <w:p w:rsidR="00A043E7" w:rsidRPr="004C68FC" w:rsidRDefault="00A043E7" w:rsidP="00DD3E15">
            <w:pPr>
              <w:rPr>
                <w:rFonts w:ascii="Calibri" w:eastAsia="Times New Roman" w:hAnsi="Calibri"/>
                <w:b/>
                <w:bCs/>
                <w:color w:val="000000"/>
                <w:sz w:val="22"/>
                <w:szCs w:val="22"/>
              </w:rPr>
            </w:pPr>
            <w:r w:rsidRPr="004C68FC">
              <w:rPr>
                <w:rFonts w:ascii="Calibri" w:eastAsia="Times New Roman" w:hAnsi="Calibri"/>
                <w:b/>
                <w:bCs/>
                <w:color w:val="000000"/>
                <w:sz w:val="22"/>
                <w:szCs w:val="22"/>
              </w:rPr>
              <w:t>Asset ownership (percent of households)</w:t>
            </w:r>
          </w:p>
        </w:tc>
        <w:tc>
          <w:tcPr>
            <w:tcW w:w="10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0"/>
                <w:szCs w:val="20"/>
              </w:rPr>
            </w:pPr>
          </w:p>
        </w:tc>
        <w:tc>
          <w:tcPr>
            <w:tcW w:w="718"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0"/>
                <w:szCs w:val="20"/>
              </w:rPr>
            </w:pP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0"/>
                <w:szCs w:val="20"/>
              </w:rPr>
            </w:pPr>
          </w:p>
        </w:tc>
        <w:tc>
          <w:tcPr>
            <w:tcW w:w="10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0"/>
                <w:szCs w:val="20"/>
              </w:rPr>
            </w:pPr>
          </w:p>
        </w:tc>
        <w:tc>
          <w:tcPr>
            <w:tcW w:w="718"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0"/>
                <w:szCs w:val="20"/>
              </w:rPr>
            </w:pP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0"/>
                <w:szCs w:val="20"/>
              </w:rPr>
            </w:pPr>
          </w:p>
        </w:tc>
        <w:tc>
          <w:tcPr>
            <w:tcW w:w="10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0"/>
                <w:szCs w:val="20"/>
              </w:rPr>
            </w:pPr>
          </w:p>
        </w:tc>
        <w:tc>
          <w:tcPr>
            <w:tcW w:w="1000"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0"/>
                <w:szCs w:val="20"/>
              </w:rPr>
            </w:pPr>
          </w:p>
        </w:tc>
      </w:tr>
      <w:tr w:rsidR="00A043E7" w:rsidRPr="004C68FC" w:rsidTr="00DD3E15">
        <w:trPr>
          <w:trHeight w:val="300"/>
        </w:trPr>
        <w:tc>
          <w:tcPr>
            <w:tcW w:w="3975"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r w:rsidRPr="004C68FC">
              <w:rPr>
                <w:rFonts w:ascii="Calibri" w:eastAsia="Times New Roman" w:hAnsi="Calibri"/>
                <w:color w:val="000000"/>
                <w:sz w:val="22"/>
                <w:szCs w:val="22"/>
              </w:rPr>
              <w:t xml:space="preserve">     Central heating</w:t>
            </w: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0.204</w:t>
            </w:r>
          </w:p>
        </w:tc>
        <w:tc>
          <w:tcPr>
            <w:tcW w:w="718"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0.361</w:t>
            </w:r>
          </w:p>
        </w:tc>
        <w:tc>
          <w:tcPr>
            <w:tcW w:w="718"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0.189</w:t>
            </w:r>
          </w:p>
        </w:tc>
        <w:tc>
          <w:tcPr>
            <w:tcW w:w="1000"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r>
      <w:tr w:rsidR="00A043E7" w:rsidRPr="004C68FC" w:rsidTr="00DD3E15">
        <w:trPr>
          <w:trHeight w:val="300"/>
        </w:trPr>
        <w:tc>
          <w:tcPr>
            <w:tcW w:w="3975"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r w:rsidRPr="004C68FC">
              <w:rPr>
                <w:rFonts w:ascii="Calibri" w:eastAsia="Times New Roman" w:hAnsi="Calibri"/>
                <w:color w:val="000000"/>
                <w:sz w:val="22"/>
                <w:szCs w:val="22"/>
              </w:rPr>
              <w:t xml:space="preserve">     Vacuum cleaner</w:t>
            </w: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0.082</w:t>
            </w:r>
          </w:p>
        </w:tc>
        <w:tc>
          <w:tcPr>
            <w:tcW w:w="718"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0.113</w:t>
            </w:r>
          </w:p>
        </w:tc>
        <w:tc>
          <w:tcPr>
            <w:tcW w:w="718"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0.153</w:t>
            </w:r>
          </w:p>
        </w:tc>
        <w:tc>
          <w:tcPr>
            <w:tcW w:w="1000"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r>
      <w:tr w:rsidR="00A043E7" w:rsidRPr="004C68FC" w:rsidTr="00DD3E15">
        <w:trPr>
          <w:trHeight w:val="300"/>
        </w:trPr>
        <w:tc>
          <w:tcPr>
            <w:tcW w:w="3975"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r w:rsidRPr="004C68FC">
              <w:rPr>
                <w:rFonts w:ascii="Calibri" w:eastAsia="Times New Roman" w:hAnsi="Calibri"/>
                <w:color w:val="000000"/>
                <w:sz w:val="22"/>
                <w:szCs w:val="22"/>
              </w:rPr>
              <w:t xml:space="preserve">     VCR/DVD</w:t>
            </w: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0.115</w:t>
            </w:r>
          </w:p>
        </w:tc>
        <w:tc>
          <w:tcPr>
            <w:tcW w:w="718"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0.161</w:t>
            </w:r>
          </w:p>
        </w:tc>
        <w:tc>
          <w:tcPr>
            <w:tcW w:w="718"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0.121</w:t>
            </w:r>
          </w:p>
        </w:tc>
        <w:tc>
          <w:tcPr>
            <w:tcW w:w="1000"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r>
      <w:tr w:rsidR="00A043E7" w:rsidRPr="004C68FC" w:rsidTr="00DD3E15">
        <w:trPr>
          <w:trHeight w:val="300"/>
        </w:trPr>
        <w:tc>
          <w:tcPr>
            <w:tcW w:w="3975"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r w:rsidRPr="004C68FC">
              <w:rPr>
                <w:rFonts w:ascii="Calibri" w:eastAsia="Times New Roman" w:hAnsi="Calibri"/>
                <w:color w:val="000000"/>
                <w:sz w:val="22"/>
                <w:szCs w:val="22"/>
              </w:rPr>
              <w:t xml:space="preserve">     Telephone</w:t>
            </w: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0.139</w:t>
            </w:r>
          </w:p>
        </w:tc>
        <w:tc>
          <w:tcPr>
            <w:tcW w:w="718"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0.119</w:t>
            </w:r>
          </w:p>
        </w:tc>
        <w:tc>
          <w:tcPr>
            <w:tcW w:w="718"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0.115</w:t>
            </w:r>
          </w:p>
        </w:tc>
        <w:tc>
          <w:tcPr>
            <w:tcW w:w="1000"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r>
      <w:tr w:rsidR="00A043E7" w:rsidRPr="004C68FC" w:rsidTr="00DD3E15">
        <w:trPr>
          <w:trHeight w:val="300"/>
        </w:trPr>
        <w:tc>
          <w:tcPr>
            <w:tcW w:w="3975"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r w:rsidRPr="004C68FC">
              <w:rPr>
                <w:rFonts w:ascii="Calibri" w:eastAsia="Times New Roman" w:hAnsi="Calibri"/>
                <w:color w:val="000000"/>
                <w:sz w:val="22"/>
                <w:szCs w:val="22"/>
              </w:rPr>
              <w:t xml:space="preserve">     Cell phone</w:t>
            </w: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0.199</w:t>
            </w:r>
          </w:p>
        </w:tc>
        <w:tc>
          <w:tcPr>
            <w:tcW w:w="718"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0.165</w:t>
            </w:r>
          </w:p>
        </w:tc>
        <w:tc>
          <w:tcPr>
            <w:tcW w:w="718"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0.191</w:t>
            </w:r>
          </w:p>
        </w:tc>
        <w:tc>
          <w:tcPr>
            <w:tcW w:w="1000"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r>
      <w:tr w:rsidR="00A043E7" w:rsidRPr="004C68FC" w:rsidTr="00DD3E15">
        <w:trPr>
          <w:trHeight w:val="300"/>
        </w:trPr>
        <w:tc>
          <w:tcPr>
            <w:tcW w:w="3975"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r w:rsidRPr="004C68FC">
              <w:rPr>
                <w:rFonts w:ascii="Calibri" w:eastAsia="Times New Roman" w:hAnsi="Calibri"/>
                <w:color w:val="000000"/>
                <w:sz w:val="22"/>
                <w:szCs w:val="22"/>
              </w:rPr>
              <w:t xml:space="preserve">     Computer</w:t>
            </w: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0.104</w:t>
            </w:r>
          </w:p>
        </w:tc>
        <w:tc>
          <w:tcPr>
            <w:tcW w:w="718"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0.116</w:t>
            </w:r>
          </w:p>
        </w:tc>
        <w:tc>
          <w:tcPr>
            <w:tcW w:w="718"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0.126</w:t>
            </w:r>
          </w:p>
        </w:tc>
        <w:tc>
          <w:tcPr>
            <w:tcW w:w="1000"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r>
      <w:tr w:rsidR="00A043E7" w:rsidRPr="004C68FC" w:rsidTr="00DD3E15">
        <w:trPr>
          <w:trHeight w:val="300"/>
        </w:trPr>
        <w:tc>
          <w:tcPr>
            <w:tcW w:w="3975"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r w:rsidRPr="004C68FC">
              <w:rPr>
                <w:rFonts w:ascii="Calibri" w:eastAsia="Times New Roman" w:hAnsi="Calibri"/>
                <w:color w:val="000000"/>
                <w:sz w:val="22"/>
                <w:szCs w:val="22"/>
              </w:rPr>
              <w:t xml:space="preserve">     Microwave</w:t>
            </w: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0.139</w:t>
            </w:r>
          </w:p>
        </w:tc>
        <w:tc>
          <w:tcPr>
            <w:tcW w:w="718"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0.145</w:t>
            </w:r>
          </w:p>
        </w:tc>
        <w:tc>
          <w:tcPr>
            <w:tcW w:w="718"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0.115</w:t>
            </w:r>
          </w:p>
        </w:tc>
        <w:tc>
          <w:tcPr>
            <w:tcW w:w="1000"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r>
      <w:tr w:rsidR="00A043E7" w:rsidRPr="004C68FC" w:rsidTr="00DD3E15">
        <w:trPr>
          <w:trHeight w:val="300"/>
        </w:trPr>
        <w:tc>
          <w:tcPr>
            <w:tcW w:w="3975"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r w:rsidRPr="004C68FC">
              <w:rPr>
                <w:rFonts w:ascii="Calibri" w:eastAsia="Times New Roman" w:hAnsi="Calibri"/>
                <w:color w:val="000000"/>
                <w:sz w:val="22"/>
                <w:szCs w:val="22"/>
              </w:rPr>
              <w:t xml:space="preserve">     Private car</w:t>
            </w: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0.315</w:t>
            </w:r>
          </w:p>
        </w:tc>
        <w:tc>
          <w:tcPr>
            <w:tcW w:w="718"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0.313</w:t>
            </w:r>
          </w:p>
        </w:tc>
        <w:tc>
          <w:tcPr>
            <w:tcW w:w="718"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0.251</w:t>
            </w:r>
          </w:p>
        </w:tc>
        <w:tc>
          <w:tcPr>
            <w:tcW w:w="1000"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r>
      <w:tr w:rsidR="00A043E7" w:rsidRPr="004C68FC" w:rsidTr="00DD3E15">
        <w:trPr>
          <w:trHeight w:val="300"/>
        </w:trPr>
        <w:tc>
          <w:tcPr>
            <w:tcW w:w="3975"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b/>
                <w:bCs/>
                <w:color w:val="000000"/>
                <w:sz w:val="22"/>
                <w:szCs w:val="22"/>
              </w:rPr>
            </w:pPr>
            <w:r w:rsidRPr="004C68FC">
              <w:rPr>
                <w:rFonts w:ascii="Calibri" w:eastAsia="Times New Roman" w:hAnsi="Calibri"/>
                <w:b/>
                <w:bCs/>
                <w:color w:val="000000"/>
                <w:sz w:val="22"/>
                <w:szCs w:val="22"/>
              </w:rPr>
              <w:t>Dwelling characteristics</w:t>
            </w: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rPr>
                <w:rFonts w:ascii="Calibri" w:eastAsia="Times New Roman" w:hAnsi="Calibri"/>
                <w:color w:val="000000"/>
                <w:sz w:val="22"/>
                <w:szCs w:val="22"/>
              </w:rPr>
            </w:pPr>
            <w:r w:rsidRPr="004C68FC">
              <w:rPr>
                <w:rFonts w:ascii="Calibri" w:eastAsia="Times New Roman" w:hAnsi="Calibri"/>
                <w:color w:val="000000"/>
                <w:sz w:val="22"/>
                <w:szCs w:val="22"/>
              </w:rPr>
              <w:t> </w:t>
            </w:r>
          </w:p>
        </w:tc>
        <w:tc>
          <w:tcPr>
            <w:tcW w:w="718"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rPr>
                <w:rFonts w:ascii="Calibri" w:eastAsia="Times New Roman" w:hAnsi="Calibri"/>
                <w:color w:val="000000"/>
                <w:sz w:val="22"/>
                <w:szCs w:val="22"/>
              </w:rPr>
            </w:pPr>
            <w:r w:rsidRPr="004C68FC">
              <w:rPr>
                <w:rFonts w:ascii="Calibri" w:eastAsia="Times New Roman" w:hAnsi="Calibri"/>
                <w:color w:val="000000"/>
                <w:sz w:val="22"/>
                <w:szCs w:val="22"/>
              </w:rPr>
              <w:t> </w:t>
            </w:r>
          </w:p>
        </w:tc>
        <w:tc>
          <w:tcPr>
            <w:tcW w:w="718"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rPr>
                <w:rFonts w:ascii="Calibri" w:eastAsia="Times New Roman" w:hAnsi="Calibri"/>
                <w:color w:val="000000"/>
                <w:sz w:val="22"/>
                <w:szCs w:val="22"/>
              </w:rPr>
            </w:pPr>
            <w:r w:rsidRPr="004C68FC">
              <w:rPr>
                <w:rFonts w:ascii="Calibri" w:eastAsia="Times New Roman" w:hAnsi="Calibri"/>
                <w:color w:val="000000"/>
                <w:sz w:val="22"/>
                <w:szCs w:val="22"/>
              </w:rPr>
              <w:t> </w:t>
            </w:r>
          </w:p>
        </w:tc>
        <w:tc>
          <w:tcPr>
            <w:tcW w:w="1000"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r>
      <w:tr w:rsidR="00A043E7" w:rsidRPr="004C68FC" w:rsidTr="00DD3E15">
        <w:trPr>
          <w:trHeight w:val="300"/>
        </w:trPr>
        <w:tc>
          <w:tcPr>
            <w:tcW w:w="3975"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r w:rsidRPr="004C68FC">
              <w:rPr>
                <w:rFonts w:ascii="Calibri" w:eastAsia="Times New Roman" w:hAnsi="Calibri"/>
                <w:color w:val="000000"/>
                <w:sz w:val="22"/>
                <w:szCs w:val="22"/>
              </w:rPr>
              <w:t xml:space="preserve">     Heating from gas, kerosene or electric</w:t>
            </w: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0.126</w:t>
            </w:r>
          </w:p>
        </w:tc>
        <w:tc>
          <w:tcPr>
            <w:tcW w:w="718"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0.141</w:t>
            </w:r>
          </w:p>
        </w:tc>
        <w:tc>
          <w:tcPr>
            <w:tcW w:w="718"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0.103</w:t>
            </w:r>
          </w:p>
        </w:tc>
        <w:tc>
          <w:tcPr>
            <w:tcW w:w="1000"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r>
      <w:tr w:rsidR="00A043E7" w:rsidRPr="004C68FC" w:rsidTr="00DD3E15">
        <w:trPr>
          <w:trHeight w:val="300"/>
        </w:trPr>
        <w:tc>
          <w:tcPr>
            <w:tcW w:w="3975"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b/>
                <w:bCs/>
                <w:color w:val="000000"/>
                <w:sz w:val="22"/>
                <w:szCs w:val="22"/>
              </w:rPr>
            </w:pPr>
            <w:r w:rsidRPr="004C68FC">
              <w:rPr>
                <w:rFonts w:ascii="Calibri" w:eastAsia="Times New Roman" w:hAnsi="Calibri"/>
                <w:b/>
                <w:bCs/>
                <w:color w:val="000000"/>
                <w:sz w:val="22"/>
                <w:szCs w:val="22"/>
              </w:rPr>
              <w:t>Demographic characteristics</w:t>
            </w: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rPr>
                <w:rFonts w:ascii="Calibri" w:eastAsia="Times New Roman" w:hAnsi="Calibri"/>
                <w:color w:val="000000"/>
                <w:sz w:val="22"/>
                <w:szCs w:val="22"/>
              </w:rPr>
            </w:pPr>
            <w:r w:rsidRPr="004C68FC">
              <w:rPr>
                <w:rFonts w:ascii="Calibri" w:eastAsia="Times New Roman" w:hAnsi="Calibri"/>
                <w:color w:val="000000"/>
                <w:sz w:val="22"/>
                <w:szCs w:val="22"/>
              </w:rPr>
              <w:t> </w:t>
            </w:r>
          </w:p>
        </w:tc>
        <w:tc>
          <w:tcPr>
            <w:tcW w:w="718"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rPr>
                <w:rFonts w:ascii="Calibri" w:eastAsia="Times New Roman" w:hAnsi="Calibri"/>
                <w:color w:val="000000"/>
                <w:sz w:val="22"/>
                <w:szCs w:val="22"/>
              </w:rPr>
            </w:pPr>
            <w:r w:rsidRPr="004C68FC">
              <w:rPr>
                <w:rFonts w:ascii="Calibri" w:eastAsia="Times New Roman" w:hAnsi="Calibri"/>
                <w:color w:val="000000"/>
                <w:sz w:val="22"/>
                <w:szCs w:val="22"/>
              </w:rPr>
              <w:t> </w:t>
            </w:r>
          </w:p>
        </w:tc>
        <w:tc>
          <w:tcPr>
            <w:tcW w:w="718"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rPr>
                <w:rFonts w:ascii="Calibri" w:eastAsia="Times New Roman" w:hAnsi="Calibri"/>
                <w:color w:val="000000"/>
                <w:sz w:val="22"/>
                <w:szCs w:val="22"/>
              </w:rPr>
            </w:pPr>
            <w:r w:rsidRPr="004C68FC">
              <w:rPr>
                <w:rFonts w:ascii="Calibri" w:eastAsia="Times New Roman" w:hAnsi="Calibri"/>
                <w:color w:val="000000"/>
                <w:sz w:val="22"/>
                <w:szCs w:val="22"/>
              </w:rPr>
              <w:t> </w:t>
            </w:r>
          </w:p>
        </w:tc>
        <w:tc>
          <w:tcPr>
            <w:tcW w:w="1000"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r>
      <w:tr w:rsidR="00A043E7" w:rsidRPr="004C68FC" w:rsidTr="00DD3E15">
        <w:trPr>
          <w:trHeight w:val="300"/>
        </w:trPr>
        <w:tc>
          <w:tcPr>
            <w:tcW w:w="3975"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r w:rsidRPr="004C68FC">
              <w:rPr>
                <w:rFonts w:ascii="Calibri" w:eastAsia="Times New Roman" w:hAnsi="Calibri"/>
                <w:color w:val="000000"/>
                <w:sz w:val="22"/>
                <w:szCs w:val="22"/>
              </w:rPr>
              <w:t xml:space="preserve">     Household size</w:t>
            </w: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-0.064</w:t>
            </w:r>
          </w:p>
        </w:tc>
        <w:tc>
          <w:tcPr>
            <w:tcW w:w="718"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-0.064</w:t>
            </w:r>
          </w:p>
        </w:tc>
        <w:tc>
          <w:tcPr>
            <w:tcW w:w="718"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-0.067</w:t>
            </w:r>
          </w:p>
        </w:tc>
        <w:tc>
          <w:tcPr>
            <w:tcW w:w="1000"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r>
      <w:tr w:rsidR="00A043E7" w:rsidRPr="004C68FC" w:rsidTr="00DD3E15">
        <w:trPr>
          <w:trHeight w:val="300"/>
        </w:trPr>
        <w:tc>
          <w:tcPr>
            <w:tcW w:w="3975"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r w:rsidRPr="004C68FC">
              <w:rPr>
                <w:rFonts w:ascii="Calibri" w:eastAsia="Times New Roman" w:hAnsi="Calibri"/>
                <w:color w:val="000000"/>
                <w:sz w:val="22"/>
                <w:szCs w:val="22"/>
              </w:rPr>
              <w:t xml:space="preserve">     Refugee household</w:t>
            </w: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-0.070</w:t>
            </w:r>
          </w:p>
        </w:tc>
        <w:tc>
          <w:tcPr>
            <w:tcW w:w="718"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-0.042</w:t>
            </w:r>
          </w:p>
        </w:tc>
        <w:tc>
          <w:tcPr>
            <w:tcW w:w="718"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0.003</w:t>
            </w: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000000" w:fill="D8E4BC"/>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-0.078</w:t>
            </w:r>
          </w:p>
        </w:tc>
        <w:tc>
          <w:tcPr>
            <w:tcW w:w="1000"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0.000</w:t>
            </w:r>
          </w:p>
        </w:tc>
      </w:tr>
      <w:tr w:rsidR="00A043E7" w:rsidRPr="004C68FC" w:rsidTr="00DD3E15">
        <w:trPr>
          <w:trHeight w:val="300"/>
        </w:trPr>
        <w:tc>
          <w:tcPr>
            <w:tcW w:w="3975"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718"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718"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00"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r>
      <w:tr w:rsidR="00A043E7" w:rsidRPr="004C68FC" w:rsidTr="00DD3E15">
        <w:trPr>
          <w:trHeight w:val="300"/>
        </w:trPr>
        <w:tc>
          <w:tcPr>
            <w:tcW w:w="3975"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r w:rsidRPr="004C68FC">
              <w:rPr>
                <w:rFonts w:ascii="Calibri" w:eastAsia="Times New Roman" w:hAnsi="Calibri"/>
                <w:color w:val="000000"/>
                <w:sz w:val="22"/>
                <w:szCs w:val="22"/>
              </w:rPr>
              <w:t>Number of observations</w:t>
            </w:r>
          </w:p>
        </w:tc>
        <w:tc>
          <w:tcPr>
            <w:tcW w:w="1067"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3,843</w:t>
            </w:r>
          </w:p>
        </w:tc>
        <w:tc>
          <w:tcPr>
            <w:tcW w:w="718"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3</w:t>
            </w:r>
            <w:r w:rsidR="005E68D1">
              <w:rPr>
                <w:rFonts w:ascii="Calibri" w:eastAsia="Times New Roman" w:hAnsi="Calibri"/>
                <w:color w:val="000000"/>
                <w:sz w:val="22"/>
                <w:szCs w:val="22"/>
              </w:rPr>
              <w:t>,</w:t>
            </w:r>
            <w:r w:rsidRPr="004C68FC">
              <w:rPr>
                <w:rFonts w:ascii="Calibri" w:eastAsia="Times New Roman" w:hAnsi="Calibri"/>
                <w:color w:val="000000"/>
                <w:sz w:val="22"/>
                <w:szCs w:val="22"/>
              </w:rPr>
              <w:t>749</w:t>
            </w:r>
          </w:p>
        </w:tc>
        <w:tc>
          <w:tcPr>
            <w:tcW w:w="718"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4</w:t>
            </w:r>
            <w:r w:rsidR="005E68D1">
              <w:rPr>
                <w:rFonts w:ascii="Calibri" w:eastAsia="Times New Roman" w:hAnsi="Calibri"/>
                <w:color w:val="000000"/>
                <w:sz w:val="22"/>
                <w:szCs w:val="22"/>
              </w:rPr>
              <w:t>,</w:t>
            </w:r>
            <w:r w:rsidRPr="004C68FC">
              <w:rPr>
                <w:rFonts w:ascii="Calibri" w:eastAsia="Times New Roman" w:hAnsi="Calibri"/>
                <w:color w:val="000000"/>
                <w:sz w:val="22"/>
                <w:szCs w:val="22"/>
              </w:rPr>
              <w:t>309</w:t>
            </w:r>
          </w:p>
        </w:tc>
        <w:tc>
          <w:tcPr>
            <w:tcW w:w="1000"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r>
      <w:tr w:rsidR="00A043E7" w:rsidRPr="004C68FC" w:rsidTr="00DD3E15">
        <w:trPr>
          <w:trHeight w:val="300"/>
        </w:trPr>
        <w:tc>
          <w:tcPr>
            <w:tcW w:w="3975"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r w:rsidRPr="004C68FC">
              <w:rPr>
                <w:rFonts w:ascii="Calibri" w:eastAsia="Times New Roman" w:hAnsi="Calibri"/>
                <w:color w:val="000000"/>
                <w:sz w:val="22"/>
                <w:szCs w:val="22"/>
              </w:rPr>
              <w:t>R-squared</w:t>
            </w:r>
          </w:p>
        </w:tc>
        <w:tc>
          <w:tcPr>
            <w:tcW w:w="1067"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0.399</w:t>
            </w:r>
          </w:p>
        </w:tc>
        <w:tc>
          <w:tcPr>
            <w:tcW w:w="718"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0.440</w:t>
            </w:r>
          </w:p>
        </w:tc>
        <w:tc>
          <w:tcPr>
            <w:tcW w:w="718"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267"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c>
          <w:tcPr>
            <w:tcW w:w="1067" w:type="dxa"/>
            <w:tcBorders>
              <w:top w:val="nil"/>
              <w:left w:val="nil"/>
              <w:bottom w:val="nil"/>
              <w:right w:val="nil"/>
            </w:tcBorders>
            <w:shd w:val="clear" w:color="auto" w:fill="auto"/>
            <w:noWrap/>
            <w:vAlign w:val="bottom"/>
            <w:hideMark/>
          </w:tcPr>
          <w:p w:rsidR="00A043E7" w:rsidRPr="004C68FC" w:rsidRDefault="00A043E7" w:rsidP="00DD3E15">
            <w:pPr>
              <w:jc w:val="right"/>
              <w:rPr>
                <w:rFonts w:ascii="Calibri" w:eastAsia="Times New Roman" w:hAnsi="Calibri"/>
                <w:color w:val="000000"/>
                <w:sz w:val="22"/>
                <w:szCs w:val="22"/>
              </w:rPr>
            </w:pPr>
            <w:r w:rsidRPr="004C68FC">
              <w:rPr>
                <w:rFonts w:ascii="Calibri" w:eastAsia="Times New Roman" w:hAnsi="Calibri"/>
                <w:color w:val="000000"/>
                <w:sz w:val="22"/>
                <w:szCs w:val="22"/>
              </w:rPr>
              <w:t>0.403</w:t>
            </w:r>
          </w:p>
        </w:tc>
        <w:tc>
          <w:tcPr>
            <w:tcW w:w="1000" w:type="dxa"/>
            <w:tcBorders>
              <w:top w:val="nil"/>
              <w:left w:val="nil"/>
              <w:bottom w:val="nil"/>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p>
        </w:tc>
      </w:tr>
      <w:tr w:rsidR="00A043E7" w:rsidRPr="004C68FC" w:rsidTr="00DD3E15">
        <w:trPr>
          <w:trHeight w:val="315"/>
        </w:trPr>
        <w:tc>
          <w:tcPr>
            <w:tcW w:w="3975" w:type="dxa"/>
            <w:tcBorders>
              <w:top w:val="nil"/>
              <w:left w:val="nil"/>
              <w:bottom w:val="single" w:sz="8" w:space="0" w:color="auto"/>
              <w:right w:val="nil"/>
            </w:tcBorders>
            <w:shd w:val="clear" w:color="auto" w:fill="auto"/>
            <w:vAlign w:val="bottom"/>
            <w:hideMark/>
          </w:tcPr>
          <w:p w:rsidR="00A043E7" w:rsidRPr="004C68FC" w:rsidRDefault="00A043E7" w:rsidP="00DD3E15">
            <w:pPr>
              <w:rPr>
                <w:rFonts w:ascii="Calibri" w:eastAsia="Times New Roman" w:hAnsi="Calibri"/>
                <w:color w:val="000000"/>
                <w:sz w:val="22"/>
                <w:szCs w:val="22"/>
              </w:rPr>
            </w:pPr>
            <w:r w:rsidRPr="004C68FC">
              <w:rPr>
                <w:rFonts w:ascii="Calibri" w:eastAsia="Times New Roman" w:hAnsi="Calibri"/>
                <w:color w:val="000000"/>
                <w:sz w:val="22"/>
                <w:szCs w:val="22"/>
              </w:rPr>
              <w:t> </w:t>
            </w:r>
          </w:p>
        </w:tc>
        <w:tc>
          <w:tcPr>
            <w:tcW w:w="1067" w:type="dxa"/>
            <w:tcBorders>
              <w:top w:val="nil"/>
              <w:left w:val="nil"/>
              <w:bottom w:val="single" w:sz="8" w:space="0" w:color="auto"/>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r w:rsidRPr="004C68FC">
              <w:rPr>
                <w:rFonts w:ascii="Calibri" w:eastAsia="Times New Roman" w:hAnsi="Calibri"/>
                <w:color w:val="000000"/>
                <w:sz w:val="22"/>
                <w:szCs w:val="22"/>
              </w:rPr>
              <w:t> </w:t>
            </w:r>
          </w:p>
        </w:tc>
        <w:tc>
          <w:tcPr>
            <w:tcW w:w="718" w:type="dxa"/>
            <w:tcBorders>
              <w:top w:val="nil"/>
              <w:left w:val="nil"/>
              <w:bottom w:val="single" w:sz="8" w:space="0" w:color="auto"/>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r w:rsidRPr="004C68FC">
              <w:rPr>
                <w:rFonts w:ascii="Calibri" w:eastAsia="Times New Roman" w:hAnsi="Calibri"/>
                <w:color w:val="000000"/>
                <w:sz w:val="22"/>
                <w:szCs w:val="22"/>
              </w:rPr>
              <w:t> </w:t>
            </w:r>
          </w:p>
        </w:tc>
        <w:tc>
          <w:tcPr>
            <w:tcW w:w="267" w:type="dxa"/>
            <w:tcBorders>
              <w:top w:val="nil"/>
              <w:left w:val="nil"/>
              <w:bottom w:val="single" w:sz="8" w:space="0" w:color="auto"/>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r w:rsidRPr="004C68FC">
              <w:rPr>
                <w:rFonts w:ascii="Calibri" w:eastAsia="Times New Roman" w:hAnsi="Calibri"/>
                <w:color w:val="000000"/>
                <w:sz w:val="22"/>
                <w:szCs w:val="22"/>
              </w:rPr>
              <w:t> </w:t>
            </w:r>
          </w:p>
        </w:tc>
        <w:tc>
          <w:tcPr>
            <w:tcW w:w="1067" w:type="dxa"/>
            <w:tcBorders>
              <w:top w:val="nil"/>
              <w:left w:val="nil"/>
              <w:bottom w:val="single" w:sz="8" w:space="0" w:color="auto"/>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r w:rsidRPr="004C68FC">
              <w:rPr>
                <w:rFonts w:ascii="Calibri" w:eastAsia="Times New Roman" w:hAnsi="Calibri"/>
                <w:color w:val="000000"/>
                <w:sz w:val="22"/>
                <w:szCs w:val="22"/>
              </w:rPr>
              <w:t> </w:t>
            </w:r>
          </w:p>
        </w:tc>
        <w:tc>
          <w:tcPr>
            <w:tcW w:w="718" w:type="dxa"/>
            <w:tcBorders>
              <w:top w:val="nil"/>
              <w:left w:val="nil"/>
              <w:bottom w:val="single" w:sz="8" w:space="0" w:color="auto"/>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r w:rsidRPr="004C68FC">
              <w:rPr>
                <w:rFonts w:ascii="Calibri" w:eastAsia="Times New Roman" w:hAnsi="Calibri"/>
                <w:color w:val="000000"/>
                <w:sz w:val="22"/>
                <w:szCs w:val="22"/>
              </w:rPr>
              <w:t> </w:t>
            </w:r>
          </w:p>
        </w:tc>
        <w:tc>
          <w:tcPr>
            <w:tcW w:w="267" w:type="dxa"/>
            <w:tcBorders>
              <w:top w:val="nil"/>
              <w:left w:val="nil"/>
              <w:bottom w:val="single" w:sz="8" w:space="0" w:color="auto"/>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r w:rsidRPr="004C68FC">
              <w:rPr>
                <w:rFonts w:ascii="Calibri" w:eastAsia="Times New Roman" w:hAnsi="Calibri"/>
                <w:color w:val="000000"/>
                <w:sz w:val="22"/>
                <w:szCs w:val="22"/>
              </w:rPr>
              <w:t> </w:t>
            </w:r>
          </w:p>
        </w:tc>
        <w:tc>
          <w:tcPr>
            <w:tcW w:w="1067" w:type="dxa"/>
            <w:tcBorders>
              <w:top w:val="nil"/>
              <w:left w:val="nil"/>
              <w:bottom w:val="single" w:sz="8" w:space="0" w:color="auto"/>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r w:rsidRPr="004C68FC">
              <w:rPr>
                <w:rFonts w:ascii="Calibri" w:eastAsia="Times New Roman" w:hAnsi="Calibri"/>
                <w:color w:val="000000"/>
                <w:sz w:val="22"/>
                <w:szCs w:val="22"/>
              </w:rPr>
              <w:t> </w:t>
            </w:r>
          </w:p>
        </w:tc>
        <w:tc>
          <w:tcPr>
            <w:tcW w:w="1000" w:type="dxa"/>
            <w:tcBorders>
              <w:top w:val="nil"/>
              <w:left w:val="nil"/>
              <w:bottom w:val="single" w:sz="8" w:space="0" w:color="auto"/>
              <w:right w:val="nil"/>
            </w:tcBorders>
            <w:shd w:val="clear" w:color="auto" w:fill="auto"/>
            <w:noWrap/>
            <w:vAlign w:val="bottom"/>
            <w:hideMark/>
          </w:tcPr>
          <w:p w:rsidR="00A043E7" w:rsidRPr="004C68FC" w:rsidRDefault="00A043E7" w:rsidP="00DD3E15">
            <w:pPr>
              <w:rPr>
                <w:rFonts w:ascii="Calibri" w:eastAsia="Times New Roman" w:hAnsi="Calibri"/>
                <w:color w:val="000000"/>
                <w:sz w:val="22"/>
                <w:szCs w:val="22"/>
              </w:rPr>
            </w:pPr>
            <w:r w:rsidRPr="004C68FC">
              <w:rPr>
                <w:rFonts w:ascii="Calibri" w:eastAsia="Times New Roman" w:hAnsi="Calibri"/>
                <w:color w:val="000000"/>
                <w:sz w:val="22"/>
                <w:szCs w:val="22"/>
              </w:rPr>
              <w:t> </w:t>
            </w:r>
          </w:p>
        </w:tc>
      </w:tr>
    </w:tbl>
    <w:p w:rsidR="00A043E7" w:rsidRDefault="00A043E7" w:rsidP="00A043E7"/>
    <w:p w:rsidR="00A043E7" w:rsidRDefault="00A043E7">
      <w:pPr>
        <w:rPr>
          <w:rFonts w:asciiTheme="minorHAnsi" w:hAnsiTheme="minorHAnsi"/>
        </w:rPr>
      </w:pPr>
      <w:r>
        <w:rPr>
          <w:rFonts w:asciiTheme="minorHAnsi" w:hAnsiTheme="minorHAnsi"/>
        </w:rPr>
        <w:br w:type="page"/>
      </w:r>
    </w:p>
    <w:p w:rsidR="00C76CC2" w:rsidRPr="009321C3" w:rsidRDefault="00BD7E3D" w:rsidP="0098190D">
      <w:pPr>
        <w:pStyle w:val="Heading3"/>
        <w:numPr>
          <w:ilvl w:val="0"/>
          <w:numId w:val="0"/>
        </w:numPr>
        <w:ind w:left="1152"/>
        <w:rPr>
          <w:rFonts w:asciiTheme="minorHAnsi" w:hAnsiTheme="minorHAnsi"/>
          <w:sz w:val="28"/>
          <w:szCs w:val="28"/>
        </w:rPr>
      </w:pPr>
      <w:bookmarkStart w:id="21" w:name="_Toc395979705"/>
      <w:r w:rsidRPr="009321C3">
        <w:rPr>
          <w:rFonts w:asciiTheme="minorHAnsi" w:hAnsiTheme="minorHAnsi"/>
          <w:color w:val="365F91" w:themeColor="accent1" w:themeShade="BF"/>
          <w:sz w:val="28"/>
          <w:szCs w:val="28"/>
        </w:rPr>
        <w:lastRenderedPageBreak/>
        <w:t>2.3 Comparison</w:t>
      </w:r>
      <w:r w:rsidR="00C76CC2" w:rsidRPr="009321C3">
        <w:rPr>
          <w:rFonts w:asciiTheme="minorHAnsi" w:hAnsiTheme="minorHAnsi"/>
          <w:color w:val="365F91" w:themeColor="accent1" w:themeShade="BF"/>
          <w:sz w:val="28"/>
          <w:szCs w:val="28"/>
        </w:rPr>
        <w:t xml:space="preserve"> of PECS and SEFSec asset ownership means</w:t>
      </w:r>
      <w:bookmarkEnd w:id="21"/>
      <w:r w:rsidR="00C76CC2" w:rsidRPr="009321C3">
        <w:rPr>
          <w:rFonts w:asciiTheme="minorHAnsi" w:hAnsiTheme="minorHAnsi"/>
          <w:color w:val="365F91" w:themeColor="accent1" w:themeShade="BF"/>
          <w:sz w:val="28"/>
          <w:szCs w:val="28"/>
        </w:rPr>
        <w:t xml:space="preserve"> </w:t>
      </w:r>
    </w:p>
    <w:p w:rsidR="00C76CC2" w:rsidRPr="00B30983" w:rsidRDefault="00C76CC2" w:rsidP="00C76CC2">
      <w:pPr>
        <w:rPr>
          <w:rFonts w:asciiTheme="minorHAnsi" w:hAnsiTheme="minorHAnsi"/>
        </w:rPr>
      </w:pPr>
    </w:p>
    <w:p w:rsidR="00F16304" w:rsidRPr="00B30983" w:rsidRDefault="00FC50E4" w:rsidP="00782C02">
      <w:pPr>
        <w:rPr>
          <w:rFonts w:asciiTheme="minorHAnsi" w:hAnsiTheme="minorHAnsi"/>
        </w:rPr>
      </w:pPr>
      <w:r w:rsidRPr="00B30983">
        <w:rPr>
          <w:rFonts w:asciiTheme="minorHAnsi" w:hAnsiTheme="minorHAnsi"/>
        </w:rPr>
        <w:t xml:space="preserve">In order to be able to use these variables to generate poverty estimates </w:t>
      </w:r>
      <w:r w:rsidR="005E68D1">
        <w:rPr>
          <w:rFonts w:asciiTheme="minorHAnsi" w:hAnsiTheme="minorHAnsi"/>
        </w:rPr>
        <w:t>using</w:t>
      </w:r>
      <w:r w:rsidRPr="00B30983">
        <w:rPr>
          <w:rFonts w:asciiTheme="minorHAnsi" w:hAnsiTheme="minorHAnsi"/>
        </w:rPr>
        <w:t xml:space="preserve"> the SEFSec survey</w:t>
      </w:r>
      <w:r w:rsidR="005E68D1">
        <w:rPr>
          <w:rFonts w:asciiTheme="minorHAnsi" w:hAnsiTheme="minorHAnsi"/>
        </w:rPr>
        <w:t xml:space="preserve"> data</w:t>
      </w:r>
      <w:r w:rsidRPr="00B30983">
        <w:rPr>
          <w:rFonts w:asciiTheme="minorHAnsi" w:hAnsiTheme="minorHAnsi"/>
        </w:rPr>
        <w:t xml:space="preserve">, it is of course important to know that the SEFSec and PECS surveys conducted in the same year yield similar mean values of the variables. </w:t>
      </w:r>
      <w:r w:rsidR="00F16304" w:rsidRPr="00B30983">
        <w:rPr>
          <w:rFonts w:asciiTheme="minorHAnsi" w:hAnsiTheme="minorHAnsi"/>
        </w:rPr>
        <w:t>If not, there may be differences in the</w:t>
      </w:r>
      <w:r w:rsidR="005E68D1">
        <w:rPr>
          <w:rFonts w:asciiTheme="minorHAnsi" w:hAnsiTheme="minorHAnsi"/>
        </w:rPr>
        <w:t>ir</w:t>
      </w:r>
      <w:r w:rsidR="00F16304" w:rsidRPr="00B30983">
        <w:rPr>
          <w:rFonts w:asciiTheme="minorHAnsi" w:hAnsiTheme="minorHAnsi"/>
        </w:rPr>
        <w:t xml:space="preserve"> definitions across the surveys or in the actual questions asked of households.</w:t>
      </w:r>
      <w:r w:rsidRPr="00B30983">
        <w:rPr>
          <w:rFonts w:asciiTheme="minorHAnsi" w:hAnsiTheme="minorHAnsi"/>
        </w:rPr>
        <w:t xml:space="preserve"> </w:t>
      </w:r>
    </w:p>
    <w:p w:rsidR="00F16304" w:rsidRPr="00B30983" w:rsidRDefault="00F16304" w:rsidP="00782C02">
      <w:pPr>
        <w:rPr>
          <w:rFonts w:asciiTheme="minorHAnsi" w:hAnsiTheme="minorHAnsi"/>
        </w:rPr>
      </w:pPr>
    </w:p>
    <w:p w:rsidR="00FC50E4" w:rsidRPr="00B30983" w:rsidRDefault="004D03BC" w:rsidP="00782C02">
      <w:pPr>
        <w:rPr>
          <w:rFonts w:asciiTheme="minorHAnsi" w:hAnsiTheme="minorHAnsi"/>
        </w:rPr>
      </w:pPr>
      <w:r>
        <w:rPr>
          <w:rFonts w:asciiTheme="minorHAnsi" w:hAnsiTheme="minorHAnsi"/>
        </w:rPr>
        <w:t>Using the 2011 data, Table 2</w:t>
      </w:r>
      <w:r w:rsidR="00FC50E4" w:rsidRPr="00B30983">
        <w:rPr>
          <w:rFonts w:asciiTheme="minorHAnsi" w:hAnsiTheme="minorHAnsi"/>
        </w:rPr>
        <w:t>.4 compares the PECS and SEFSec means and finds them to be quite close.  The largest difference is for the percent of refugee households, which differs by only 2.7 percentage points.  The large</w:t>
      </w:r>
      <w:r>
        <w:rPr>
          <w:rFonts w:asciiTheme="minorHAnsi" w:hAnsiTheme="minorHAnsi"/>
        </w:rPr>
        <w:t>st</w:t>
      </w:r>
      <w:r w:rsidR="00FC50E4" w:rsidRPr="00B30983">
        <w:rPr>
          <w:rFonts w:asciiTheme="minorHAnsi" w:hAnsiTheme="minorHAnsi"/>
        </w:rPr>
        <w:t xml:space="preserve"> </w:t>
      </w:r>
      <w:r w:rsidR="00FC50E4" w:rsidRPr="004D03BC">
        <w:rPr>
          <w:rFonts w:asciiTheme="minorHAnsi" w:hAnsiTheme="minorHAnsi"/>
          <w:i/>
        </w:rPr>
        <w:t>percentage</w:t>
      </w:r>
      <w:r w:rsidR="00FC50E4" w:rsidRPr="00B30983">
        <w:rPr>
          <w:rFonts w:asciiTheme="minorHAnsi" w:hAnsiTheme="minorHAnsi"/>
        </w:rPr>
        <w:t xml:space="preserve"> difference is for ownership of central heating</w:t>
      </w:r>
      <w:r w:rsidR="005E68D1">
        <w:rPr>
          <w:rFonts w:asciiTheme="minorHAnsi" w:hAnsiTheme="minorHAnsi"/>
        </w:rPr>
        <w:t xml:space="preserve">; </w:t>
      </w:r>
      <w:r w:rsidR="0070153A">
        <w:rPr>
          <w:rFonts w:asciiTheme="minorHAnsi" w:hAnsiTheme="minorHAnsi"/>
        </w:rPr>
        <w:t>i</w:t>
      </w:r>
      <w:r w:rsidR="005E68D1">
        <w:rPr>
          <w:rFonts w:asciiTheme="minorHAnsi" w:hAnsiTheme="minorHAnsi"/>
        </w:rPr>
        <w:t xml:space="preserve">t </w:t>
      </w:r>
      <w:r>
        <w:rPr>
          <w:rFonts w:asciiTheme="minorHAnsi" w:hAnsiTheme="minorHAnsi"/>
        </w:rPr>
        <w:t xml:space="preserve">is so large </w:t>
      </w:r>
      <w:r w:rsidR="00FC50E4" w:rsidRPr="00B30983">
        <w:rPr>
          <w:rFonts w:asciiTheme="minorHAnsi" w:hAnsiTheme="minorHAnsi"/>
        </w:rPr>
        <w:t xml:space="preserve">simply </w:t>
      </w:r>
      <w:r>
        <w:rPr>
          <w:rFonts w:asciiTheme="minorHAnsi" w:hAnsiTheme="minorHAnsi"/>
        </w:rPr>
        <w:t xml:space="preserve">because </w:t>
      </w:r>
      <w:r w:rsidR="00FC50E4" w:rsidRPr="00B30983">
        <w:rPr>
          <w:rFonts w:asciiTheme="minorHAnsi" w:hAnsiTheme="minorHAnsi"/>
        </w:rPr>
        <w:t xml:space="preserve">the actual percent ownership is </w:t>
      </w:r>
      <w:r w:rsidR="005E68D1">
        <w:rPr>
          <w:rFonts w:asciiTheme="minorHAnsi" w:hAnsiTheme="minorHAnsi"/>
        </w:rPr>
        <w:t>quite</w:t>
      </w:r>
      <w:r w:rsidR="00FC50E4" w:rsidRPr="00B30983">
        <w:rPr>
          <w:rFonts w:asciiTheme="minorHAnsi" w:hAnsiTheme="minorHAnsi"/>
        </w:rPr>
        <w:t xml:space="preserve"> small. </w:t>
      </w:r>
    </w:p>
    <w:p w:rsidR="00A043E7" w:rsidRDefault="00A043E7" w:rsidP="00782C02">
      <w:pPr>
        <w:rPr>
          <w:rFonts w:asciiTheme="minorHAnsi" w:hAnsiTheme="minorHAnsi"/>
        </w:rPr>
      </w:pPr>
    </w:p>
    <w:p w:rsidR="00A043E7" w:rsidRDefault="00A043E7" w:rsidP="00782C02">
      <w:pPr>
        <w:rPr>
          <w:rFonts w:asciiTheme="minorHAnsi" w:hAnsiTheme="minorHAnsi"/>
        </w:rPr>
      </w:pPr>
    </w:p>
    <w:tbl>
      <w:tblPr>
        <w:tblW w:w="8464" w:type="dxa"/>
        <w:tblInd w:w="93" w:type="dxa"/>
        <w:tblLook w:val="04A0" w:firstRow="1" w:lastRow="0" w:firstColumn="1" w:lastColumn="0" w:noHBand="0" w:noVBand="1"/>
      </w:tblPr>
      <w:tblGrid>
        <w:gridCol w:w="3885"/>
        <w:gridCol w:w="267"/>
        <w:gridCol w:w="912"/>
        <w:gridCol w:w="1076"/>
        <w:gridCol w:w="267"/>
        <w:gridCol w:w="1078"/>
        <w:gridCol w:w="979"/>
      </w:tblGrid>
      <w:tr w:rsidR="00A043E7" w:rsidRPr="0073587A" w:rsidTr="00DD3E15">
        <w:trPr>
          <w:trHeight w:val="315"/>
        </w:trPr>
        <w:tc>
          <w:tcPr>
            <w:tcW w:w="7485" w:type="dxa"/>
            <w:gridSpan w:val="6"/>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b/>
                <w:bCs/>
                <w:color w:val="000000"/>
                <w:sz w:val="22"/>
                <w:szCs w:val="22"/>
              </w:rPr>
            </w:pPr>
            <w:bookmarkStart w:id="22" w:name="RANGE!C3:F24"/>
            <w:r w:rsidRPr="0073587A">
              <w:rPr>
                <w:rFonts w:ascii="Calibri" w:eastAsia="Times New Roman" w:hAnsi="Calibri"/>
                <w:b/>
                <w:bCs/>
                <w:color w:val="000000"/>
                <w:sz w:val="22"/>
                <w:szCs w:val="22"/>
              </w:rPr>
              <w:t xml:space="preserve">Table </w:t>
            </w:r>
            <w:r>
              <w:rPr>
                <w:rFonts w:ascii="Calibri" w:eastAsia="Times New Roman" w:hAnsi="Calibri"/>
                <w:b/>
                <w:bCs/>
                <w:color w:val="000000"/>
                <w:sz w:val="22"/>
                <w:szCs w:val="22"/>
              </w:rPr>
              <w:t>2</w:t>
            </w:r>
            <w:r w:rsidRPr="0073587A">
              <w:rPr>
                <w:rFonts w:ascii="Calibri" w:eastAsia="Times New Roman" w:hAnsi="Calibri"/>
                <w:b/>
                <w:bCs/>
                <w:color w:val="000000"/>
                <w:sz w:val="22"/>
                <w:szCs w:val="22"/>
              </w:rPr>
              <w:t>.4   Means of stable expenditure correlates:   PECS versus SEFSec 2011</w:t>
            </w:r>
            <w:bookmarkEnd w:id="22"/>
          </w:p>
        </w:tc>
        <w:tc>
          <w:tcPr>
            <w:tcW w:w="979"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r>
      <w:tr w:rsidR="00A043E7" w:rsidRPr="0073587A" w:rsidTr="00DD3E15">
        <w:trPr>
          <w:trHeight w:val="585"/>
        </w:trPr>
        <w:tc>
          <w:tcPr>
            <w:tcW w:w="3885" w:type="dxa"/>
            <w:tcBorders>
              <w:top w:val="single" w:sz="8" w:space="0" w:color="auto"/>
              <w:left w:val="nil"/>
              <w:bottom w:val="single" w:sz="4" w:space="0" w:color="auto"/>
              <w:right w:val="nil"/>
            </w:tcBorders>
            <w:shd w:val="clear" w:color="000000" w:fill="C4BD97"/>
            <w:noWrap/>
            <w:vAlign w:val="bottom"/>
            <w:hideMark/>
          </w:tcPr>
          <w:p w:rsidR="00A043E7" w:rsidRPr="0073587A" w:rsidRDefault="00A043E7" w:rsidP="00DD3E15">
            <w:pPr>
              <w:rPr>
                <w:rFonts w:ascii="Calibri" w:eastAsia="Times New Roman" w:hAnsi="Calibri"/>
                <w:color w:val="000000"/>
                <w:sz w:val="22"/>
                <w:szCs w:val="22"/>
              </w:rPr>
            </w:pPr>
            <w:r w:rsidRPr="0073587A">
              <w:rPr>
                <w:rFonts w:ascii="Calibri" w:eastAsia="Times New Roman" w:hAnsi="Calibri"/>
                <w:color w:val="000000"/>
                <w:sz w:val="22"/>
                <w:szCs w:val="22"/>
              </w:rPr>
              <w:t> </w:t>
            </w:r>
          </w:p>
        </w:tc>
        <w:tc>
          <w:tcPr>
            <w:tcW w:w="267" w:type="dxa"/>
            <w:tcBorders>
              <w:top w:val="single" w:sz="8" w:space="0" w:color="auto"/>
              <w:left w:val="nil"/>
              <w:bottom w:val="single" w:sz="4" w:space="0" w:color="auto"/>
              <w:right w:val="nil"/>
            </w:tcBorders>
            <w:shd w:val="clear" w:color="000000" w:fill="C4BD97"/>
            <w:noWrap/>
            <w:vAlign w:val="bottom"/>
            <w:hideMark/>
          </w:tcPr>
          <w:p w:rsidR="00A043E7" w:rsidRPr="0073587A" w:rsidRDefault="00A043E7" w:rsidP="00DD3E15">
            <w:pPr>
              <w:jc w:val="center"/>
              <w:rPr>
                <w:rFonts w:ascii="Arial" w:eastAsia="Times New Roman" w:hAnsi="Arial" w:cs="Arial"/>
                <w:sz w:val="18"/>
                <w:szCs w:val="18"/>
              </w:rPr>
            </w:pPr>
            <w:r w:rsidRPr="0073587A">
              <w:rPr>
                <w:rFonts w:ascii="Arial" w:eastAsia="Times New Roman" w:hAnsi="Arial" w:cs="Arial"/>
                <w:sz w:val="18"/>
                <w:szCs w:val="18"/>
              </w:rPr>
              <w:t> </w:t>
            </w:r>
          </w:p>
        </w:tc>
        <w:tc>
          <w:tcPr>
            <w:tcW w:w="912" w:type="dxa"/>
            <w:tcBorders>
              <w:top w:val="single" w:sz="8" w:space="0" w:color="auto"/>
              <w:left w:val="nil"/>
              <w:bottom w:val="single" w:sz="4" w:space="0" w:color="auto"/>
              <w:right w:val="nil"/>
            </w:tcBorders>
            <w:shd w:val="clear" w:color="000000" w:fill="C4BD97"/>
            <w:noWrap/>
            <w:vAlign w:val="center"/>
            <w:hideMark/>
          </w:tcPr>
          <w:p w:rsidR="00A043E7" w:rsidRPr="0073587A" w:rsidRDefault="00A043E7" w:rsidP="00DD3E15">
            <w:pPr>
              <w:jc w:val="center"/>
              <w:rPr>
                <w:rFonts w:ascii="Arial" w:eastAsia="Times New Roman" w:hAnsi="Arial" w:cs="Arial"/>
                <w:b/>
                <w:bCs/>
                <w:sz w:val="18"/>
                <w:szCs w:val="18"/>
              </w:rPr>
            </w:pPr>
            <w:r w:rsidRPr="0073587A">
              <w:rPr>
                <w:rFonts w:ascii="Arial" w:eastAsia="Times New Roman" w:hAnsi="Arial" w:cs="Arial"/>
                <w:b/>
                <w:bCs/>
                <w:sz w:val="18"/>
                <w:szCs w:val="18"/>
              </w:rPr>
              <w:t>PECS</w:t>
            </w:r>
          </w:p>
        </w:tc>
        <w:tc>
          <w:tcPr>
            <w:tcW w:w="1076" w:type="dxa"/>
            <w:tcBorders>
              <w:top w:val="single" w:sz="8" w:space="0" w:color="auto"/>
              <w:left w:val="nil"/>
              <w:bottom w:val="single" w:sz="4" w:space="0" w:color="auto"/>
              <w:right w:val="nil"/>
            </w:tcBorders>
            <w:shd w:val="clear" w:color="000000" w:fill="C4BD97"/>
            <w:noWrap/>
            <w:vAlign w:val="center"/>
            <w:hideMark/>
          </w:tcPr>
          <w:p w:rsidR="00A043E7" w:rsidRPr="0073587A" w:rsidRDefault="00A043E7" w:rsidP="00DD3E15">
            <w:pPr>
              <w:jc w:val="center"/>
              <w:rPr>
                <w:rFonts w:ascii="Arial" w:eastAsia="Times New Roman" w:hAnsi="Arial" w:cs="Arial"/>
                <w:b/>
                <w:bCs/>
                <w:sz w:val="18"/>
                <w:szCs w:val="18"/>
              </w:rPr>
            </w:pPr>
            <w:r w:rsidRPr="0073587A">
              <w:rPr>
                <w:rFonts w:ascii="Arial" w:eastAsia="Times New Roman" w:hAnsi="Arial" w:cs="Arial"/>
                <w:b/>
                <w:bCs/>
                <w:sz w:val="18"/>
                <w:szCs w:val="18"/>
              </w:rPr>
              <w:t>SEFSec</w:t>
            </w:r>
          </w:p>
        </w:tc>
        <w:tc>
          <w:tcPr>
            <w:tcW w:w="267" w:type="dxa"/>
            <w:tcBorders>
              <w:top w:val="single" w:sz="8" w:space="0" w:color="auto"/>
              <w:left w:val="nil"/>
              <w:bottom w:val="single" w:sz="4" w:space="0" w:color="auto"/>
              <w:right w:val="nil"/>
            </w:tcBorders>
            <w:shd w:val="clear" w:color="000000" w:fill="C4BD97"/>
            <w:noWrap/>
            <w:vAlign w:val="center"/>
            <w:hideMark/>
          </w:tcPr>
          <w:p w:rsidR="00A043E7" w:rsidRPr="0073587A" w:rsidRDefault="00A043E7" w:rsidP="00DD3E15">
            <w:pPr>
              <w:jc w:val="center"/>
              <w:rPr>
                <w:rFonts w:ascii="Arial" w:eastAsia="Times New Roman" w:hAnsi="Arial" w:cs="Arial"/>
                <w:b/>
                <w:bCs/>
                <w:sz w:val="18"/>
                <w:szCs w:val="18"/>
              </w:rPr>
            </w:pPr>
            <w:r w:rsidRPr="0073587A">
              <w:rPr>
                <w:rFonts w:ascii="Arial" w:eastAsia="Times New Roman" w:hAnsi="Arial" w:cs="Arial"/>
                <w:b/>
                <w:bCs/>
                <w:sz w:val="18"/>
                <w:szCs w:val="18"/>
              </w:rPr>
              <w:t> </w:t>
            </w:r>
          </w:p>
        </w:tc>
        <w:tc>
          <w:tcPr>
            <w:tcW w:w="1078" w:type="dxa"/>
            <w:tcBorders>
              <w:top w:val="single" w:sz="8" w:space="0" w:color="auto"/>
              <w:left w:val="nil"/>
              <w:bottom w:val="single" w:sz="4" w:space="0" w:color="auto"/>
              <w:right w:val="nil"/>
            </w:tcBorders>
            <w:shd w:val="clear" w:color="000000" w:fill="C4BD97"/>
            <w:vAlign w:val="center"/>
            <w:hideMark/>
          </w:tcPr>
          <w:p w:rsidR="00A043E7" w:rsidRPr="004C68FC" w:rsidRDefault="00A043E7" w:rsidP="00DD3E15">
            <w:pPr>
              <w:jc w:val="center"/>
              <w:rPr>
                <w:rFonts w:asciiTheme="minorHAnsi" w:eastAsia="Times New Roman" w:hAnsiTheme="minorHAnsi" w:cs="Arial"/>
                <w:b/>
                <w:bCs/>
                <w:sz w:val="18"/>
                <w:szCs w:val="18"/>
              </w:rPr>
            </w:pPr>
            <w:r w:rsidRPr="004C68FC">
              <w:rPr>
                <w:rFonts w:asciiTheme="minorHAnsi" w:eastAsia="Times New Roman" w:hAnsiTheme="minorHAnsi" w:cs="Arial"/>
                <w:b/>
                <w:bCs/>
                <w:sz w:val="18"/>
                <w:szCs w:val="18"/>
              </w:rPr>
              <w:t>Differ-</w:t>
            </w:r>
            <w:r w:rsidRPr="004C68FC">
              <w:rPr>
                <w:rFonts w:asciiTheme="minorHAnsi" w:eastAsia="Times New Roman" w:hAnsiTheme="minorHAnsi" w:cs="Arial"/>
                <w:b/>
                <w:bCs/>
                <w:sz w:val="18"/>
                <w:szCs w:val="18"/>
              </w:rPr>
              <w:br/>
              <w:t>ence</w:t>
            </w:r>
          </w:p>
        </w:tc>
        <w:tc>
          <w:tcPr>
            <w:tcW w:w="979" w:type="dxa"/>
            <w:tcBorders>
              <w:top w:val="single" w:sz="8" w:space="0" w:color="auto"/>
              <w:left w:val="nil"/>
              <w:bottom w:val="single" w:sz="4" w:space="0" w:color="auto"/>
              <w:right w:val="nil"/>
            </w:tcBorders>
            <w:shd w:val="clear" w:color="000000" w:fill="C4BD97"/>
            <w:vAlign w:val="center"/>
            <w:hideMark/>
          </w:tcPr>
          <w:p w:rsidR="00A043E7" w:rsidRPr="004C68FC" w:rsidRDefault="00A043E7" w:rsidP="00DD3E15">
            <w:pPr>
              <w:jc w:val="center"/>
              <w:rPr>
                <w:rFonts w:asciiTheme="minorHAnsi" w:eastAsia="Times New Roman" w:hAnsiTheme="minorHAnsi"/>
                <w:b/>
                <w:bCs/>
                <w:color w:val="000000"/>
                <w:sz w:val="18"/>
                <w:szCs w:val="18"/>
              </w:rPr>
            </w:pPr>
            <w:r w:rsidRPr="004C68FC">
              <w:rPr>
                <w:rFonts w:asciiTheme="minorHAnsi" w:eastAsia="Times New Roman" w:hAnsiTheme="minorHAnsi"/>
                <w:b/>
                <w:bCs/>
                <w:color w:val="000000"/>
                <w:sz w:val="18"/>
                <w:szCs w:val="18"/>
              </w:rPr>
              <w:t>Percent difference</w:t>
            </w:r>
          </w:p>
        </w:tc>
      </w:tr>
      <w:tr w:rsidR="00A043E7" w:rsidRPr="0073587A" w:rsidTr="00DD3E15">
        <w:trPr>
          <w:trHeight w:val="300"/>
        </w:trPr>
        <w:tc>
          <w:tcPr>
            <w:tcW w:w="6140" w:type="dxa"/>
            <w:gridSpan w:val="4"/>
            <w:tcBorders>
              <w:top w:val="nil"/>
              <w:left w:val="nil"/>
              <w:bottom w:val="nil"/>
              <w:right w:val="nil"/>
            </w:tcBorders>
            <w:shd w:val="clear" w:color="auto" w:fill="auto"/>
            <w:vAlign w:val="center"/>
            <w:hideMark/>
          </w:tcPr>
          <w:p w:rsidR="00A043E7" w:rsidRPr="0073587A" w:rsidRDefault="00A043E7" w:rsidP="00DD3E15">
            <w:pPr>
              <w:rPr>
                <w:rFonts w:ascii="Calibri" w:eastAsia="Times New Roman" w:hAnsi="Calibri"/>
                <w:color w:val="000000"/>
                <w:sz w:val="20"/>
                <w:szCs w:val="20"/>
              </w:rPr>
            </w:pPr>
            <w:r w:rsidRPr="0073587A">
              <w:rPr>
                <w:rFonts w:ascii="Calibri" w:eastAsia="Times New Roman" w:hAnsi="Calibri"/>
                <w:b/>
                <w:bCs/>
                <w:color w:val="000000"/>
                <w:sz w:val="22"/>
                <w:szCs w:val="22"/>
              </w:rPr>
              <w:t>Asset ownership (percent of households)</w:t>
            </w:r>
          </w:p>
        </w:tc>
        <w:tc>
          <w:tcPr>
            <w:tcW w:w="267"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0"/>
                <w:szCs w:val="20"/>
              </w:rPr>
            </w:pPr>
          </w:p>
        </w:tc>
        <w:tc>
          <w:tcPr>
            <w:tcW w:w="1078"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0"/>
                <w:szCs w:val="20"/>
              </w:rPr>
            </w:pPr>
          </w:p>
        </w:tc>
        <w:tc>
          <w:tcPr>
            <w:tcW w:w="979" w:type="dxa"/>
            <w:tcBorders>
              <w:top w:val="nil"/>
              <w:left w:val="nil"/>
              <w:bottom w:val="nil"/>
              <w:right w:val="nil"/>
            </w:tcBorders>
            <w:shd w:val="clear" w:color="auto" w:fill="auto"/>
            <w:noWrap/>
            <w:vAlign w:val="bottom"/>
            <w:hideMark/>
          </w:tcPr>
          <w:p w:rsidR="00A043E7" w:rsidRPr="0073587A" w:rsidRDefault="00A043E7" w:rsidP="00DD3E15">
            <w:pPr>
              <w:rPr>
                <w:rFonts w:ascii="Arial" w:eastAsia="Times New Roman" w:hAnsi="Arial" w:cs="Arial"/>
                <w:sz w:val="20"/>
                <w:szCs w:val="20"/>
              </w:rPr>
            </w:pPr>
          </w:p>
        </w:tc>
      </w:tr>
      <w:tr w:rsidR="00A043E7" w:rsidRPr="0073587A" w:rsidTr="00DD3E15">
        <w:trPr>
          <w:trHeight w:val="300"/>
        </w:trPr>
        <w:tc>
          <w:tcPr>
            <w:tcW w:w="3885"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r w:rsidRPr="0073587A">
              <w:rPr>
                <w:rFonts w:ascii="Calibri" w:eastAsia="Times New Roman" w:hAnsi="Calibri"/>
                <w:color w:val="000000"/>
                <w:sz w:val="22"/>
                <w:szCs w:val="22"/>
              </w:rPr>
              <w:t xml:space="preserve">     Central heating</w:t>
            </w:r>
          </w:p>
        </w:tc>
        <w:tc>
          <w:tcPr>
            <w:tcW w:w="267"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912"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2.1</w:t>
            </w:r>
          </w:p>
        </w:tc>
        <w:tc>
          <w:tcPr>
            <w:tcW w:w="1076"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4.6</w:t>
            </w:r>
          </w:p>
        </w:tc>
        <w:tc>
          <w:tcPr>
            <w:tcW w:w="267"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1078"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-2.5</w:t>
            </w:r>
          </w:p>
        </w:tc>
        <w:tc>
          <w:tcPr>
            <w:tcW w:w="979"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-53.3</w:t>
            </w:r>
          </w:p>
        </w:tc>
      </w:tr>
      <w:tr w:rsidR="00A043E7" w:rsidRPr="0073587A" w:rsidTr="00DD3E15">
        <w:trPr>
          <w:trHeight w:val="300"/>
        </w:trPr>
        <w:tc>
          <w:tcPr>
            <w:tcW w:w="3885"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r w:rsidRPr="0073587A">
              <w:rPr>
                <w:rFonts w:ascii="Calibri" w:eastAsia="Times New Roman" w:hAnsi="Calibri"/>
                <w:color w:val="000000"/>
                <w:sz w:val="22"/>
                <w:szCs w:val="22"/>
              </w:rPr>
              <w:t xml:space="preserve">     Vacuum cleaner</w:t>
            </w:r>
          </w:p>
        </w:tc>
        <w:tc>
          <w:tcPr>
            <w:tcW w:w="267"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912"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31.0</w:t>
            </w:r>
          </w:p>
        </w:tc>
        <w:tc>
          <w:tcPr>
            <w:tcW w:w="1076"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32.4</w:t>
            </w:r>
          </w:p>
        </w:tc>
        <w:tc>
          <w:tcPr>
            <w:tcW w:w="267"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1078"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-1.4</w:t>
            </w:r>
          </w:p>
        </w:tc>
        <w:tc>
          <w:tcPr>
            <w:tcW w:w="979"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-4.3</w:t>
            </w:r>
          </w:p>
        </w:tc>
      </w:tr>
      <w:tr w:rsidR="00A043E7" w:rsidRPr="0073587A" w:rsidTr="00DD3E15">
        <w:trPr>
          <w:trHeight w:val="300"/>
        </w:trPr>
        <w:tc>
          <w:tcPr>
            <w:tcW w:w="3885"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r w:rsidRPr="0073587A">
              <w:rPr>
                <w:rFonts w:ascii="Calibri" w:eastAsia="Times New Roman" w:hAnsi="Calibri"/>
                <w:color w:val="000000"/>
                <w:sz w:val="22"/>
                <w:szCs w:val="22"/>
              </w:rPr>
              <w:t xml:space="preserve">     VCR/DVD</w:t>
            </w:r>
          </w:p>
        </w:tc>
        <w:tc>
          <w:tcPr>
            <w:tcW w:w="267"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912"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21.6</w:t>
            </w:r>
          </w:p>
        </w:tc>
        <w:tc>
          <w:tcPr>
            <w:tcW w:w="1076"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23.5</w:t>
            </w:r>
          </w:p>
        </w:tc>
        <w:tc>
          <w:tcPr>
            <w:tcW w:w="267"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1078"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-2.0</w:t>
            </w:r>
          </w:p>
        </w:tc>
        <w:tc>
          <w:tcPr>
            <w:tcW w:w="979"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-8.5</w:t>
            </w:r>
          </w:p>
        </w:tc>
      </w:tr>
      <w:tr w:rsidR="00A043E7" w:rsidRPr="0073587A" w:rsidTr="00DD3E15">
        <w:trPr>
          <w:trHeight w:val="300"/>
        </w:trPr>
        <w:tc>
          <w:tcPr>
            <w:tcW w:w="3885"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r w:rsidRPr="0073587A">
              <w:rPr>
                <w:rFonts w:ascii="Calibri" w:eastAsia="Times New Roman" w:hAnsi="Calibri"/>
                <w:color w:val="000000"/>
                <w:sz w:val="22"/>
                <w:szCs w:val="22"/>
              </w:rPr>
              <w:t xml:space="preserve">     Telephone</w:t>
            </w:r>
          </w:p>
        </w:tc>
        <w:tc>
          <w:tcPr>
            <w:tcW w:w="267"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912"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38.8</w:t>
            </w:r>
          </w:p>
        </w:tc>
        <w:tc>
          <w:tcPr>
            <w:tcW w:w="1076"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40.2</w:t>
            </w:r>
          </w:p>
        </w:tc>
        <w:tc>
          <w:tcPr>
            <w:tcW w:w="267"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1078"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-1.4</w:t>
            </w:r>
          </w:p>
        </w:tc>
        <w:tc>
          <w:tcPr>
            <w:tcW w:w="979"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-3.5</w:t>
            </w:r>
          </w:p>
        </w:tc>
      </w:tr>
      <w:tr w:rsidR="00A043E7" w:rsidRPr="0073587A" w:rsidTr="00DD3E15">
        <w:trPr>
          <w:trHeight w:val="300"/>
        </w:trPr>
        <w:tc>
          <w:tcPr>
            <w:tcW w:w="3885"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r w:rsidRPr="0073587A">
              <w:rPr>
                <w:rFonts w:ascii="Calibri" w:eastAsia="Times New Roman" w:hAnsi="Calibri"/>
                <w:color w:val="000000"/>
                <w:sz w:val="22"/>
                <w:szCs w:val="22"/>
              </w:rPr>
              <w:t xml:space="preserve">     Cell phone</w:t>
            </w:r>
          </w:p>
        </w:tc>
        <w:tc>
          <w:tcPr>
            <w:tcW w:w="267"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912"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96.6</w:t>
            </w:r>
          </w:p>
        </w:tc>
        <w:tc>
          <w:tcPr>
            <w:tcW w:w="1076"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95.7</w:t>
            </w:r>
          </w:p>
        </w:tc>
        <w:tc>
          <w:tcPr>
            <w:tcW w:w="267"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1078"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0.9</w:t>
            </w:r>
          </w:p>
        </w:tc>
        <w:tc>
          <w:tcPr>
            <w:tcW w:w="979"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0.9</w:t>
            </w:r>
          </w:p>
        </w:tc>
      </w:tr>
      <w:tr w:rsidR="00A043E7" w:rsidRPr="0073587A" w:rsidTr="00DD3E15">
        <w:trPr>
          <w:trHeight w:val="300"/>
        </w:trPr>
        <w:tc>
          <w:tcPr>
            <w:tcW w:w="3885"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r w:rsidRPr="0073587A">
              <w:rPr>
                <w:rFonts w:ascii="Calibri" w:eastAsia="Times New Roman" w:hAnsi="Calibri"/>
                <w:color w:val="000000"/>
                <w:sz w:val="22"/>
                <w:szCs w:val="22"/>
              </w:rPr>
              <w:t xml:space="preserve">     Computer</w:t>
            </w:r>
          </w:p>
        </w:tc>
        <w:tc>
          <w:tcPr>
            <w:tcW w:w="267"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912"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50.7</w:t>
            </w:r>
          </w:p>
        </w:tc>
        <w:tc>
          <w:tcPr>
            <w:tcW w:w="1076"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53.0</w:t>
            </w:r>
          </w:p>
        </w:tc>
        <w:tc>
          <w:tcPr>
            <w:tcW w:w="267"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1078"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-2.3</w:t>
            </w:r>
          </w:p>
        </w:tc>
        <w:tc>
          <w:tcPr>
            <w:tcW w:w="979"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-4.3</w:t>
            </w:r>
          </w:p>
        </w:tc>
      </w:tr>
      <w:tr w:rsidR="00A043E7" w:rsidRPr="0073587A" w:rsidTr="00DD3E15">
        <w:trPr>
          <w:trHeight w:val="300"/>
        </w:trPr>
        <w:tc>
          <w:tcPr>
            <w:tcW w:w="3885"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r w:rsidRPr="0073587A">
              <w:rPr>
                <w:rFonts w:ascii="Calibri" w:eastAsia="Times New Roman" w:hAnsi="Calibri"/>
                <w:color w:val="000000"/>
                <w:sz w:val="22"/>
                <w:szCs w:val="22"/>
              </w:rPr>
              <w:t xml:space="preserve">     Microwave</w:t>
            </w:r>
          </w:p>
        </w:tc>
        <w:tc>
          <w:tcPr>
            <w:tcW w:w="267"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912"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32.3</w:t>
            </w:r>
          </w:p>
        </w:tc>
        <w:tc>
          <w:tcPr>
            <w:tcW w:w="1076"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32.5</w:t>
            </w:r>
          </w:p>
        </w:tc>
        <w:tc>
          <w:tcPr>
            <w:tcW w:w="267"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1078"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-0.3</w:t>
            </w:r>
          </w:p>
        </w:tc>
        <w:tc>
          <w:tcPr>
            <w:tcW w:w="979"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-0.9</w:t>
            </w:r>
          </w:p>
        </w:tc>
      </w:tr>
      <w:tr w:rsidR="00A043E7" w:rsidRPr="0073587A" w:rsidTr="00DD3E15">
        <w:trPr>
          <w:trHeight w:val="300"/>
        </w:trPr>
        <w:tc>
          <w:tcPr>
            <w:tcW w:w="3885"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r w:rsidRPr="0073587A">
              <w:rPr>
                <w:rFonts w:ascii="Calibri" w:eastAsia="Times New Roman" w:hAnsi="Calibri"/>
                <w:color w:val="000000"/>
                <w:sz w:val="22"/>
                <w:szCs w:val="22"/>
              </w:rPr>
              <w:t xml:space="preserve">     Private car</w:t>
            </w:r>
          </w:p>
        </w:tc>
        <w:tc>
          <w:tcPr>
            <w:tcW w:w="267"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912"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20.2</w:t>
            </w:r>
          </w:p>
        </w:tc>
        <w:tc>
          <w:tcPr>
            <w:tcW w:w="1076"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21.5</w:t>
            </w:r>
          </w:p>
        </w:tc>
        <w:tc>
          <w:tcPr>
            <w:tcW w:w="267"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1078"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-1.3</w:t>
            </w:r>
          </w:p>
        </w:tc>
        <w:tc>
          <w:tcPr>
            <w:tcW w:w="979"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-6.0</w:t>
            </w:r>
          </w:p>
        </w:tc>
      </w:tr>
      <w:tr w:rsidR="00A043E7" w:rsidRPr="0073587A" w:rsidTr="00DD3E15">
        <w:trPr>
          <w:trHeight w:val="300"/>
        </w:trPr>
        <w:tc>
          <w:tcPr>
            <w:tcW w:w="3885"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b/>
                <w:bCs/>
                <w:color w:val="000000"/>
                <w:sz w:val="22"/>
                <w:szCs w:val="22"/>
              </w:rPr>
            </w:pPr>
            <w:r w:rsidRPr="0073587A">
              <w:rPr>
                <w:rFonts w:ascii="Calibri" w:eastAsia="Times New Roman" w:hAnsi="Calibri"/>
                <w:b/>
                <w:bCs/>
                <w:color w:val="000000"/>
                <w:sz w:val="22"/>
                <w:szCs w:val="22"/>
              </w:rPr>
              <w:t>Dwelling characteristics</w:t>
            </w:r>
          </w:p>
        </w:tc>
        <w:tc>
          <w:tcPr>
            <w:tcW w:w="267"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912"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1076"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267"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1078"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979"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r>
      <w:tr w:rsidR="00A043E7" w:rsidRPr="0073587A" w:rsidTr="00DD3E15">
        <w:trPr>
          <w:trHeight w:val="300"/>
        </w:trPr>
        <w:tc>
          <w:tcPr>
            <w:tcW w:w="3885"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r w:rsidRPr="0073587A">
              <w:rPr>
                <w:rFonts w:ascii="Calibri" w:eastAsia="Times New Roman" w:hAnsi="Calibri"/>
                <w:color w:val="000000"/>
                <w:sz w:val="22"/>
                <w:szCs w:val="22"/>
              </w:rPr>
              <w:t xml:space="preserve">     Heating from gas, kerosene or electric</w:t>
            </w:r>
          </w:p>
        </w:tc>
        <w:tc>
          <w:tcPr>
            <w:tcW w:w="267"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912"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55.0</w:t>
            </w:r>
          </w:p>
        </w:tc>
        <w:tc>
          <w:tcPr>
            <w:tcW w:w="1076"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53.5</w:t>
            </w:r>
          </w:p>
        </w:tc>
        <w:tc>
          <w:tcPr>
            <w:tcW w:w="267"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1078"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1.5</w:t>
            </w:r>
          </w:p>
        </w:tc>
        <w:tc>
          <w:tcPr>
            <w:tcW w:w="979"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2.9</w:t>
            </w:r>
          </w:p>
        </w:tc>
      </w:tr>
      <w:tr w:rsidR="00A043E7" w:rsidRPr="0073587A" w:rsidTr="00DD3E15">
        <w:trPr>
          <w:trHeight w:val="300"/>
        </w:trPr>
        <w:tc>
          <w:tcPr>
            <w:tcW w:w="3885"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b/>
                <w:bCs/>
                <w:color w:val="000000"/>
                <w:sz w:val="22"/>
                <w:szCs w:val="22"/>
              </w:rPr>
            </w:pPr>
            <w:r w:rsidRPr="0073587A">
              <w:rPr>
                <w:rFonts w:ascii="Calibri" w:eastAsia="Times New Roman" w:hAnsi="Calibri"/>
                <w:b/>
                <w:bCs/>
                <w:color w:val="000000"/>
                <w:sz w:val="22"/>
                <w:szCs w:val="22"/>
              </w:rPr>
              <w:t>Demographic characteristics</w:t>
            </w:r>
          </w:p>
        </w:tc>
        <w:tc>
          <w:tcPr>
            <w:tcW w:w="267"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912"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1076"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267"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1078"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979" w:type="dxa"/>
            <w:tcBorders>
              <w:top w:val="nil"/>
              <w:left w:val="nil"/>
              <w:bottom w:val="nil"/>
              <w:right w:val="nil"/>
            </w:tcBorders>
            <w:shd w:val="clear" w:color="auto" w:fill="auto"/>
            <w:noWrap/>
            <w:vAlign w:val="bottom"/>
            <w:hideMark/>
          </w:tcPr>
          <w:p w:rsidR="00A043E7" w:rsidRPr="0073587A" w:rsidRDefault="00A043E7" w:rsidP="00DD3E15">
            <w:pPr>
              <w:rPr>
                <w:rFonts w:ascii="Arial" w:eastAsia="Times New Roman" w:hAnsi="Arial" w:cs="Arial"/>
                <w:sz w:val="20"/>
                <w:szCs w:val="20"/>
              </w:rPr>
            </w:pPr>
          </w:p>
        </w:tc>
      </w:tr>
      <w:tr w:rsidR="00A043E7" w:rsidRPr="0073587A" w:rsidTr="00DD3E15">
        <w:trPr>
          <w:trHeight w:val="300"/>
        </w:trPr>
        <w:tc>
          <w:tcPr>
            <w:tcW w:w="3885"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r w:rsidRPr="0073587A">
              <w:rPr>
                <w:rFonts w:ascii="Calibri" w:eastAsia="Times New Roman" w:hAnsi="Calibri"/>
                <w:color w:val="000000"/>
                <w:sz w:val="22"/>
                <w:szCs w:val="22"/>
              </w:rPr>
              <w:t xml:space="preserve">     Household size</w:t>
            </w:r>
          </w:p>
        </w:tc>
        <w:tc>
          <w:tcPr>
            <w:tcW w:w="267"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912"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6.0</w:t>
            </w:r>
          </w:p>
        </w:tc>
        <w:tc>
          <w:tcPr>
            <w:tcW w:w="1076"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5.7</w:t>
            </w:r>
          </w:p>
        </w:tc>
        <w:tc>
          <w:tcPr>
            <w:tcW w:w="267"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1078"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0.3</w:t>
            </w:r>
          </w:p>
        </w:tc>
        <w:tc>
          <w:tcPr>
            <w:tcW w:w="979"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4.6</w:t>
            </w:r>
          </w:p>
        </w:tc>
      </w:tr>
      <w:tr w:rsidR="00A043E7" w:rsidRPr="0073587A" w:rsidTr="00DD3E15">
        <w:trPr>
          <w:trHeight w:val="300"/>
        </w:trPr>
        <w:tc>
          <w:tcPr>
            <w:tcW w:w="3885"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r w:rsidRPr="0073587A">
              <w:rPr>
                <w:rFonts w:ascii="Calibri" w:eastAsia="Times New Roman" w:hAnsi="Calibri"/>
                <w:color w:val="000000"/>
                <w:sz w:val="22"/>
                <w:szCs w:val="22"/>
              </w:rPr>
              <w:t xml:space="preserve">     Refugee household</w:t>
            </w:r>
          </w:p>
        </w:tc>
        <w:tc>
          <w:tcPr>
            <w:tcW w:w="267"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912"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47.2</w:t>
            </w:r>
          </w:p>
        </w:tc>
        <w:tc>
          <w:tcPr>
            <w:tcW w:w="1076"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49.9</w:t>
            </w:r>
          </w:p>
        </w:tc>
        <w:tc>
          <w:tcPr>
            <w:tcW w:w="267"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1078"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-2.7</w:t>
            </w:r>
          </w:p>
        </w:tc>
        <w:tc>
          <w:tcPr>
            <w:tcW w:w="979" w:type="dxa"/>
            <w:tcBorders>
              <w:top w:val="nil"/>
              <w:left w:val="nil"/>
              <w:bottom w:val="nil"/>
              <w:right w:val="nil"/>
            </w:tcBorders>
            <w:shd w:val="clear" w:color="auto" w:fill="auto"/>
            <w:noWrap/>
            <w:vAlign w:val="bottom"/>
            <w:hideMark/>
          </w:tcPr>
          <w:p w:rsidR="00A043E7" w:rsidRPr="0073587A" w:rsidRDefault="00A043E7" w:rsidP="00DD3E15">
            <w:pPr>
              <w:jc w:val="right"/>
              <w:rPr>
                <w:rFonts w:ascii="Calibri" w:eastAsia="Times New Roman" w:hAnsi="Calibri"/>
                <w:color w:val="000000"/>
                <w:sz w:val="22"/>
                <w:szCs w:val="22"/>
              </w:rPr>
            </w:pPr>
            <w:r w:rsidRPr="0073587A">
              <w:rPr>
                <w:rFonts w:ascii="Calibri" w:eastAsia="Times New Roman" w:hAnsi="Calibri"/>
                <w:color w:val="000000"/>
                <w:sz w:val="22"/>
                <w:szCs w:val="22"/>
              </w:rPr>
              <w:t>-5.5</w:t>
            </w:r>
          </w:p>
        </w:tc>
      </w:tr>
      <w:tr w:rsidR="00A043E7" w:rsidRPr="0073587A" w:rsidTr="00DD3E15">
        <w:trPr>
          <w:trHeight w:val="300"/>
        </w:trPr>
        <w:tc>
          <w:tcPr>
            <w:tcW w:w="3885"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r w:rsidRPr="0073587A">
              <w:rPr>
                <w:rFonts w:ascii="Calibri" w:eastAsia="Times New Roman" w:hAnsi="Calibri"/>
                <w:color w:val="000000"/>
                <w:sz w:val="22"/>
                <w:szCs w:val="22"/>
              </w:rPr>
              <w:t>Number of observations</w:t>
            </w:r>
          </w:p>
        </w:tc>
        <w:tc>
          <w:tcPr>
            <w:tcW w:w="267"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912" w:type="dxa"/>
            <w:tcBorders>
              <w:top w:val="nil"/>
              <w:left w:val="nil"/>
              <w:bottom w:val="nil"/>
              <w:right w:val="nil"/>
            </w:tcBorders>
            <w:shd w:val="clear" w:color="auto" w:fill="auto"/>
            <w:noWrap/>
            <w:vAlign w:val="bottom"/>
            <w:hideMark/>
          </w:tcPr>
          <w:p w:rsidR="00A043E7" w:rsidRPr="0073587A" w:rsidRDefault="00A043E7" w:rsidP="005E68D1">
            <w:pPr>
              <w:jc w:val="right"/>
              <w:rPr>
                <w:rFonts w:ascii="Calibri" w:eastAsia="Times New Roman" w:hAnsi="Calibri"/>
                <w:color w:val="000000"/>
                <w:sz w:val="22"/>
                <w:szCs w:val="22"/>
              </w:rPr>
            </w:pPr>
            <w:r w:rsidRPr="0073587A">
              <w:rPr>
                <w:rFonts w:ascii="Calibri" w:eastAsia="Times New Roman" w:hAnsi="Calibri"/>
                <w:color w:val="000000"/>
                <w:sz w:val="22"/>
                <w:szCs w:val="22"/>
              </w:rPr>
              <w:t xml:space="preserve">      </w:t>
            </w:r>
            <w:r w:rsidR="005E68D1">
              <w:rPr>
                <w:rFonts w:ascii="Calibri" w:eastAsia="Times New Roman" w:hAnsi="Calibri"/>
                <w:color w:val="000000"/>
                <w:sz w:val="22"/>
                <w:szCs w:val="22"/>
              </w:rPr>
              <w:t xml:space="preserve">    </w:t>
            </w:r>
            <w:r w:rsidRPr="0073587A">
              <w:rPr>
                <w:rFonts w:ascii="Calibri" w:eastAsia="Times New Roman" w:hAnsi="Calibri"/>
                <w:color w:val="000000"/>
                <w:sz w:val="22"/>
                <w:szCs w:val="22"/>
              </w:rPr>
              <w:t xml:space="preserve">4,309 </w:t>
            </w:r>
          </w:p>
        </w:tc>
        <w:tc>
          <w:tcPr>
            <w:tcW w:w="1076" w:type="dxa"/>
            <w:tcBorders>
              <w:top w:val="nil"/>
              <w:left w:val="nil"/>
              <w:bottom w:val="nil"/>
              <w:right w:val="nil"/>
            </w:tcBorders>
            <w:shd w:val="clear" w:color="auto" w:fill="auto"/>
            <w:noWrap/>
            <w:vAlign w:val="bottom"/>
            <w:hideMark/>
          </w:tcPr>
          <w:p w:rsidR="00A043E7" w:rsidRPr="0073587A" w:rsidRDefault="00A043E7" w:rsidP="005E68D1">
            <w:pPr>
              <w:jc w:val="right"/>
              <w:rPr>
                <w:rFonts w:ascii="Calibri" w:eastAsia="Times New Roman" w:hAnsi="Calibri"/>
                <w:color w:val="000000"/>
                <w:sz w:val="22"/>
                <w:szCs w:val="22"/>
              </w:rPr>
            </w:pPr>
            <w:r w:rsidRPr="0073587A">
              <w:rPr>
                <w:rFonts w:ascii="Calibri" w:eastAsia="Times New Roman" w:hAnsi="Calibri"/>
                <w:color w:val="000000"/>
                <w:sz w:val="22"/>
                <w:szCs w:val="22"/>
              </w:rPr>
              <w:t xml:space="preserve">         7,846 </w:t>
            </w:r>
          </w:p>
        </w:tc>
        <w:tc>
          <w:tcPr>
            <w:tcW w:w="267"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1078"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c>
          <w:tcPr>
            <w:tcW w:w="979" w:type="dxa"/>
            <w:tcBorders>
              <w:top w:val="nil"/>
              <w:left w:val="nil"/>
              <w:bottom w:val="nil"/>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p>
        </w:tc>
      </w:tr>
      <w:tr w:rsidR="00A043E7" w:rsidRPr="0073587A" w:rsidTr="00DD3E15">
        <w:trPr>
          <w:trHeight w:val="120"/>
        </w:trPr>
        <w:tc>
          <w:tcPr>
            <w:tcW w:w="3885" w:type="dxa"/>
            <w:tcBorders>
              <w:top w:val="nil"/>
              <w:left w:val="nil"/>
              <w:bottom w:val="single" w:sz="8" w:space="0" w:color="auto"/>
              <w:right w:val="nil"/>
            </w:tcBorders>
            <w:shd w:val="clear" w:color="auto" w:fill="auto"/>
            <w:vAlign w:val="bottom"/>
            <w:hideMark/>
          </w:tcPr>
          <w:p w:rsidR="00A043E7" w:rsidRPr="0073587A" w:rsidRDefault="00A043E7" w:rsidP="00DD3E15">
            <w:pPr>
              <w:rPr>
                <w:rFonts w:ascii="Calibri" w:eastAsia="Times New Roman" w:hAnsi="Calibri"/>
                <w:color w:val="000000"/>
                <w:sz w:val="22"/>
                <w:szCs w:val="22"/>
              </w:rPr>
            </w:pPr>
            <w:r w:rsidRPr="0073587A">
              <w:rPr>
                <w:rFonts w:ascii="Calibri" w:eastAsia="Times New Roman" w:hAnsi="Calibri"/>
                <w:color w:val="000000"/>
                <w:sz w:val="22"/>
                <w:szCs w:val="22"/>
              </w:rPr>
              <w:t> </w:t>
            </w:r>
          </w:p>
        </w:tc>
        <w:tc>
          <w:tcPr>
            <w:tcW w:w="267" w:type="dxa"/>
            <w:tcBorders>
              <w:top w:val="nil"/>
              <w:left w:val="nil"/>
              <w:bottom w:val="single" w:sz="8" w:space="0" w:color="auto"/>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r w:rsidRPr="0073587A">
              <w:rPr>
                <w:rFonts w:ascii="Calibri" w:eastAsia="Times New Roman" w:hAnsi="Calibri"/>
                <w:color w:val="000000"/>
                <w:sz w:val="22"/>
                <w:szCs w:val="22"/>
              </w:rPr>
              <w:t> </w:t>
            </w:r>
          </w:p>
        </w:tc>
        <w:tc>
          <w:tcPr>
            <w:tcW w:w="912" w:type="dxa"/>
            <w:tcBorders>
              <w:top w:val="nil"/>
              <w:left w:val="nil"/>
              <w:bottom w:val="single" w:sz="8" w:space="0" w:color="auto"/>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r w:rsidRPr="0073587A">
              <w:rPr>
                <w:rFonts w:ascii="Calibri" w:eastAsia="Times New Roman" w:hAnsi="Calibri"/>
                <w:color w:val="000000"/>
                <w:sz w:val="22"/>
                <w:szCs w:val="22"/>
              </w:rPr>
              <w:t> </w:t>
            </w:r>
          </w:p>
        </w:tc>
        <w:tc>
          <w:tcPr>
            <w:tcW w:w="1076" w:type="dxa"/>
            <w:tcBorders>
              <w:top w:val="nil"/>
              <w:left w:val="nil"/>
              <w:bottom w:val="single" w:sz="8" w:space="0" w:color="auto"/>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r w:rsidRPr="0073587A">
              <w:rPr>
                <w:rFonts w:ascii="Calibri" w:eastAsia="Times New Roman" w:hAnsi="Calibri"/>
                <w:color w:val="000000"/>
                <w:sz w:val="22"/>
                <w:szCs w:val="22"/>
              </w:rPr>
              <w:t> </w:t>
            </w:r>
          </w:p>
        </w:tc>
        <w:tc>
          <w:tcPr>
            <w:tcW w:w="267" w:type="dxa"/>
            <w:tcBorders>
              <w:top w:val="nil"/>
              <w:left w:val="nil"/>
              <w:bottom w:val="single" w:sz="8" w:space="0" w:color="auto"/>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r w:rsidRPr="0073587A">
              <w:rPr>
                <w:rFonts w:ascii="Calibri" w:eastAsia="Times New Roman" w:hAnsi="Calibri"/>
                <w:color w:val="000000"/>
                <w:sz w:val="22"/>
                <w:szCs w:val="22"/>
              </w:rPr>
              <w:t> </w:t>
            </w:r>
          </w:p>
        </w:tc>
        <w:tc>
          <w:tcPr>
            <w:tcW w:w="1078" w:type="dxa"/>
            <w:tcBorders>
              <w:top w:val="nil"/>
              <w:left w:val="nil"/>
              <w:bottom w:val="single" w:sz="8" w:space="0" w:color="auto"/>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r w:rsidRPr="0073587A">
              <w:rPr>
                <w:rFonts w:ascii="Calibri" w:eastAsia="Times New Roman" w:hAnsi="Calibri"/>
                <w:color w:val="000000"/>
                <w:sz w:val="22"/>
                <w:szCs w:val="22"/>
              </w:rPr>
              <w:t> </w:t>
            </w:r>
          </w:p>
        </w:tc>
        <w:tc>
          <w:tcPr>
            <w:tcW w:w="979" w:type="dxa"/>
            <w:tcBorders>
              <w:top w:val="nil"/>
              <w:left w:val="nil"/>
              <w:bottom w:val="single" w:sz="8" w:space="0" w:color="auto"/>
              <w:right w:val="nil"/>
            </w:tcBorders>
            <w:shd w:val="clear" w:color="auto" w:fill="auto"/>
            <w:noWrap/>
            <w:vAlign w:val="bottom"/>
            <w:hideMark/>
          </w:tcPr>
          <w:p w:rsidR="00A043E7" w:rsidRPr="0073587A" w:rsidRDefault="00A043E7" w:rsidP="00DD3E15">
            <w:pPr>
              <w:rPr>
                <w:rFonts w:ascii="Calibri" w:eastAsia="Times New Roman" w:hAnsi="Calibri"/>
                <w:color w:val="000000"/>
                <w:sz w:val="22"/>
                <w:szCs w:val="22"/>
              </w:rPr>
            </w:pPr>
            <w:r w:rsidRPr="0073587A">
              <w:rPr>
                <w:rFonts w:ascii="Calibri" w:eastAsia="Times New Roman" w:hAnsi="Calibri"/>
                <w:color w:val="000000"/>
                <w:sz w:val="22"/>
                <w:szCs w:val="22"/>
              </w:rPr>
              <w:t> </w:t>
            </w:r>
          </w:p>
        </w:tc>
      </w:tr>
    </w:tbl>
    <w:p w:rsidR="00A043E7" w:rsidRDefault="00A043E7" w:rsidP="00A043E7">
      <w:r w:rsidRPr="0091289D">
        <w:rPr>
          <w:rFonts w:asciiTheme="minorHAnsi" w:hAnsiTheme="minorHAnsi"/>
          <w:sz w:val="20"/>
          <w:szCs w:val="20"/>
        </w:rPr>
        <w:t>Note:  All variable means are survey-weight corrected.</w:t>
      </w:r>
    </w:p>
    <w:p w:rsidR="00A043E7" w:rsidRDefault="00A043E7" w:rsidP="00A043E7">
      <w:r>
        <w:br w:type="page"/>
      </w:r>
    </w:p>
    <w:p w:rsidR="00FC50E4" w:rsidRPr="009321C3" w:rsidRDefault="00BD7E3D" w:rsidP="00FC50E4">
      <w:pPr>
        <w:pStyle w:val="Heading3"/>
        <w:numPr>
          <w:ilvl w:val="0"/>
          <w:numId w:val="0"/>
        </w:numPr>
        <w:ind w:left="432"/>
        <w:rPr>
          <w:rFonts w:asciiTheme="minorHAnsi" w:hAnsiTheme="minorHAnsi"/>
          <w:sz w:val="28"/>
          <w:szCs w:val="28"/>
        </w:rPr>
      </w:pPr>
      <w:bookmarkStart w:id="23" w:name="_Toc395979706"/>
      <w:r w:rsidRPr="009321C3">
        <w:rPr>
          <w:rFonts w:asciiTheme="minorHAnsi" w:hAnsiTheme="minorHAnsi"/>
          <w:color w:val="365F91" w:themeColor="accent1" w:themeShade="BF"/>
          <w:sz w:val="28"/>
          <w:szCs w:val="28"/>
        </w:rPr>
        <w:lastRenderedPageBreak/>
        <w:t>2.4 Evaluation</w:t>
      </w:r>
      <w:r w:rsidR="00FC50E4" w:rsidRPr="009321C3">
        <w:rPr>
          <w:rFonts w:asciiTheme="minorHAnsi" w:hAnsiTheme="minorHAnsi"/>
          <w:color w:val="365F91" w:themeColor="accent1" w:themeShade="BF"/>
          <w:sz w:val="28"/>
          <w:szCs w:val="28"/>
        </w:rPr>
        <w:t xml:space="preserve"> of the accuracy of asset-based poverty </w:t>
      </w:r>
      <w:r w:rsidR="0019043C" w:rsidRPr="009321C3">
        <w:rPr>
          <w:rFonts w:asciiTheme="minorHAnsi" w:hAnsiTheme="minorHAnsi"/>
          <w:color w:val="365F91" w:themeColor="accent1" w:themeShade="BF"/>
          <w:sz w:val="28"/>
          <w:szCs w:val="28"/>
        </w:rPr>
        <w:t xml:space="preserve">classification and </w:t>
      </w:r>
      <w:r w:rsidR="00FC50E4" w:rsidRPr="009321C3">
        <w:rPr>
          <w:rFonts w:asciiTheme="minorHAnsi" w:hAnsiTheme="minorHAnsi"/>
          <w:color w:val="365F91" w:themeColor="accent1" w:themeShade="BF"/>
          <w:sz w:val="28"/>
          <w:szCs w:val="28"/>
        </w:rPr>
        <w:t>estimat</w:t>
      </w:r>
      <w:r w:rsidR="002A5BEE" w:rsidRPr="009321C3">
        <w:rPr>
          <w:rFonts w:asciiTheme="minorHAnsi" w:hAnsiTheme="minorHAnsi"/>
          <w:color w:val="365F91" w:themeColor="accent1" w:themeShade="BF"/>
          <w:sz w:val="28"/>
          <w:szCs w:val="28"/>
        </w:rPr>
        <w:t>ion</w:t>
      </w:r>
      <w:bookmarkEnd w:id="23"/>
      <w:r w:rsidR="00FC50E4" w:rsidRPr="009321C3">
        <w:rPr>
          <w:rFonts w:asciiTheme="minorHAnsi" w:hAnsiTheme="minorHAnsi"/>
          <w:color w:val="365F91" w:themeColor="accent1" w:themeShade="BF"/>
          <w:sz w:val="28"/>
          <w:szCs w:val="28"/>
        </w:rPr>
        <w:t xml:space="preserve"> </w:t>
      </w:r>
    </w:p>
    <w:p w:rsidR="00FC50E4" w:rsidRPr="00B30983" w:rsidRDefault="00FC50E4" w:rsidP="00782C02">
      <w:pPr>
        <w:rPr>
          <w:rFonts w:asciiTheme="minorHAnsi" w:hAnsiTheme="minorHAnsi"/>
        </w:rPr>
      </w:pPr>
    </w:p>
    <w:p w:rsidR="002165AD" w:rsidRDefault="0019043C" w:rsidP="002165AD">
      <w:pPr>
        <w:rPr>
          <w:rFonts w:asciiTheme="minorHAnsi" w:hAnsiTheme="minorHAnsi"/>
        </w:rPr>
      </w:pPr>
      <w:r>
        <w:rPr>
          <w:rFonts w:asciiTheme="minorHAnsi" w:hAnsiTheme="minorHAnsi"/>
        </w:rPr>
        <w:t xml:space="preserve">We are now in a position to calculate values of the three types of asset indexes for PECS survey households.  </w:t>
      </w:r>
      <w:r w:rsidR="002165AD">
        <w:rPr>
          <w:rFonts w:asciiTheme="minorHAnsi" w:hAnsiTheme="minorHAnsi"/>
        </w:rPr>
        <w:t xml:space="preserve">The distributions of the asset indexes </w:t>
      </w:r>
      <w:r w:rsidR="00DF1F96">
        <w:rPr>
          <w:rFonts w:asciiTheme="minorHAnsi" w:hAnsiTheme="minorHAnsi"/>
        </w:rPr>
        <w:t xml:space="preserve">calculated using only the stable </w:t>
      </w:r>
      <w:r w:rsidR="002165AD">
        <w:rPr>
          <w:rFonts w:asciiTheme="minorHAnsi" w:hAnsiTheme="minorHAnsi"/>
        </w:rPr>
        <w:t>expenditure correlates are presented in Figure 2.1</w:t>
      </w:r>
      <w:r>
        <w:rPr>
          <w:rFonts w:asciiTheme="minorHAnsi" w:hAnsiTheme="minorHAnsi"/>
        </w:rPr>
        <w:t xml:space="preserve"> (PECS 2011 data)</w:t>
      </w:r>
      <w:r w:rsidR="004D03BC">
        <w:rPr>
          <w:rFonts w:asciiTheme="minorHAnsi" w:hAnsiTheme="minorHAnsi"/>
        </w:rPr>
        <w:t>.  Th</w:t>
      </w:r>
      <w:r w:rsidR="00DF1F96">
        <w:rPr>
          <w:rFonts w:asciiTheme="minorHAnsi" w:hAnsiTheme="minorHAnsi"/>
        </w:rPr>
        <w:t>at</w:t>
      </w:r>
      <w:r w:rsidR="004D03BC">
        <w:rPr>
          <w:rFonts w:asciiTheme="minorHAnsi" w:hAnsiTheme="minorHAnsi"/>
        </w:rPr>
        <w:t xml:space="preserve"> of </w:t>
      </w:r>
      <w:r w:rsidR="002165AD">
        <w:rPr>
          <w:rFonts w:asciiTheme="minorHAnsi" w:hAnsiTheme="minorHAnsi"/>
        </w:rPr>
        <w:t xml:space="preserve">total expenditures per adult equivalent </w:t>
      </w:r>
      <w:r w:rsidR="004D03BC">
        <w:rPr>
          <w:rFonts w:asciiTheme="minorHAnsi" w:hAnsiTheme="minorHAnsi"/>
        </w:rPr>
        <w:t>is also giv</w:t>
      </w:r>
      <w:r w:rsidR="004D03BC" w:rsidRPr="004D03BC">
        <w:rPr>
          <w:rFonts w:asciiTheme="minorHAnsi" w:hAnsiTheme="minorHAnsi"/>
        </w:rPr>
        <w:t>en for comparison</w:t>
      </w:r>
      <w:r w:rsidR="002165AD" w:rsidRPr="004D03BC">
        <w:rPr>
          <w:rFonts w:asciiTheme="minorHAnsi" w:hAnsiTheme="minorHAnsi"/>
        </w:rPr>
        <w:t xml:space="preserve">.  The PCA, count, and first regression index </w:t>
      </w:r>
      <w:r w:rsidR="004D03BC" w:rsidRPr="004D03BC">
        <w:rPr>
          <w:rFonts w:asciiTheme="minorHAnsi" w:hAnsiTheme="minorHAnsi"/>
        </w:rPr>
        <w:t xml:space="preserve">(that including the non-asset expenditure correlates) </w:t>
      </w:r>
      <w:r w:rsidR="002165AD" w:rsidRPr="004D03BC">
        <w:rPr>
          <w:rFonts w:asciiTheme="minorHAnsi" w:hAnsiTheme="minorHAnsi"/>
        </w:rPr>
        <w:t>all have reasonable shapes.  The PCA index does not line up well with the expenditures index and, as will be seen below, this does not bode well for its use for classifying households into poverty groups.  The second regression index</w:t>
      </w:r>
      <w:r w:rsidR="004D03BC" w:rsidRPr="004D03BC">
        <w:rPr>
          <w:rFonts w:asciiTheme="minorHAnsi" w:hAnsiTheme="minorHAnsi"/>
        </w:rPr>
        <w:t xml:space="preserve"> (</w:t>
      </w:r>
      <w:r w:rsidR="002165AD" w:rsidRPr="004D03BC">
        <w:rPr>
          <w:rFonts w:asciiTheme="minorHAnsi" w:hAnsiTheme="minorHAnsi"/>
        </w:rPr>
        <w:t>calculated using on</w:t>
      </w:r>
      <w:r w:rsidR="004D03BC" w:rsidRPr="004D03BC">
        <w:rPr>
          <w:rFonts w:asciiTheme="minorHAnsi" w:hAnsiTheme="minorHAnsi"/>
        </w:rPr>
        <w:t>ly</w:t>
      </w:r>
      <w:r w:rsidR="002165AD" w:rsidRPr="004D03BC">
        <w:rPr>
          <w:rFonts w:asciiTheme="minorHAnsi" w:hAnsiTheme="minorHAnsi"/>
        </w:rPr>
        <w:t xml:space="preserve"> assets</w:t>
      </w:r>
      <w:r w:rsidR="004D03BC" w:rsidRPr="004D03BC">
        <w:rPr>
          <w:rFonts w:asciiTheme="minorHAnsi" w:hAnsiTheme="minorHAnsi"/>
        </w:rPr>
        <w:t>)</w:t>
      </w:r>
      <w:r w:rsidR="002165AD" w:rsidRPr="004D03BC">
        <w:rPr>
          <w:rFonts w:asciiTheme="minorHAnsi" w:hAnsiTheme="minorHAnsi"/>
        </w:rPr>
        <w:t xml:space="preserve"> can be immediately ruled out because its left-hand tale does not descend to zero.    Even the lowest value of the index yields poverty estimates exceeding actual prevalences in Palestine.</w:t>
      </w:r>
      <w:r w:rsidR="002165AD" w:rsidRPr="004D03BC">
        <w:rPr>
          <w:rStyle w:val="FootnoteReference"/>
          <w:rFonts w:asciiTheme="minorHAnsi" w:hAnsiTheme="minorHAnsi"/>
        </w:rPr>
        <w:footnoteReference w:id="4"/>
      </w:r>
      <w:r>
        <w:rPr>
          <w:rFonts w:asciiTheme="minorHAnsi" w:hAnsiTheme="minorHAnsi"/>
        </w:rPr>
        <w:t xml:space="preserve">  It is excluded from further analysis.</w:t>
      </w:r>
    </w:p>
    <w:p w:rsidR="002165AD" w:rsidRDefault="002165AD" w:rsidP="002165AD">
      <w:pPr>
        <w:rPr>
          <w:rFonts w:asciiTheme="minorHAnsi" w:hAnsiTheme="minorHAnsi"/>
        </w:rPr>
      </w:pPr>
    </w:p>
    <w:p w:rsidR="00A043E7" w:rsidRDefault="00A043E7">
      <w:pPr>
        <w:rPr>
          <w:b/>
        </w:rPr>
      </w:pPr>
      <w:r>
        <w:rPr>
          <w:b/>
        </w:rPr>
        <w:br w:type="page"/>
      </w:r>
    </w:p>
    <w:p w:rsidR="00A043E7" w:rsidRPr="00DF1F96" w:rsidRDefault="00BD7E3D" w:rsidP="00A043E7">
      <w:pPr>
        <w:rPr>
          <w:rFonts w:asciiTheme="minorHAnsi" w:hAnsiTheme="minorHAnsi"/>
          <w:b/>
        </w:rPr>
      </w:pPr>
      <w:r w:rsidRPr="00DF1F96">
        <w:rPr>
          <w:rFonts w:asciiTheme="minorHAnsi" w:hAnsiTheme="minorHAnsi"/>
          <w:b/>
        </w:rPr>
        <w:lastRenderedPageBreak/>
        <w:t>Figure 2.1 Distributions of asset indexes and expenditures per adult equivalent (PECS 2011 data)</w:t>
      </w:r>
    </w:p>
    <w:p w:rsidR="00A043E7" w:rsidRPr="00DF1F96" w:rsidRDefault="00A043E7" w:rsidP="00A043E7">
      <w:pPr>
        <w:rPr>
          <w:rFonts w:asciiTheme="minorHAnsi" w:hAnsiTheme="minorHAnsi"/>
        </w:rPr>
      </w:pPr>
    </w:p>
    <w:p w:rsidR="00DF1F96" w:rsidRPr="00DF1F96" w:rsidRDefault="00DF1F96" w:rsidP="00A043E7">
      <w:pPr>
        <w:rPr>
          <w:rFonts w:asciiTheme="minorHAnsi" w:hAnsiTheme="minorHAnsi"/>
          <w:b/>
        </w:rPr>
      </w:pPr>
      <w:r w:rsidRPr="00DF1F96">
        <w:rPr>
          <w:rFonts w:asciiTheme="minorHAnsi" w:hAnsiTheme="minorHAnsi"/>
          <w:b/>
        </w:rPr>
        <w:t>PCA Index</w:t>
      </w:r>
    </w:p>
    <w:p w:rsidR="00A043E7" w:rsidRDefault="00A043E7" w:rsidP="00A043E7">
      <w:r>
        <w:rPr>
          <w:noProof/>
        </w:rPr>
        <w:drawing>
          <wp:inline distT="0" distB="0" distL="0" distR="0" wp14:anchorId="7C1452C6" wp14:editId="32B86666">
            <wp:extent cx="3593990" cy="263288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4149" cy="2633002"/>
                    </a:xfrm>
                    <a:prstGeom prst="rect">
                      <a:avLst/>
                    </a:prstGeom>
                    <a:noFill/>
                    <a:ln>
                      <a:noFill/>
                    </a:ln>
                  </pic:spPr>
                </pic:pic>
              </a:graphicData>
            </a:graphic>
          </wp:inline>
        </w:drawing>
      </w:r>
    </w:p>
    <w:p w:rsidR="00A043E7" w:rsidRDefault="00A043E7" w:rsidP="00A043E7"/>
    <w:p w:rsidR="00A043E7" w:rsidRDefault="00A043E7" w:rsidP="00A043E7"/>
    <w:p w:rsidR="00A043E7" w:rsidRPr="00DF1F96" w:rsidRDefault="00DF1F96" w:rsidP="00A043E7">
      <w:pPr>
        <w:rPr>
          <w:rFonts w:asciiTheme="minorHAnsi" w:hAnsiTheme="minorHAnsi"/>
          <w:b/>
        </w:rPr>
      </w:pPr>
      <w:r w:rsidRPr="00DF1F96">
        <w:rPr>
          <w:rFonts w:asciiTheme="minorHAnsi" w:hAnsiTheme="minorHAnsi"/>
          <w:b/>
        </w:rPr>
        <w:t>Count Index</w:t>
      </w:r>
    </w:p>
    <w:p w:rsidR="00A043E7" w:rsidRDefault="00A043E7" w:rsidP="00A043E7">
      <w:r>
        <w:rPr>
          <w:noProof/>
        </w:rPr>
        <w:drawing>
          <wp:inline distT="0" distB="0" distL="0" distR="0" wp14:anchorId="673D2341" wp14:editId="2F7E6A67">
            <wp:extent cx="3593990" cy="263288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94149" cy="2633002"/>
                    </a:xfrm>
                    <a:prstGeom prst="rect">
                      <a:avLst/>
                    </a:prstGeom>
                    <a:noFill/>
                    <a:ln>
                      <a:noFill/>
                    </a:ln>
                  </pic:spPr>
                </pic:pic>
              </a:graphicData>
            </a:graphic>
          </wp:inline>
        </w:drawing>
      </w:r>
    </w:p>
    <w:p w:rsidR="00A043E7" w:rsidRDefault="00A043E7" w:rsidP="00A043E7"/>
    <w:p w:rsidR="00A043E7" w:rsidRDefault="00A043E7" w:rsidP="00A043E7"/>
    <w:p w:rsidR="00DF1F96" w:rsidRDefault="00DF1F96">
      <w:r>
        <w:br w:type="page"/>
      </w:r>
    </w:p>
    <w:p w:rsidR="00A043E7" w:rsidRPr="00DF1F96" w:rsidRDefault="00DF1F96" w:rsidP="00A043E7">
      <w:pPr>
        <w:rPr>
          <w:rFonts w:asciiTheme="minorHAnsi" w:hAnsiTheme="minorHAnsi"/>
          <w:b/>
        </w:rPr>
      </w:pPr>
      <w:r w:rsidRPr="00DF1F96">
        <w:rPr>
          <w:rFonts w:asciiTheme="minorHAnsi" w:hAnsiTheme="minorHAnsi"/>
          <w:b/>
        </w:rPr>
        <w:lastRenderedPageBreak/>
        <w:t>Regression index:  All expenditure correlates</w:t>
      </w:r>
    </w:p>
    <w:p w:rsidR="00A043E7" w:rsidRDefault="00A043E7" w:rsidP="00A043E7">
      <w:r>
        <w:rPr>
          <w:noProof/>
        </w:rPr>
        <w:drawing>
          <wp:inline distT="0" distB="0" distL="0" distR="0" wp14:anchorId="1FC4B994" wp14:editId="5910132B">
            <wp:extent cx="3753016" cy="27493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54865" cy="2750737"/>
                    </a:xfrm>
                    <a:prstGeom prst="rect">
                      <a:avLst/>
                    </a:prstGeom>
                    <a:noFill/>
                    <a:ln>
                      <a:noFill/>
                    </a:ln>
                  </pic:spPr>
                </pic:pic>
              </a:graphicData>
            </a:graphic>
          </wp:inline>
        </w:drawing>
      </w:r>
    </w:p>
    <w:p w:rsidR="00A043E7" w:rsidRDefault="00A043E7" w:rsidP="00A043E7">
      <w:pPr>
        <w:ind w:left="-360"/>
      </w:pPr>
    </w:p>
    <w:p w:rsidR="00DF1F96" w:rsidRPr="00DF1F96" w:rsidRDefault="00DF1F96" w:rsidP="00DF1F96">
      <w:pPr>
        <w:rPr>
          <w:rFonts w:asciiTheme="minorHAnsi" w:hAnsiTheme="minorHAnsi"/>
          <w:b/>
        </w:rPr>
      </w:pPr>
      <w:r w:rsidRPr="00DF1F96">
        <w:rPr>
          <w:rFonts w:asciiTheme="minorHAnsi" w:hAnsiTheme="minorHAnsi"/>
          <w:b/>
        </w:rPr>
        <w:t xml:space="preserve">Regression index:  </w:t>
      </w:r>
      <w:r>
        <w:rPr>
          <w:rFonts w:asciiTheme="minorHAnsi" w:hAnsiTheme="minorHAnsi"/>
          <w:b/>
        </w:rPr>
        <w:t xml:space="preserve">Assets only </w:t>
      </w:r>
    </w:p>
    <w:p w:rsidR="00A043E7" w:rsidRDefault="00A043E7" w:rsidP="00A043E7">
      <w:pPr>
        <w:ind w:left="-360"/>
        <w:rPr>
          <w:noProof/>
        </w:rPr>
      </w:pPr>
      <w:r>
        <w:rPr>
          <w:noProof/>
        </w:rPr>
        <w:t xml:space="preserve">       </w:t>
      </w:r>
      <w:r>
        <w:rPr>
          <w:noProof/>
        </w:rPr>
        <w:drawing>
          <wp:inline distT="0" distB="0" distL="0" distR="0" wp14:anchorId="58BC3F7F" wp14:editId="48DCD409">
            <wp:extent cx="3710990" cy="2718597"/>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12152" cy="2719449"/>
                    </a:xfrm>
                    <a:prstGeom prst="rect">
                      <a:avLst/>
                    </a:prstGeom>
                    <a:noFill/>
                    <a:ln>
                      <a:noFill/>
                    </a:ln>
                  </pic:spPr>
                </pic:pic>
              </a:graphicData>
            </a:graphic>
          </wp:inline>
        </w:drawing>
      </w:r>
    </w:p>
    <w:p w:rsidR="00A043E7" w:rsidRDefault="00A043E7" w:rsidP="00A043E7">
      <w:pPr>
        <w:rPr>
          <w:noProof/>
        </w:rPr>
      </w:pPr>
    </w:p>
    <w:p w:rsidR="00A043E7" w:rsidRPr="002C3E95" w:rsidRDefault="00A043E7" w:rsidP="00A043E7">
      <w:pPr>
        <w:rPr>
          <w:rFonts w:asciiTheme="minorHAnsi" w:hAnsiTheme="minorHAnsi"/>
          <w:noProof/>
          <w:sz w:val="20"/>
          <w:szCs w:val="20"/>
        </w:rPr>
      </w:pPr>
      <w:r w:rsidRPr="002C3E95">
        <w:rPr>
          <w:rFonts w:asciiTheme="minorHAnsi" w:hAnsiTheme="minorHAnsi"/>
          <w:noProof/>
          <w:sz w:val="20"/>
          <w:szCs w:val="20"/>
        </w:rPr>
        <w:t>Note:  In the first, second and fourth figures</w:t>
      </w:r>
      <w:r w:rsidR="00DF1F96">
        <w:rPr>
          <w:rFonts w:asciiTheme="minorHAnsi" w:hAnsiTheme="minorHAnsi"/>
          <w:noProof/>
          <w:sz w:val="20"/>
          <w:szCs w:val="20"/>
        </w:rPr>
        <w:t>,</w:t>
      </w:r>
      <w:r w:rsidRPr="002C3E95">
        <w:rPr>
          <w:rFonts w:asciiTheme="minorHAnsi" w:hAnsiTheme="minorHAnsi"/>
          <w:noProof/>
          <w:sz w:val="20"/>
          <w:szCs w:val="20"/>
        </w:rPr>
        <w:t xml:space="preserve"> both total expenditures and the asset indexes were placed on a 0-1 scale for comparison purposes.</w:t>
      </w:r>
      <w:r w:rsidRPr="002C3E95">
        <w:rPr>
          <w:rFonts w:asciiTheme="minorHAnsi" w:hAnsiTheme="minorHAnsi"/>
          <w:noProof/>
          <w:sz w:val="20"/>
          <w:szCs w:val="20"/>
        </w:rPr>
        <w:br w:type="page"/>
      </w:r>
    </w:p>
    <w:p w:rsidR="00A043E7" w:rsidRDefault="00A043E7" w:rsidP="00A043E7">
      <w:pPr>
        <w:rPr>
          <w:rFonts w:asciiTheme="minorHAnsi" w:hAnsiTheme="minorHAnsi"/>
        </w:rPr>
      </w:pPr>
      <w:r>
        <w:rPr>
          <w:rFonts w:asciiTheme="minorHAnsi" w:hAnsiTheme="minorHAnsi"/>
        </w:rPr>
        <w:lastRenderedPageBreak/>
        <w:t>As can be seen in Table 2.5, the PECS data from all three years show that the count and regression-based index</w:t>
      </w:r>
      <w:r w:rsidR="00DF1F96">
        <w:rPr>
          <w:rFonts w:asciiTheme="minorHAnsi" w:hAnsiTheme="minorHAnsi"/>
        </w:rPr>
        <w:t>es</w:t>
      </w:r>
      <w:r>
        <w:rPr>
          <w:rFonts w:asciiTheme="minorHAnsi" w:hAnsiTheme="minorHAnsi"/>
        </w:rPr>
        <w:t xml:space="preserve"> </w:t>
      </w:r>
      <w:r w:rsidR="00293896">
        <w:rPr>
          <w:rFonts w:asciiTheme="minorHAnsi" w:hAnsiTheme="minorHAnsi"/>
        </w:rPr>
        <w:t xml:space="preserve">consistently </w:t>
      </w:r>
      <w:r>
        <w:rPr>
          <w:rFonts w:asciiTheme="minorHAnsi" w:hAnsiTheme="minorHAnsi"/>
        </w:rPr>
        <w:t xml:space="preserve">have the highest correlations with total expenditures per capita.  </w:t>
      </w:r>
    </w:p>
    <w:p w:rsidR="00A043E7" w:rsidRDefault="00A043E7" w:rsidP="00A043E7">
      <w:pPr>
        <w:rPr>
          <w:rFonts w:asciiTheme="minorHAnsi" w:hAnsiTheme="minorHAnsi"/>
        </w:rPr>
      </w:pPr>
    </w:p>
    <w:tbl>
      <w:tblPr>
        <w:tblW w:w="6676" w:type="dxa"/>
        <w:tblInd w:w="93" w:type="dxa"/>
        <w:tblLook w:val="04A0" w:firstRow="1" w:lastRow="0" w:firstColumn="1" w:lastColumn="0" w:noHBand="0" w:noVBand="1"/>
      </w:tblPr>
      <w:tblGrid>
        <w:gridCol w:w="4335"/>
        <w:gridCol w:w="718"/>
        <w:gridCol w:w="718"/>
        <w:gridCol w:w="905"/>
      </w:tblGrid>
      <w:tr w:rsidR="00A043E7" w:rsidTr="00DD3E15">
        <w:trPr>
          <w:trHeight w:val="852"/>
        </w:trPr>
        <w:tc>
          <w:tcPr>
            <w:tcW w:w="6676" w:type="dxa"/>
            <w:gridSpan w:val="4"/>
            <w:tcBorders>
              <w:top w:val="nil"/>
              <w:left w:val="nil"/>
              <w:right w:val="nil"/>
            </w:tcBorders>
            <w:shd w:val="clear" w:color="auto" w:fill="auto"/>
            <w:noWrap/>
            <w:vAlign w:val="bottom"/>
            <w:hideMark/>
          </w:tcPr>
          <w:p w:rsidR="00A043E7" w:rsidRDefault="00A043E7" w:rsidP="00DD3E15">
            <w:pPr>
              <w:rPr>
                <w:rFonts w:ascii="Calibri" w:hAnsi="Calibri"/>
                <w:b/>
                <w:bCs/>
                <w:color w:val="000000"/>
                <w:sz w:val="22"/>
                <w:szCs w:val="22"/>
              </w:rPr>
            </w:pPr>
            <w:r>
              <w:rPr>
                <w:rFonts w:ascii="Calibri" w:hAnsi="Calibri"/>
                <w:b/>
                <w:bCs/>
                <w:color w:val="000000"/>
                <w:sz w:val="22"/>
                <w:szCs w:val="22"/>
              </w:rPr>
              <w:t xml:space="preserve">Table 2.5   Correlations of asset indexes with total expenditures per adult equivalent,   2009, 2010 and 2011 (PECS data) </w:t>
            </w:r>
          </w:p>
        </w:tc>
      </w:tr>
      <w:tr w:rsidR="00A043E7" w:rsidTr="00DD3E15">
        <w:trPr>
          <w:trHeight w:val="300"/>
        </w:trPr>
        <w:tc>
          <w:tcPr>
            <w:tcW w:w="4335" w:type="dxa"/>
            <w:tcBorders>
              <w:top w:val="single" w:sz="8" w:space="0" w:color="auto"/>
              <w:left w:val="nil"/>
              <w:bottom w:val="nil"/>
              <w:right w:val="nil"/>
            </w:tcBorders>
            <w:shd w:val="clear" w:color="000000" w:fill="C4BD97"/>
            <w:noWrap/>
            <w:vAlign w:val="bottom"/>
            <w:hideMark/>
          </w:tcPr>
          <w:p w:rsidR="00A043E7" w:rsidRDefault="00A043E7" w:rsidP="00DD3E15">
            <w:pPr>
              <w:rPr>
                <w:rFonts w:ascii="Calibri" w:hAnsi="Calibri"/>
                <w:color w:val="000000"/>
                <w:sz w:val="22"/>
                <w:szCs w:val="22"/>
              </w:rPr>
            </w:pPr>
            <w:r>
              <w:rPr>
                <w:rFonts w:ascii="Calibri" w:hAnsi="Calibri"/>
                <w:color w:val="000000"/>
                <w:sz w:val="22"/>
                <w:szCs w:val="22"/>
              </w:rPr>
              <w:t> </w:t>
            </w:r>
          </w:p>
        </w:tc>
        <w:tc>
          <w:tcPr>
            <w:tcW w:w="718" w:type="dxa"/>
            <w:tcBorders>
              <w:top w:val="single" w:sz="8" w:space="0" w:color="auto"/>
              <w:left w:val="nil"/>
              <w:bottom w:val="single" w:sz="4" w:space="0" w:color="auto"/>
              <w:right w:val="nil"/>
            </w:tcBorders>
            <w:shd w:val="clear" w:color="000000" w:fill="C4BD97"/>
            <w:noWrap/>
            <w:vAlign w:val="center"/>
            <w:hideMark/>
          </w:tcPr>
          <w:p w:rsidR="00A043E7" w:rsidRDefault="00A043E7" w:rsidP="00DD3E15">
            <w:pPr>
              <w:jc w:val="center"/>
              <w:rPr>
                <w:rFonts w:ascii="Arial" w:hAnsi="Arial" w:cs="Arial"/>
                <w:b/>
                <w:bCs/>
                <w:sz w:val="20"/>
                <w:szCs w:val="20"/>
              </w:rPr>
            </w:pPr>
            <w:r>
              <w:rPr>
                <w:rFonts w:ascii="Arial" w:hAnsi="Arial" w:cs="Arial"/>
                <w:b/>
                <w:bCs/>
                <w:sz w:val="20"/>
                <w:szCs w:val="20"/>
              </w:rPr>
              <w:t>2009</w:t>
            </w:r>
          </w:p>
        </w:tc>
        <w:tc>
          <w:tcPr>
            <w:tcW w:w="718" w:type="dxa"/>
            <w:tcBorders>
              <w:top w:val="single" w:sz="8" w:space="0" w:color="auto"/>
              <w:left w:val="nil"/>
              <w:bottom w:val="single" w:sz="4" w:space="0" w:color="auto"/>
              <w:right w:val="nil"/>
            </w:tcBorders>
            <w:shd w:val="clear" w:color="000000" w:fill="C4BD97"/>
            <w:noWrap/>
            <w:vAlign w:val="center"/>
            <w:hideMark/>
          </w:tcPr>
          <w:p w:rsidR="00A043E7" w:rsidRDefault="00A043E7" w:rsidP="00DD3E15">
            <w:pPr>
              <w:jc w:val="center"/>
              <w:rPr>
                <w:rFonts w:ascii="Arial" w:hAnsi="Arial" w:cs="Arial"/>
                <w:b/>
                <w:bCs/>
                <w:sz w:val="20"/>
                <w:szCs w:val="20"/>
              </w:rPr>
            </w:pPr>
            <w:r>
              <w:rPr>
                <w:rFonts w:ascii="Arial" w:hAnsi="Arial" w:cs="Arial"/>
                <w:b/>
                <w:bCs/>
                <w:sz w:val="20"/>
                <w:szCs w:val="20"/>
              </w:rPr>
              <w:t>2010</w:t>
            </w:r>
          </w:p>
        </w:tc>
        <w:tc>
          <w:tcPr>
            <w:tcW w:w="905" w:type="dxa"/>
            <w:tcBorders>
              <w:top w:val="single" w:sz="8" w:space="0" w:color="auto"/>
              <w:left w:val="nil"/>
              <w:bottom w:val="single" w:sz="4" w:space="0" w:color="auto"/>
              <w:right w:val="nil"/>
            </w:tcBorders>
            <w:shd w:val="clear" w:color="000000" w:fill="C4BD97"/>
            <w:vAlign w:val="center"/>
            <w:hideMark/>
          </w:tcPr>
          <w:p w:rsidR="00A043E7" w:rsidRDefault="00A043E7" w:rsidP="00DD3E15">
            <w:pPr>
              <w:jc w:val="center"/>
              <w:rPr>
                <w:rFonts w:ascii="Arial" w:hAnsi="Arial" w:cs="Arial"/>
                <w:b/>
                <w:bCs/>
                <w:sz w:val="20"/>
                <w:szCs w:val="20"/>
              </w:rPr>
            </w:pPr>
            <w:r>
              <w:rPr>
                <w:rFonts w:ascii="Arial" w:hAnsi="Arial" w:cs="Arial"/>
                <w:b/>
                <w:bCs/>
                <w:sz w:val="20"/>
                <w:szCs w:val="20"/>
              </w:rPr>
              <w:t>2011</w:t>
            </w:r>
          </w:p>
        </w:tc>
      </w:tr>
      <w:tr w:rsidR="00A043E7" w:rsidTr="00DD3E15">
        <w:trPr>
          <w:trHeight w:val="300"/>
        </w:trPr>
        <w:tc>
          <w:tcPr>
            <w:tcW w:w="4335" w:type="dxa"/>
            <w:tcBorders>
              <w:top w:val="nil"/>
              <w:left w:val="nil"/>
              <w:bottom w:val="nil"/>
              <w:right w:val="nil"/>
            </w:tcBorders>
            <w:shd w:val="clear" w:color="auto" w:fill="auto"/>
            <w:vAlign w:val="center"/>
            <w:hideMark/>
          </w:tcPr>
          <w:p w:rsidR="00A043E7" w:rsidRDefault="00A043E7" w:rsidP="00DD3E15">
            <w:pPr>
              <w:rPr>
                <w:rFonts w:ascii="Calibri" w:hAnsi="Calibri"/>
                <w:b/>
                <w:bCs/>
                <w:color w:val="000000"/>
                <w:sz w:val="22"/>
                <w:szCs w:val="22"/>
              </w:rPr>
            </w:pPr>
          </w:p>
        </w:tc>
        <w:tc>
          <w:tcPr>
            <w:tcW w:w="718" w:type="dxa"/>
            <w:tcBorders>
              <w:top w:val="nil"/>
              <w:left w:val="nil"/>
              <w:bottom w:val="nil"/>
              <w:right w:val="nil"/>
            </w:tcBorders>
            <w:shd w:val="clear" w:color="auto" w:fill="auto"/>
            <w:noWrap/>
            <w:vAlign w:val="bottom"/>
            <w:hideMark/>
          </w:tcPr>
          <w:p w:rsidR="00A043E7" w:rsidRDefault="00A043E7" w:rsidP="00DD3E15">
            <w:pPr>
              <w:rPr>
                <w:rFonts w:ascii="Calibri" w:hAnsi="Calibri"/>
                <w:color w:val="000000"/>
                <w:sz w:val="20"/>
                <w:szCs w:val="20"/>
              </w:rPr>
            </w:pPr>
          </w:p>
        </w:tc>
        <w:tc>
          <w:tcPr>
            <w:tcW w:w="718" w:type="dxa"/>
            <w:tcBorders>
              <w:top w:val="nil"/>
              <w:left w:val="nil"/>
              <w:bottom w:val="nil"/>
              <w:right w:val="nil"/>
            </w:tcBorders>
            <w:shd w:val="clear" w:color="auto" w:fill="auto"/>
            <w:noWrap/>
            <w:vAlign w:val="bottom"/>
            <w:hideMark/>
          </w:tcPr>
          <w:p w:rsidR="00A043E7" w:rsidRDefault="00A043E7" w:rsidP="00DD3E15">
            <w:pPr>
              <w:rPr>
                <w:rFonts w:ascii="Calibri" w:hAnsi="Calibri"/>
                <w:color w:val="000000"/>
                <w:sz w:val="20"/>
                <w:szCs w:val="20"/>
              </w:rPr>
            </w:pPr>
          </w:p>
        </w:tc>
        <w:tc>
          <w:tcPr>
            <w:tcW w:w="905" w:type="dxa"/>
            <w:tcBorders>
              <w:top w:val="nil"/>
              <w:left w:val="nil"/>
              <w:bottom w:val="nil"/>
              <w:right w:val="nil"/>
            </w:tcBorders>
            <w:shd w:val="clear" w:color="auto" w:fill="auto"/>
            <w:noWrap/>
            <w:vAlign w:val="bottom"/>
            <w:hideMark/>
          </w:tcPr>
          <w:p w:rsidR="00A043E7" w:rsidRDefault="00A043E7" w:rsidP="00DD3E15">
            <w:pPr>
              <w:rPr>
                <w:rFonts w:ascii="Calibri" w:hAnsi="Calibri"/>
                <w:color w:val="000000"/>
                <w:sz w:val="20"/>
                <w:szCs w:val="20"/>
              </w:rPr>
            </w:pPr>
          </w:p>
        </w:tc>
      </w:tr>
      <w:tr w:rsidR="00A043E7" w:rsidTr="00DD3E15">
        <w:trPr>
          <w:trHeight w:val="300"/>
        </w:trPr>
        <w:tc>
          <w:tcPr>
            <w:tcW w:w="4335" w:type="dxa"/>
            <w:tcBorders>
              <w:top w:val="nil"/>
              <w:left w:val="nil"/>
              <w:bottom w:val="nil"/>
              <w:right w:val="nil"/>
            </w:tcBorders>
            <w:shd w:val="clear" w:color="auto" w:fill="auto"/>
            <w:noWrap/>
            <w:vAlign w:val="bottom"/>
            <w:hideMark/>
          </w:tcPr>
          <w:p w:rsidR="00A043E7" w:rsidRDefault="00A043E7" w:rsidP="00DD3E15">
            <w:pPr>
              <w:rPr>
                <w:rFonts w:ascii="Calibri" w:hAnsi="Calibri"/>
                <w:color w:val="000000"/>
                <w:sz w:val="22"/>
                <w:szCs w:val="22"/>
              </w:rPr>
            </w:pPr>
            <w:r>
              <w:rPr>
                <w:rFonts w:ascii="Calibri" w:hAnsi="Calibri"/>
                <w:color w:val="000000"/>
                <w:sz w:val="22"/>
                <w:szCs w:val="22"/>
              </w:rPr>
              <w:t>Principal components index</w:t>
            </w:r>
          </w:p>
        </w:tc>
        <w:tc>
          <w:tcPr>
            <w:tcW w:w="718" w:type="dxa"/>
            <w:tcBorders>
              <w:top w:val="nil"/>
              <w:left w:val="nil"/>
              <w:bottom w:val="nil"/>
              <w:right w:val="nil"/>
            </w:tcBorders>
            <w:shd w:val="clear" w:color="auto" w:fill="auto"/>
            <w:noWrap/>
            <w:vAlign w:val="bottom"/>
            <w:hideMark/>
          </w:tcPr>
          <w:p w:rsidR="00A043E7" w:rsidRDefault="00A043E7" w:rsidP="00DD3E15">
            <w:pPr>
              <w:jc w:val="right"/>
              <w:rPr>
                <w:rFonts w:ascii="Calibri" w:hAnsi="Calibri"/>
                <w:color w:val="000000"/>
                <w:sz w:val="22"/>
                <w:szCs w:val="22"/>
              </w:rPr>
            </w:pPr>
            <w:r>
              <w:rPr>
                <w:rFonts w:ascii="Calibri" w:hAnsi="Calibri"/>
                <w:color w:val="000000"/>
                <w:sz w:val="22"/>
                <w:szCs w:val="22"/>
              </w:rPr>
              <w:t>0.422</w:t>
            </w:r>
          </w:p>
        </w:tc>
        <w:tc>
          <w:tcPr>
            <w:tcW w:w="718" w:type="dxa"/>
            <w:tcBorders>
              <w:top w:val="nil"/>
              <w:left w:val="nil"/>
              <w:bottom w:val="nil"/>
              <w:right w:val="nil"/>
            </w:tcBorders>
            <w:shd w:val="clear" w:color="auto" w:fill="auto"/>
            <w:noWrap/>
            <w:vAlign w:val="bottom"/>
            <w:hideMark/>
          </w:tcPr>
          <w:p w:rsidR="00A043E7" w:rsidRDefault="00A043E7" w:rsidP="00DD3E15">
            <w:pPr>
              <w:jc w:val="right"/>
              <w:rPr>
                <w:rFonts w:ascii="Calibri" w:hAnsi="Calibri"/>
                <w:color w:val="000000"/>
                <w:sz w:val="22"/>
                <w:szCs w:val="22"/>
              </w:rPr>
            </w:pPr>
            <w:r>
              <w:rPr>
                <w:rFonts w:ascii="Calibri" w:hAnsi="Calibri"/>
                <w:color w:val="000000"/>
                <w:sz w:val="22"/>
                <w:szCs w:val="22"/>
              </w:rPr>
              <w:t>0.472</w:t>
            </w:r>
          </w:p>
        </w:tc>
        <w:tc>
          <w:tcPr>
            <w:tcW w:w="905" w:type="dxa"/>
            <w:tcBorders>
              <w:top w:val="nil"/>
              <w:left w:val="nil"/>
              <w:bottom w:val="nil"/>
              <w:right w:val="nil"/>
            </w:tcBorders>
            <w:shd w:val="clear" w:color="auto" w:fill="auto"/>
            <w:noWrap/>
            <w:vAlign w:val="bottom"/>
            <w:hideMark/>
          </w:tcPr>
          <w:p w:rsidR="00A043E7" w:rsidRDefault="00A043E7" w:rsidP="00DD3E15">
            <w:pPr>
              <w:jc w:val="right"/>
              <w:rPr>
                <w:rFonts w:ascii="Calibri" w:hAnsi="Calibri"/>
                <w:color w:val="000000"/>
                <w:sz w:val="22"/>
                <w:szCs w:val="22"/>
              </w:rPr>
            </w:pPr>
            <w:r>
              <w:rPr>
                <w:rFonts w:ascii="Calibri" w:hAnsi="Calibri"/>
                <w:color w:val="000000"/>
                <w:sz w:val="22"/>
                <w:szCs w:val="22"/>
              </w:rPr>
              <w:t>0.393</w:t>
            </w:r>
          </w:p>
        </w:tc>
      </w:tr>
      <w:tr w:rsidR="00A043E7" w:rsidTr="00DD3E15">
        <w:trPr>
          <w:trHeight w:val="300"/>
        </w:trPr>
        <w:tc>
          <w:tcPr>
            <w:tcW w:w="4335" w:type="dxa"/>
            <w:tcBorders>
              <w:top w:val="nil"/>
              <w:left w:val="nil"/>
              <w:bottom w:val="nil"/>
              <w:right w:val="nil"/>
            </w:tcBorders>
            <w:shd w:val="clear" w:color="auto" w:fill="auto"/>
            <w:noWrap/>
            <w:vAlign w:val="bottom"/>
            <w:hideMark/>
          </w:tcPr>
          <w:p w:rsidR="00A043E7" w:rsidRDefault="00A043E7" w:rsidP="00DD3E15">
            <w:pPr>
              <w:rPr>
                <w:rFonts w:ascii="Calibri" w:hAnsi="Calibri"/>
                <w:color w:val="000000"/>
                <w:sz w:val="22"/>
                <w:szCs w:val="22"/>
              </w:rPr>
            </w:pPr>
            <w:r>
              <w:rPr>
                <w:rFonts w:ascii="Calibri" w:hAnsi="Calibri"/>
                <w:color w:val="000000"/>
                <w:sz w:val="22"/>
                <w:szCs w:val="22"/>
              </w:rPr>
              <w:t>Count index</w:t>
            </w:r>
          </w:p>
        </w:tc>
        <w:tc>
          <w:tcPr>
            <w:tcW w:w="718" w:type="dxa"/>
            <w:tcBorders>
              <w:top w:val="nil"/>
              <w:left w:val="nil"/>
              <w:bottom w:val="nil"/>
              <w:right w:val="nil"/>
            </w:tcBorders>
            <w:shd w:val="clear" w:color="auto" w:fill="auto"/>
            <w:noWrap/>
            <w:vAlign w:val="bottom"/>
            <w:hideMark/>
          </w:tcPr>
          <w:p w:rsidR="00A043E7" w:rsidRDefault="00A043E7" w:rsidP="00DD3E15">
            <w:pPr>
              <w:jc w:val="right"/>
              <w:rPr>
                <w:rFonts w:ascii="Calibri" w:hAnsi="Calibri"/>
                <w:color w:val="000000"/>
                <w:sz w:val="22"/>
                <w:szCs w:val="22"/>
              </w:rPr>
            </w:pPr>
            <w:r>
              <w:rPr>
                <w:rFonts w:ascii="Calibri" w:hAnsi="Calibri"/>
                <w:color w:val="000000"/>
                <w:sz w:val="22"/>
                <w:szCs w:val="22"/>
              </w:rPr>
              <w:t>0.572</w:t>
            </w:r>
          </w:p>
        </w:tc>
        <w:tc>
          <w:tcPr>
            <w:tcW w:w="718" w:type="dxa"/>
            <w:tcBorders>
              <w:top w:val="nil"/>
              <w:left w:val="nil"/>
              <w:bottom w:val="nil"/>
              <w:right w:val="nil"/>
            </w:tcBorders>
            <w:shd w:val="clear" w:color="auto" w:fill="auto"/>
            <w:noWrap/>
            <w:vAlign w:val="bottom"/>
            <w:hideMark/>
          </w:tcPr>
          <w:p w:rsidR="00A043E7" w:rsidRDefault="00A043E7" w:rsidP="00DD3E15">
            <w:pPr>
              <w:jc w:val="right"/>
              <w:rPr>
                <w:rFonts w:ascii="Calibri" w:hAnsi="Calibri"/>
                <w:color w:val="000000"/>
                <w:sz w:val="22"/>
                <w:szCs w:val="22"/>
              </w:rPr>
            </w:pPr>
            <w:r>
              <w:rPr>
                <w:rFonts w:ascii="Calibri" w:hAnsi="Calibri"/>
                <w:color w:val="000000"/>
                <w:sz w:val="22"/>
                <w:szCs w:val="22"/>
              </w:rPr>
              <w:t>0.622</w:t>
            </w:r>
          </w:p>
        </w:tc>
        <w:tc>
          <w:tcPr>
            <w:tcW w:w="905" w:type="dxa"/>
            <w:tcBorders>
              <w:top w:val="nil"/>
              <w:left w:val="nil"/>
              <w:bottom w:val="nil"/>
              <w:right w:val="nil"/>
            </w:tcBorders>
            <w:shd w:val="clear" w:color="auto" w:fill="auto"/>
            <w:noWrap/>
            <w:vAlign w:val="bottom"/>
            <w:hideMark/>
          </w:tcPr>
          <w:p w:rsidR="00A043E7" w:rsidRDefault="00A043E7" w:rsidP="00DD3E15">
            <w:pPr>
              <w:jc w:val="right"/>
              <w:rPr>
                <w:rFonts w:ascii="Calibri" w:hAnsi="Calibri"/>
                <w:color w:val="000000"/>
                <w:sz w:val="22"/>
                <w:szCs w:val="22"/>
              </w:rPr>
            </w:pPr>
            <w:r>
              <w:rPr>
                <w:rFonts w:ascii="Calibri" w:hAnsi="Calibri"/>
                <w:color w:val="000000"/>
                <w:sz w:val="22"/>
                <w:szCs w:val="22"/>
              </w:rPr>
              <w:t>0.565</w:t>
            </w:r>
          </w:p>
        </w:tc>
      </w:tr>
      <w:tr w:rsidR="00A043E7" w:rsidTr="00DD3E15">
        <w:trPr>
          <w:trHeight w:val="300"/>
        </w:trPr>
        <w:tc>
          <w:tcPr>
            <w:tcW w:w="4335" w:type="dxa"/>
            <w:tcBorders>
              <w:top w:val="nil"/>
              <w:left w:val="nil"/>
              <w:bottom w:val="nil"/>
              <w:right w:val="nil"/>
            </w:tcBorders>
            <w:shd w:val="clear" w:color="auto" w:fill="auto"/>
            <w:noWrap/>
            <w:vAlign w:val="bottom"/>
            <w:hideMark/>
          </w:tcPr>
          <w:p w:rsidR="00A043E7" w:rsidRDefault="00A043E7" w:rsidP="00DD3E15">
            <w:pPr>
              <w:rPr>
                <w:rFonts w:ascii="Calibri" w:hAnsi="Calibri"/>
                <w:color w:val="000000"/>
                <w:sz w:val="22"/>
                <w:szCs w:val="22"/>
              </w:rPr>
            </w:pPr>
            <w:r>
              <w:rPr>
                <w:rFonts w:ascii="Calibri" w:hAnsi="Calibri"/>
                <w:color w:val="000000"/>
                <w:sz w:val="22"/>
                <w:szCs w:val="22"/>
              </w:rPr>
              <w:t xml:space="preserve">Regression-based index </w:t>
            </w:r>
          </w:p>
        </w:tc>
        <w:tc>
          <w:tcPr>
            <w:tcW w:w="718" w:type="dxa"/>
            <w:tcBorders>
              <w:top w:val="nil"/>
              <w:left w:val="nil"/>
              <w:bottom w:val="nil"/>
              <w:right w:val="nil"/>
            </w:tcBorders>
            <w:shd w:val="clear" w:color="auto" w:fill="auto"/>
            <w:noWrap/>
            <w:vAlign w:val="bottom"/>
            <w:hideMark/>
          </w:tcPr>
          <w:p w:rsidR="00A043E7" w:rsidRDefault="00A043E7" w:rsidP="00DD3E15">
            <w:pPr>
              <w:jc w:val="right"/>
              <w:rPr>
                <w:rFonts w:ascii="Calibri" w:hAnsi="Calibri"/>
                <w:color w:val="000000"/>
                <w:sz w:val="22"/>
                <w:szCs w:val="22"/>
              </w:rPr>
            </w:pPr>
            <w:r>
              <w:rPr>
                <w:rFonts w:ascii="Calibri" w:hAnsi="Calibri"/>
                <w:color w:val="000000"/>
                <w:sz w:val="22"/>
                <w:szCs w:val="22"/>
              </w:rPr>
              <w:t>0.590</w:t>
            </w:r>
          </w:p>
        </w:tc>
        <w:tc>
          <w:tcPr>
            <w:tcW w:w="718" w:type="dxa"/>
            <w:tcBorders>
              <w:top w:val="nil"/>
              <w:left w:val="nil"/>
              <w:bottom w:val="nil"/>
              <w:right w:val="nil"/>
            </w:tcBorders>
            <w:shd w:val="clear" w:color="auto" w:fill="auto"/>
            <w:noWrap/>
            <w:vAlign w:val="bottom"/>
            <w:hideMark/>
          </w:tcPr>
          <w:p w:rsidR="00A043E7" w:rsidRDefault="00A043E7" w:rsidP="00DD3E15">
            <w:pPr>
              <w:jc w:val="right"/>
              <w:rPr>
                <w:rFonts w:ascii="Calibri" w:hAnsi="Calibri"/>
                <w:color w:val="000000"/>
                <w:sz w:val="22"/>
                <w:szCs w:val="22"/>
              </w:rPr>
            </w:pPr>
            <w:r>
              <w:rPr>
                <w:rFonts w:ascii="Calibri" w:hAnsi="Calibri"/>
                <w:color w:val="000000"/>
                <w:sz w:val="22"/>
                <w:szCs w:val="22"/>
              </w:rPr>
              <w:t>0.632</w:t>
            </w:r>
          </w:p>
        </w:tc>
        <w:tc>
          <w:tcPr>
            <w:tcW w:w="905" w:type="dxa"/>
            <w:tcBorders>
              <w:top w:val="nil"/>
              <w:left w:val="nil"/>
              <w:bottom w:val="nil"/>
              <w:right w:val="nil"/>
            </w:tcBorders>
            <w:shd w:val="clear" w:color="auto" w:fill="auto"/>
            <w:noWrap/>
            <w:vAlign w:val="bottom"/>
            <w:hideMark/>
          </w:tcPr>
          <w:p w:rsidR="00A043E7" w:rsidRDefault="00A043E7" w:rsidP="00DD3E15">
            <w:pPr>
              <w:jc w:val="right"/>
              <w:rPr>
                <w:rFonts w:ascii="Calibri" w:hAnsi="Calibri"/>
                <w:color w:val="000000"/>
                <w:sz w:val="22"/>
                <w:szCs w:val="22"/>
              </w:rPr>
            </w:pPr>
            <w:r>
              <w:rPr>
                <w:rFonts w:ascii="Calibri" w:hAnsi="Calibri"/>
                <w:color w:val="000000"/>
                <w:sz w:val="22"/>
                <w:szCs w:val="22"/>
              </w:rPr>
              <w:t>0.571</w:t>
            </w:r>
          </w:p>
        </w:tc>
      </w:tr>
      <w:tr w:rsidR="00A043E7" w:rsidTr="00DD3E15">
        <w:trPr>
          <w:trHeight w:val="315"/>
        </w:trPr>
        <w:tc>
          <w:tcPr>
            <w:tcW w:w="4335" w:type="dxa"/>
            <w:tcBorders>
              <w:top w:val="nil"/>
              <w:left w:val="nil"/>
              <w:bottom w:val="single" w:sz="8" w:space="0" w:color="auto"/>
              <w:right w:val="nil"/>
            </w:tcBorders>
            <w:shd w:val="clear" w:color="auto" w:fill="auto"/>
            <w:vAlign w:val="bottom"/>
            <w:hideMark/>
          </w:tcPr>
          <w:p w:rsidR="00A043E7" w:rsidRDefault="00A043E7" w:rsidP="00DD3E15">
            <w:pPr>
              <w:rPr>
                <w:rFonts w:ascii="Calibri" w:hAnsi="Calibri"/>
                <w:color w:val="000000"/>
                <w:sz w:val="22"/>
                <w:szCs w:val="22"/>
              </w:rPr>
            </w:pPr>
            <w:r>
              <w:rPr>
                <w:rFonts w:ascii="Calibri" w:hAnsi="Calibri"/>
                <w:color w:val="000000"/>
                <w:sz w:val="22"/>
                <w:szCs w:val="22"/>
              </w:rPr>
              <w:t> </w:t>
            </w:r>
          </w:p>
        </w:tc>
        <w:tc>
          <w:tcPr>
            <w:tcW w:w="718" w:type="dxa"/>
            <w:tcBorders>
              <w:top w:val="nil"/>
              <w:left w:val="nil"/>
              <w:bottom w:val="single" w:sz="8" w:space="0" w:color="auto"/>
              <w:right w:val="nil"/>
            </w:tcBorders>
            <w:shd w:val="clear" w:color="auto" w:fill="auto"/>
            <w:noWrap/>
            <w:vAlign w:val="bottom"/>
            <w:hideMark/>
          </w:tcPr>
          <w:p w:rsidR="00A043E7" w:rsidRDefault="00A043E7" w:rsidP="00DD3E15">
            <w:pPr>
              <w:rPr>
                <w:rFonts w:ascii="Calibri" w:hAnsi="Calibri"/>
                <w:color w:val="000000"/>
                <w:sz w:val="22"/>
                <w:szCs w:val="22"/>
              </w:rPr>
            </w:pPr>
            <w:r>
              <w:rPr>
                <w:rFonts w:ascii="Calibri" w:hAnsi="Calibri"/>
                <w:color w:val="000000"/>
                <w:sz w:val="22"/>
                <w:szCs w:val="22"/>
              </w:rPr>
              <w:t> </w:t>
            </w:r>
          </w:p>
        </w:tc>
        <w:tc>
          <w:tcPr>
            <w:tcW w:w="718" w:type="dxa"/>
            <w:tcBorders>
              <w:top w:val="nil"/>
              <w:left w:val="nil"/>
              <w:bottom w:val="single" w:sz="8" w:space="0" w:color="auto"/>
              <w:right w:val="nil"/>
            </w:tcBorders>
            <w:shd w:val="clear" w:color="auto" w:fill="auto"/>
            <w:noWrap/>
            <w:vAlign w:val="bottom"/>
            <w:hideMark/>
          </w:tcPr>
          <w:p w:rsidR="00A043E7" w:rsidRDefault="00A043E7" w:rsidP="00DD3E15">
            <w:pPr>
              <w:rPr>
                <w:rFonts w:ascii="Calibri" w:hAnsi="Calibri"/>
                <w:color w:val="000000"/>
                <w:sz w:val="22"/>
                <w:szCs w:val="22"/>
              </w:rPr>
            </w:pPr>
            <w:r>
              <w:rPr>
                <w:rFonts w:ascii="Calibri" w:hAnsi="Calibri"/>
                <w:color w:val="000000"/>
                <w:sz w:val="22"/>
                <w:szCs w:val="22"/>
              </w:rPr>
              <w:t> </w:t>
            </w:r>
          </w:p>
        </w:tc>
        <w:tc>
          <w:tcPr>
            <w:tcW w:w="905" w:type="dxa"/>
            <w:tcBorders>
              <w:top w:val="nil"/>
              <w:left w:val="nil"/>
              <w:bottom w:val="single" w:sz="8" w:space="0" w:color="auto"/>
              <w:right w:val="nil"/>
            </w:tcBorders>
            <w:shd w:val="clear" w:color="auto" w:fill="auto"/>
            <w:noWrap/>
            <w:vAlign w:val="bottom"/>
            <w:hideMark/>
          </w:tcPr>
          <w:p w:rsidR="00A043E7" w:rsidRDefault="00A043E7" w:rsidP="00DD3E15">
            <w:pPr>
              <w:rPr>
                <w:rFonts w:ascii="Calibri" w:hAnsi="Calibri"/>
                <w:color w:val="000000"/>
                <w:sz w:val="22"/>
                <w:szCs w:val="22"/>
              </w:rPr>
            </w:pPr>
            <w:r>
              <w:rPr>
                <w:rFonts w:ascii="Calibri" w:hAnsi="Calibri"/>
                <w:color w:val="000000"/>
                <w:sz w:val="22"/>
                <w:szCs w:val="22"/>
              </w:rPr>
              <w:t> </w:t>
            </w:r>
          </w:p>
        </w:tc>
      </w:tr>
      <w:tr w:rsidR="00A043E7" w:rsidTr="00DD3E15">
        <w:trPr>
          <w:trHeight w:val="300"/>
        </w:trPr>
        <w:tc>
          <w:tcPr>
            <w:tcW w:w="6676" w:type="dxa"/>
            <w:gridSpan w:val="4"/>
            <w:tcBorders>
              <w:top w:val="nil"/>
              <w:left w:val="nil"/>
              <w:bottom w:val="nil"/>
              <w:right w:val="nil"/>
            </w:tcBorders>
            <w:shd w:val="clear" w:color="auto" w:fill="auto"/>
            <w:noWrap/>
            <w:vAlign w:val="bottom"/>
            <w:hideMark/>
          </w:tcPr>
          <w:p w:rsidR="00A043E7" w:rsidRDefault="00A043E7" w:rsidP="00BD7E3D">
            <w:pPr>
              <w:rPr>
                <w:rFonts w:ascii="Calibri" w:hAnsi="Calibri"/>
                <w:color w:val="000000"/>
                <w:sz w:val="18"/>
                <w:szCs w:val="18"/>
              </w:rPr>
            </w:pPr>
            <w:r>
              <w:rPr>
                <w:rFonts w:ascii="Calibri" w:hAnsi="Calibri"/>
                <w:color w:val="000000"/>
                <w:sz w:val="18"/>
                <w:szCs w:val="18"/>
              </w:rPr>
              <w:t>Note:  Pearson rank correlations.  All correlations are statistically significant at the 1%</w:t>
            </w:r>
            <w:r w:rsidR="00BD7E3D">
              <w:rPr>
                <w:rFonts w:ascii="Calibri" w:hAnsi="Calibri"/>
                <w:color w:val="000000"/>
                <w:sz w:val="18"/>
                <w:szCs w:val="18"/>
              </w:rPr>
              <w:t xml:space="preserve"> level.</w:t>
            </w:r>
          </w:p>
        </w:tc>
      </w:tr>
    </w:tbl>
    <w:p w:rsidR="00A043E7" w:rsidRDefault="00A043E7" w:rsidP="00A043E7">
      <w:pPr>
        <w:rPr>
          <w:rFonts w:asciiTheme="minorHAnsi" w:hAnsiTheme="minorHAnsi"/>
        </w:rPr>
      </w:pPr>
    </w:p>
    <w:p w:rsidR="00A043E7" w:rsidRDefault="00A043E7" w:rsidP="00A043E7">
      <w:pPr>
        <w:rPr>
          <w:rFonts w:asciiTheme="minorHAnsi" w:hAnsiTheme="minorHAnsi"/>
        </w:rPr>
      </w:pPr>
    </w:p>
    <w:p w:rsidR="00A043E7" w:rsidRDefault="00A043E7" w:rsidP="00A043E7">
      <w:pPr>
        <w:rPr>
          <w:rFonts w:asciiTheme="minorHAnsi" w:hAnsiTheme="minorHAnsi"/>
        </w:rPr>
      </w:pPr>
      <w:r>
        <w:rPr>
          <w:rFonts w:asciiTheme="minorHAnsi" w:hAnsiTheme="minorHAnsi"/>
        </w:rPr>
        <w:t xml:space="preserve">PECS 2011 data are next used to choose poverty lines for the remaining three indexes that yield poverty estimates consistent with the actual poverty estimates for 2011 reported </w:t>
      </w:r>
      <w:r w:rsidR="00293896">
        <w:rPr>
          <w:rFonts w:asciiTheme="minorHAnsi" w:hAnsiTheme="minorHAnsi"/>
        </w:rPr>
        <w:t xml:space="preserve">at the bottom of </w:t>
      </w:r>
      <w:r>
        <w:rPr>
          <w:rFonts w:asciiTheme="minorHAnsi" w:hAnsiTheme="minorHAnsi"/>
        </w:rPr>
        <w:t xml:space="preserve">Table 2.1.    The actual poverty estimates are </w:t>
      </w:r>
      <w:r w:rsidRPr="004D03BC">
        <w:rPr>
          <w:rFonts w:asciiTheme="minorHAnsi" w:hAnsiTheme="minorHAnsi"/>
        </w:rPr>
        <w:t>calculated using total expenditures per adult equivalent and the 2011 poverty line set by the PCBS.  The asset</w:t>
      </w:r>
      <w:r w:rsidR="00DF1F96">
        <w:rPr>
          <w:rFonts w:asciiTheme="minorHAnsi" w:hAnsiTheme="minorHAnsi"/>
        </w:rPr>
        <w:t xml:space="preserve"> </w:t>
      </w:r>
      <w:r w:rsidRPr="004D03BC">
        <w:rPr>
          <w:rFonts w:asciiTheme="minorHAnsi" w:hAnsiTheme="minorHAnsi"/>
        </w:rPr>
        <w:t>index-specific poverty lines are determined through repeated testing of altern</w:t>
      </w:r>
      <w:r>
        <w:rPr>
          <w:rFonts w:asciiTheme="minorHAnsi" w:hAnsiTheme="minorHAnsi"/>
        </w:rPr>
        <w:t>ative values of the index to find that</w:t>
      </w:r>
      <w:r w:rsidR="00DF1F96">
        <w:rPr>
          <w:rFonts w:asciiTheme="minorHAnsi" w:hAnsiTheme="minorHAnsi"/>
        </w:rPr>
        <w:t xml:space="preserve"> value </w:t>
      </w:r>
      <w:r>
        <w:rPr>
          <w:rFonts w:asciiTheme="minorHAnsi" w:hAnsiTheme="minorHAnsi"/>
        </w:rPr>
        <w:t>yielding the targeted actual poverty estimates.</w:t>
      </w:r>
      <w:r>
        <w:rPr>
          <w:rStyle w:val="FootnoteReference"/>
          <w:rFonts w:asciiTheme="minorHAnsi" w:hAnsiTheme="minorHAnsi"/>
        </w:rPr>
        <w:footnoteReference w:id="5"/>
      </w:r>
      <w:r>
        <w:rPr>
          <w:rFonts w:asciiTheme="minorHAnsi" w:hAnsiTheme="minorHAnsi"/>
        </w:rPr>
        <w:t xml:space="preserve">  </w:t>
      </w:r>
    </w:p>
    <w:p w:rsidR="00A043E7" w:rsidRDefault="00A043E7" w:rsidP="00A043E7">
      <w:pPr>
        <w:rPr>
          <w:rFonts w:asciiTheme="minorHAnsi" w:hAnsiTheme="minorHAnsi"/>
        </w:rPr>
      </w:pPr>
    </w:p>
    <w:p w:rsidR="00DF1F96" w:rsidRDefault="00A043E7" w:rsidP="00A043E7">
      <w:pPr>
        <w:rPr>
          <w:rFonts w:asciiTheme="minorHAnsi" w:hAnsiTheme="minorHAnsi"/>
        </w:rPr>
      </w:pPr>
      <w:r>
        <w:rPr>
          <w:rFonts w:asciiTheme="minorHAnsi" w:hAnsiTheme="minorHAnsi"/>
        </w:rPr>
        <w:t xml:space="preserve">In order to determine how well the indexes classify households into poverty groups, a sensitivity-specificity analysis </w:t>
      </w:r>
      <w:r w:rsidR="00DF1F96">
        <w:rPr>
          <w:rFonts w:asciiTheme="minorHAnsi" w:hAnsiTheme="minorHAnsi"/>
        </w:rPr>
        <w:t xml:space="preserve">is undertaken.  This analysis </w:t>
      </w:r>
      <w:r>
        <w:rPr>
          <w:rFonts w:asciiTheme="minorHAnsi" w:hAnsiTheme="minorHAnsi"/>
        </w:rPr>
        <w:t>compar</w:t>
      </w:r>
      <w:r w:rsidR="00DF1F96">
        <w:rPr>
          <w:rFonts w:asciiTheme="minorHAnsi" w:hAnsiTheme="minorHAnsi"/>
        </w:rPr>
        <w:t>es</w:t>
      </w:r>
      <w:r>
        <w:rPr>
          <w:rFonts w:asciiTheme="minorHAnsi" w:hAnsiTheme="minorHAnsi"/>
        </w:rPr>
        <w:t xml:space="preserve"> how well each index mimics the classification given by total expenditures per adult equivalent itsel</w:t>
      </w:r>
      <w:r w:rsidR="00DF1F96">
        <w:rPr>
          <w:rFonts w:asciiTheme="minorHAnsi" w:hAnsiTheme="minorHAnsi"/>
        </w:rPr>
        <w:t>f</w:t>
      </w:r>
      <w:r>
        <w:rPr>
          <w:rFonts w:asciiTheme="minorHAnsi" w:hAnsiTheme="minorHAnsi"/>
        </w:rPr>
        <w:t xml:space="preserve">.  </w:t>
      </w:r>
      <w:r w:rsidR="00293896">
        <w:rPr>
          <w:rFonts w:asciiTheme="minorHAnsi" w:hAnsiTheme="minorHAnsi"/>
        </w:rPr>
        <w:t xml:space="preserve">The asset index weights are those from 2011, the most recent year for which data are available.  </w:t>
      </w:r>
      <w:r>
        <w:rPr>
          <w:rFonts w:asciiTheme="minorHAnsi" w:hAnsiTheme="minorHAnsi"/>
        </w:rPr>
        <w:t>The results are reported in Table 2.6 for Palestine as a whole and for West Bank and Gaza.   The overall percent of households mis-classified</w:t>
      </w:r>
      <w:r w:rsidR="00293896">
        <w:rPr>
          <w:rFonts w:asciiTheme="minorHAnsi" w:hAnsiTheme="minorHAnsi"/>
        </w:rPr>
        <w:t xml:space="preserve">, </w:t>
      </w:r>
      <w:r>
        <w:rPr>
          <w:rFonts w:asciiTheme="minorHAnsi" w:hAnsiTheme="minorHAnsi"/>
        </w:rPr>
        <w:t>sensitivity</w:t>
      </w:r>
      <w:r w:rsidR="00DF1F96">
        <w:rPr>
          <w:rFonts w:asciiTheme="minorHAnsi" w:hAnsiTheme="minorHAnsi"/>
        </w:rPr>
        <w:t>,</w:t>
      </w:r>
      <w:r>
        <w:rPr>
          <w:rFonts w:asciiTheme="minorHAnsi" w:hAnsiTheme="minorHAnsi"/>
        </w:rPr>
        <w:t xml:space="preserve"> and specificity are reported.  Sensitivity is the percent of true poor households classified as poor.  Specificity is the percent of true non-poor households classified as non-poor.    </w:t>
      </w:r>
    </w:p>
    <w:p w:rsidR="00DF1F96" w:rsidRDefault="00DF1F96" w:rsidP="00A043E7">
      <w:pPr>
        <w:rPr>
          <w:rFonts w:asciiTheme="minorHAnsi" w:hAnsiTheme="minorHAnsi"/>
        </w:rPr>
      </w:pPr>
    </w:p>
    <w:p w:rsidR="00A043E7" w:rsidRDefault="00A043E7" w:rsidP="00A043E7">
      <w:pPr>
        <w:rPr>
          <w:rFonts w:asciiTheme="minorHAnsi" w:hAnsiTheme="minorHAnsi"/>
        </w:rPr>
      </w:pPr>
      <w:r w:rsidRPr="00B1127B">
        <w:rPr>
          <w:rFonts w:asciiTheme="minorHAnsi" w:hAnsiTheme="minorHAnsi"/>
        </w:rPr>
        <w:t xml:space="preserve">At the national level and for both sub-regions the regression and count indexes are better able to classify households into poverty groups than the PCA index, with the regression index </w:t>
      </w:r>
      <w:r w:rsidR="00B1127B" w:rsidRPr="00B1127B">
        <w:rPr>
          <w:rFonts w:asciiTheme="minorHAnsi" w:hAnsiTheme="minorHAnsi"/>
        </w:rPr>
        <w:t xml:space="preserve">tending to </w:t>
      </w:r>
      <w:r w:rsidRPr="00B1127B">
        <w:rPr>
          <w:rFonts w:asciiTheme="minorHAnsi" w:hAnsiTheme="minorHAnsi"/>
        </w:rPr>
        <w:t xml:space="preserve">perform slightly better than the count index.  For the regression index, </w:t>
      </w:r>
      <w:r w:rsidR="00B1127B" w:rsidRPr="00B1127B">
        <w:rPr>
          <w:rFonts w:asciiTheme="minorHAnsi" w:hAnsiTheme="minorHAnsi"/>
        </w:rPr>
        <w:t xml:space="preserve">only </w:t>
      </w:r>
      <w:r w:rsidRPr="00B1127B">
        <w:rPr>
          <w:rFonts w:asciiTheme="minorHAnsi" w:hAnsiTheme="minorHAnsi"/>
        </w:rPr>
        <w:t xml:space="preserve">a minority of households, </w:t>
      </w:r>
      <w:r w:rsidR="00B1127B" w:rsidRPr="00B1127B">
        <w:rPr>
          <w:rFonts w:asciiTheme="minorHAnsi" w:hAnsiTheme="minorHAnsi"/>
        </w:rPr>
        <w:t xml:space="preserve">from </w:t>
      </w:r>
      <w:r w:rsidRPr="00B1127B">
        <w:rPr>
          <w:rFonts w:asciiTheme="minorHAnsi" w:hAnsiTheme="minorHAnsi"/>
        </w:rPr>
        <w:t>1</w:t>
      </w:r>
      <w:r w:rsidR="00B1127B" w:rsidRPr="00B1127B">
        <w:rPr>
          <w:rFonts w:asciiTheme="minorHAnsi" w:hAnsiTheme="minorHAnsi"/>
        </w:rPr>
        <w:t xml:space="preserve">3.2 to 14.2 </w:t>
      </w:r>
      <w:r w:rsidRPr="00B1127B">
        <w:rPr>
          <w:rFonts w:asciiTheme="minorHAnsi" w:hAnsiTheme="minorHAnsi"/>
        </w:rPr>
        <w:t>percent, is misclassified for deep poverty</w:t>
      </w:r>
      <w:r w:rsidR="00DF1F96" w:rsidRPr="00B1127B">
        <w:rPr>
          <w:rFonts w:asciiTheme="minorHAnsi" w:hAnsiTheme="minorHAnsi"/>
        </w:rPr>
        <w:t xml:space="preserve">.  </w:t>
      </w:r>
      <w:r w:rsidR="00B1127B" w:rsidRPr="00B1127B">
        <w:rPr>
          <w:rFonts w:asciiTheme="minorHAnsi" w:hAnsiTheme="minorHAnsi"/>
        </w:rPr>
        <w:t xml:space="preserve">Between 20.4 and 22.2 </w:t>
      </w:r>
      <w:r w:rsidRPr="00B1127B">
        <w:rPr>
          <w:rFonts w:asciiTheme="minorHAnsi" w:hAnsiTheme="minorHAnsi"/>
        </w:rPr>
        <w:t xml:space="preserve">percent </w:t>
      </w:r>
      <w:r w:rsidR="00DF1F96" w:rsidRPr="00B1127B">
        <w:rPr>
          <w:rFonts w:asciiTheme="minorHAnsi" w:hAnsiTheme="minorHAnsi"/>
        </w:rPr>
        <w:t xml:space="preserve">of households are misclassified </w:t>
      </w:r>
      <w:r w:rsidRPr="00B1127B">
        <w:rPr>
          <w:rFonts w:asciiTheme="minorHAnsi" w:hAnsiTheme="minorHAnsi"/>
        </w:rPr>
        <w:t>when the national poverty line is employed.</w:t>
      </w:r>
      <w:r w:rsidRPr="00194352">
        <w:rPr>
          <w:rFonts w:asciiTheme="minorHAnsi" w:hAnsiTheme="minorHAnsi"/>
        </w:rPr>
        <w:t xml:space="preserve">   </w:t>
      </w:r>
      <w:r>
        <w:rPr>
          <w:rFonts w:asciiTheme="minorHAnsi" w:hAnsiTheme="minorHAnsi"/>
        </w:rPr>
        <w:t xml:space="preserve"> </w:t>
      </w:r>
    </w:p>
    <w:p w:rsidR="00A043E7" w:rsidRDefault="00A043E7" w:rsidP="00A043E7">
      <w:pPr>
        <w:rPr>
          <w:rFonts w:asciiTheme="minorHAnsi" w:hAnsiTheme="minorHAnsi"/>
        </w:rPr>
      </w:pPr>
    </w:p>
    <w:p w:rsidR="00A043E7" w:rsidRDefault="00A043E7">
      <w:pPr>
        <w:rPr>
          <w:rFonts w:asciiTheme="minorHAnsi" w:hAnsiTheme="minorHAnsi"/>
        </w:rPr>
      </w:pPr>
      <w:r>
        <w:rPr>
          <w:rFonts w:asciiTheme="minorHAnsi" w:hAnsiTheme="minorHAnsi"/>
        </w:rPr>
        <w:br w:type="page"/>
      </w:r>
    </w:p>
    <w:p w:rsidR="00D82844" w:rsidRDefault="00D82844">
      <w:pPr>
        <w:rPr>
          <w:rFonts w:asciiTheme="minorHAnsi" w:hAnsiTheme="minorHAnsi"/>
        </w:rPr>
        <w:sectPr w:rsidR="00D82844" w:rsidSect="00D67F50">
          <w:pgSz w:w="12240" w:h="15840"/>
          <w:pgMar w:top="1440" w:right="1440" w:bottom="1440" w:left="1440" w:header="720" w:footer="720" w:gutter="0"/>
          <w:pgNumType w:start="3"/>
          <w:cols w:space="720"/>
          <w:docGrid w:linePitch="360"/>
        </w:sectPr>
      </w:pPr>
    </w:p>
    <w:tbl>
      <w:tblPr>
        <w:tblW w:w="12952" w:type="dxa"/>
        <w:tblInd w:w="93" w:type="dxa"/>
        <w:tblLook w:val="04A0" w:firstRow="1" w:lastRow="0" w:firstColumn="1" w:lastColumn="0" w:noHBand="0" w:noVBand="1"/>
      </w:tblPr>
      <w:tblGrid>
        <w:gridCol w:w="2780"/>
        <w:gridCol w:w="1020"/>
        <w:gridCol w:w="1060"/>
        <w:gridCol w:w="1080"/>
        <w:gridCol w:w="266"/>
        <w:gridCol w:w="1020"/>
        <w:gridCol w:w="1080"/>
        <w:gridCol w:w="1140"/>
        <w:gridCol w:w="266"/>
        <w:gridCol w:w="1020"/>
        <w:gridCol w:w="1080"/>
        <w:gridCol w:w="1140"/>
      </w:tblGrid>
      <w:tr w:rsidR="009E2F1B" w:rsidRPr="00D82844" w:rsidTr="0029134E">
        <w:trPr>
          <w:trHeight w:val="615"/>
        </w:trPr>
        <w:tc>
          <w:tcPr>
            <w:tcW w:w="12952" w:type="dxa"/>
            <w:gridSpan w:val="12"/>
            <w:tcBorders>
              <w:top w:val="nil"/>
              <w:left w:val="nil"/>
              <w:right w:val="nil"/>
            </w:tcBorders>
            <w:shd w:val="clear" w:color="auto" w:fill="auto"/>
            <w:noWrap/>
            <w:vAlign w:val="bottom"/>
            <w:hideMark/>
          </w:tcPr>
          <w:p w:rsidR="009E2F1B" w:rsidRPr="00D82844" w:rsidRDefault="009E2F1B" w:rsidP="009E2F1B">
            <w:pPr>
              <w:rPr>
                <w:rFonts w:ascii="Calibri" w:eastAsia="Times New Roman" w:hAnsi="Calibri"/>
                <w:color w:val="000000"/>
                <w:sz w:val="22"/>
                <w:szCs w:val="22"/>
              </w:rPr>
            </w:pPr>
            <w:bookmarkStart w:id="24" w:name="RANGE!B5:I40"/>
            <w:r w:rsidRPr="00D82844">
              <w:rPr>
                <w:rFonts w:ascii="Calibri" w:eastAsia="Times New Roman" w:hAnsi="Calibri"/>
                <w:b/>
                <w:bCs/>
                <w:color w:val="000000"/>
                <w:sz w:val="22"/>
                <w:szCs w:val="22"/>
              </w:rPr>
              <w:lastRenderedPageBreak/>
              <w:t xml:space="preserve">Table 2.6  Sensitivity-specificity analysis comparing actual estimates of poverty with asset </w:t>
            </w:r>
            <w:bookmarkEnd w:id="24"/>
            <w:r w:rsidRPr="00D82844">
              <w:rPr>
                <w:rFonts w:ascii="Calibri" w:eastAsia="Times New Roman" w:hAnsi="Calibri"/>
                <w:b/>
                <w:bCs/>
                <w:color w:val="000000"/>
                <w:sz w:val="22"/>
                <w:szCs w:val="22"/>
              </w:rPr>
              <w:t>index-based estimates</w:t>
            </w:r>
          </w:p>
        </w:tc>
      </w:tr>
      <w:tr w:rsidR="00D82844" w:rsidRPr="00D82844" w:rsidTr="00D82844">
        <w:trPr>
          <w:trHeight w:val="315"/>
        </w:trPr>
        <w:tc>
          <w:tcPr>
            <w:tcW w:w="2780" w:type="dxa"/>
            <w:tcBorders>
              <w:top w:val="single" w:sz="12" w:space="0" w:color="auto"/>
              <w:left w:val="nil"/>
              <w:bottom w:val="nil"/>
              <w:right w:val="nil"/>
            </w:tcBorders>
            <w:shd w:val="clear" w:color="000000" w:fill="C4BD97"/>
            <w:noWrap/>
            <w:vAlign w:val="center"/>
            <w:hideMark/>
          </w:tcPr>
          <w:p w:rsidR="00D82844" w:rsidRPr="00D82844" w:rsidRDefault="00D82844" w:rsidP="00D82844">
            <w:pPr>
              <w:jc w:val="center"/>
              <w:rPr>
                <w:rFonts w:ascii="Calibri" w:eastAsia="Times New Roman" w:hAnsi="Calibri"/>
                <w:b/>
                <w:bCs/>
                <w:color w:val="000000"/>
                <w:sz w:val="22"/>
                <w:szCs w:val="22"/>
              </w:rPr>
            </w:pPr>
            <w:r w:rsidRPr="00D82844">
              <w:rPr>
                <w:rFonts w:ascii="Calibri" w:eastAsia="Times New Roman" w:hAnsi="Calibri"/>
                <w:b/>
                <w:bCs/>
                <w:color w:val="000000"/>
                <w:sz w:val="22"/>
                <w:szCs w:val="22"/>
              </w:rPr>
              <w:t> </w:t>
            </w:r>
          </w:p>
        </w:tc>
        <w:tc>
          <w:tcPr>
            <w:tcW w:w="3160" w:type="dxa"/>
            <w:gridSpan w:val="3"/>
            <w:tcBorders>
              <w:top w:val="single" w:sz="12" w:space="0" w:color="auto"/>
              <w:left w:val="nil"/>
              <w:bottom w:val="single" w:sz="4" w:space="0" w:color="auto"/>
              <w:right w:val="nil"/>
            </w:tcBorders>
            <w:shd w:val="clear" w:color="000000" w:fill="C4BD97"/>
            <w:noWrap/>
            <w:vAlign w:val="center"/>
            <w:hideMark/>
          </w:tcPr>
          <w:p w:rsidR="00D82844" w:rsidRPr="00D82844" w:rsidRDefault="00D82844" w:rsidP="00D82844">
            <w:pPr>
              <w:jc w:val="center"/>
              <w:rPr>
                <w:rFonts w:ascii="Calibri" w:eastAsia="Times New Roman" w:hAnsi="Calibri"/>
                <w:b/>
                <w:bCs/>
                <w:color w:val="000000"/>
                <w:sz w:val="22"/>
                <w:szCs w:val="22"/>
              </w:rPr>
            </w:pPr>
            <w:r w:rsidRPr="00D82844">
              <w:rPr>
                <w:rFonts w:ascii="Calibri" w:eastAsia="Times New Roman" w:hAnsi="Calibri"/>
                <w:b/>
                <w:bCs/>
                <w:color w:val="000000"/>
                <w:sz w:val="22"/>
                <w:szCs w:val="22"/>
              </w:rPr>
              <w:t>2009</w:t>
            </w:r>
          </w:p>
        </w:tc>
        <w:tc>
          <w:tcPr>
            <w:tcW w:w="266" w:type="dxa"/>
            <w:tcBorders>
              <w:top w:val="single" w:sz="12" w:space="0" w:color="auto"/>
              <w:left w:val="nil"/>
              <w:bottom w:val="nil"/>
              <w:right w:val="nil"/>
            </w:tcBorders>
            <w:shd w:val="clear" w:color="000000" w:fill="C4BD97"/>
            <w:noWrap/>
            <w:vAlign w:val="center"/>
            <w:hideMark/>
          </w:tcPr>
          <w:p w:rsidR="00D82844" w:rsidRPr="00D82844" w:rsidRDefault="00D82844" w:rsidP="00D82844">
            <w:pPr>
              <w:jc w:val="center"/>
              <w:rPr>
                <w:rFonts w:ascii="Calibri" w:eastAsia="Times New Roman" w:hAnsi="Calibri"/>
                <w:b/>
                <w:bCs/>
                <w:color w:val="000000"/>
                <w:sz w:val="22"/>
                <w:szCs w:val="22"/>
              </w:rPr>
            </w:pPr>
            <w:r w:rsidRPr="00D82844">
              <w:rPr>
                <w:rFonts w:ascii="Calibri" w:eastAsia="Times New Roman" w:hAnsi="Calibri"/>
                <w:b/>
                <w:bCs/>
                <w:color w:val="000000"/>
                <w:sz w:val="22"/>
                <w:szCs w:val="22"/>
              </w:rPr>
              <w:t> </w:t>
            </w:r>
          </w:p>
        </w:tc>
        <w:tc>
          <w:tcPr>
            <w:tcW w:w="3240" w:type="dxa"/>
            <w:gridSpan w:val="3"/>
            <w:tcBorders>
              <w:top w:val="single" w:sz="12" w:space="0" w:color="auto"/>
              <w:left w:val="nil"/>
              <w:bottom w:val="single" w:sz="4" w:space="0" w:color="auto"/>
              <w:right w:val="nil"/>
            </w:tcBorders>
            <w:shd w:val="clear" w:color="000000" w:fill="C4BD97"/>
            <w:noWrap/>
            <w:vAlign w:val="center"/>
            <w:hideMark/>
          </w:tcPr>
          <w:p w:rsidR="00D82844" w:rsidRPr="00D82844" w:rsidRDefault="00D82844" w:rsidP="00D82844">
            <w:pPr>
              <w:jc w:val="center"/>
              <w:rPr>
                <w:rFonts w:ascii="Calibri" w:eastAsia="Times New Roman" w:hAnsi="Calibri"/>
                <w:b/>
                <w:bCs/>
                <w:color w:val="000000"/>
                <w:sz w:val="22"/>
                <w:szCs w:val="22"/>
              </w:rPr>
            </w:pPr>
            <w:r w:rsidRPr="00D82844">
              <w:rPr>
                <w:rFonts w:ascii="Calibri" w:eastAsia="Times New Roman" w:hAnsi="Calibri"/>
                <w:b/>
                <w:bCs/>
                <w:color w:val="000000"/>
                <w:sz w:val="22"/>
                <w:szCs w:val="22"/>
              </w:rPr>
              <w:t>2010</w:t>
            </w:r>
          </w:p>
        </w:tc>
        <w:tc>
          <w:tcPr>
            <w:tcW w:w="266" w:type="dxa"/>
            <w:tcBorders>
              <w:top w:val="single" w:sz="12" w:space="0" w:color="auto"/>
              <w:left w:val="nil"/>
              <w:bottom w:val="nil"/>
              <w:right w:val="nil"/>
            </w:tcBorders>
            <w:shd w:val="clear" w:color="000000" w:fill="C4BD97"/>
            <w:noWrap/>
            <w:vAlign w:val="center"/>
            <w:hideMark/>
          </w:tcPr>
          <w:p w:rsidR="00D82844" w:rsidRPr="00D82844" w:rsidRDefault="00D82844" w:rsidP="00D82844">
            <w:pPr>
              <w:jc w:val="center"/>
              <w:rPr>
                <w:rFonts w:ascii="Calibri" w:eastAsia="Times New Roman" w:hAnsi="Calibri"/>
                <w:b/>
                <w:bCs/>
                <w:color w:val="000000"/>
                <w:sz w:val="22"/>
                <w:szCs w:val="22"/>
              </w:rPr>
            </w:pPr>
            <w:r w:rsidRPr="00D82844">
              <w:rPr>
                <w:rFonts w:ascii="Calibri" w:eastAsia="Times New Roman" w:hAnsi="Calibri"/>
                <w:b/>
                <w:bCs/>
                <w:color w:val="000000"/>
                <w:sz w:val="22"/>
                <w:szCs w:val="22"/>
              </w:rPr>
              <w:t> </w:t>
            </w:r>
          </w:p>
        </w:tc>
        <w:tc>
          <w:tcPr>
            <w:tcW w:w="3240" w:type="dxa"/>
            <w:gridSpan w:val="3"/>
            <w:tcBorders>
              <w:top w:val="single" w:sz="12" w:space="0" w:color="auto"/>
              <w:left w:val="nil"/>
              <w:bottom w:val="single" w:sz="4" w:space="0" w:color="auto"/>
              <w:right w:val="nil"/>
            </w:tcBorders>
            <w:shd w:val="clear" w:color="000000" w:fill="C4BD97"/>
            <w:noWrap/>
            <w:vAlign w:val="center"/>
            <w:hideMark/>
          </w:tcPr>
          <w:p w:rsidR="00D82844" w:rsidRPr="00D82844" w:rsidRDefault="00D82844" w:rsidP="00D82844">
            <w:pPr>
              <w:jc w:val="center"/>
              <w:rPr>
                <w:rFonts w:ascii="Calibri" w:eastAsia="Times New Roman" w:hAnsi="Calibri"/>
                <w:b/>
                <w:bCs/>
                <w:color w:val="000000"/>
                <w:sz w:val="22"/>
                <w:szCs w:val="22"/>
              </w:rPr>
            </w:pPr>
            <w:r w:rsidRPr="00D82844">
              <w:rPr>
                <w:rFonts w:ascii="Calibri" w:eastAsia="Times New Roman" w:hAnsi="Calibri"/>
                <w:b/>
                <w:bCs/>
                <w:color w:val="000000"/>
                <w:sz w:val="22"/>
                <w:szCs w:val="22"/>
              </w:rPr>
              <w:t>2011</w:t>
            </w:r>
          </w:p>
        </w:tc>
      </w:tr>
      <w:tr w:rsidR="00D82844" w:rsidRPr="00D82844" w:rsidTr="00D82844">
        <w:trPr>
          <w:trHeight w:val="510"/>
        </w:trPr>
        <w:tc>
          <w:tcPr>
            <w:tcW w:w="2780" w:type="dxa"/>
            <w:tcBorders>
              <w:top w:val="nil"/>
              <w:left w:val="nil"/>
              <w:bottom w:val="single" w:sz="4" w:space="0" w:color="auto"/>
              <w:right w:val="nil"/>
            </w:tcBorders>
            <w:shd w:val="clear" w:color="000000" w:fill="C4BD97"/>
            <w:noWrap/>
            <w:vAlign w:val="center"/>
            <w:hideMark/>
          </w:tcPr>
          <w:p w:rsidR="00D82844" w:rsidRPr="00D82844" w:rsidRDefault="00D82844" w:rsidP="00D82844">
            <w:pPr>
              <w:jc w:val="cente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single" w:sz="4" w:space="0" w:color="auto"/>
              <w:right w:val="nil"/>
            </w:tcBorders>
            <w:shd w:val="clear" w:color="000000" w:fill="C4BD97"/>
            <w:vAlign w:val="center"/>
            <w:hideMark/>
          </w:tcPr>
          <w:p w:rsidR="00D82844" w:rsidRPr="00D82844" w:rsidRDefault="00D82844" w:rsidP="00D82844">
            <w:pPr>
              <w:jc w:val="center"/>
              <w:rPr>
                <w:rFonts w:ascii="Calibri" w:eastAsia="Times New Roman" w:hAnsi="Calibri"/>
                <w:color w:val="000000"/>
                <w:sz w:val="20"/>
                <w:szCs w:val="20"/>
              </w:rPr>
            </w:pPr>
            <w:r w:rsidRPr="00D82844">
              <w:rPr>
                <w:rFonts w:ascii="Calibri" w:eastAsia="Times New Roman" w:hAnsi="Calibri"/>
                <w:color w:val="000000"/>
                <w:sz w:val="20"/>
                <w:szCs w:val="20"/>
              </w:rPr>
              <w:t>Misclass-</w:t>
            </w:r>
            <w:r w:rsidRPr="00D82844">
              <w:rPr>
                <w:rFonts w:ascii="Calibri" w:eastAsia="Times New Roman" w:hAnsi="Calibri"/>
                <w:color w:val="000000"/>
                <w:sz w:val="20"/>
                <w:szCs w:val="20"/>
              </w:rPr>
              <w:br/>
              <w:t>ification</w:t>
            </w:r>
          </w:p>
        </w:tc>
        <w:tc>
          <w:tcPr>
            <w:tcW w:w="1060" w:type="dxa"/>
            <w:tcBorders>
              <w:top w:val="nil"/>
              <w:left w:val="nil"/>
              <w:bottom w:val="single" w:sz="4" w:space="0" w:color="auto"/>
              <w:right w:val="nil"/>
            </w:tcBorders>
            <w:shd w:val="clear" w:color="000000" w:fill="C4BD97"/>
            <w:vAlign w:val="center"/>
            <w:hideMark/>
          </w:tcPr>
          <w:p w:rsidR="00D82844" w:rsidRPr="00D82844" w:rsidRDefault="00D82844" w:rsidP="00D82844">
            <w:pPr>
              <w:jc w:val="center"/>
              <w:rPr>
                <w:rFonts w:ascii="Calibri" w:eastAsia="Times New Roman" w:hAnsi="Calibri"/>
                <w:color w:val="000000"/>
                <w:sz w:val="20"/>
                <w:szCs w:val="20"/>
              </w:rPr>
            </w:pPr>
            <w:r w:rsidRPr="00D82844">
              <w:rPr>
                <w:rFonts w:ascii="Calibri" w:eastAsia="Times New Roman" w:hAnsi="Calibri"/>
                <w:color w:val="000000"/>
                <w:sz w:val="20"/>
                <w:szCs w:val="20"/>
              </w:rPr>
              <w:t>Sensitivity</w:t>
            </w:r>
          </w:p>
        </w:tc>
        <w:tc>
          <w:tcPr>
            <w:tcW w:w="1080" w:type="dxa"/>
            <w:tcBorders>
              <w:top w:val="nil"/>
              <w:left w:val="nil"/>
              <w:bottom w:val="single" w:sz="4" w:space="0" w:color="auto"/>
              <w:right w:val="nil"/>
            </w:tcBorders>
            <w:shd w:val="clear" w:color="000000" w:fill="C4BD97"/>
            <w:vAlign w:val="center"/>
            <w:hideMark/>
          </w:tcPr>
          <w:p w:rsidR="00D82844" w:rsidRPr="00D82844" w:rsidRDefault="00D82844" w:rsidP="00D82844">
            <w:pPr>
              <w:jc w:val="center"/>
              <w:rPr>
                <w:rFonts w:ascii="Calibri" w:eastAsia="Times New Roman" w:hAnsi="Calibri"/>
                <w:color w:val="000000"/>
                <w:sz w:val="20"/>
                <w:szCs w:val="20"/>
              </w:rPr>
            </w:pPr>
            <w:r w:rsidRPr="00D82844">
              <w:rPr>
                <w:rFonts w:ascii="Calibri" w:eastAsia="Times New Roman" w:hAnsi="Calibri"/>
                <w:color w:val="000000"/>
                <w:sz w:val="20"/>
                <w:szCs w:val="20"/>
              </w:rPr>
              <w:t>Specificity</w:t>
            </w:r>
          </w:p>
        </w:tc>
        <w:tc>
          <w:tcPr>
            <w:tcW w:w="266" w:type="dxa"/>
            <w:tcBorders>
              <w:top w:val="nil"/>
              <w:left w:val="nil"/>
              <w:bottom w:val="single" w:sz="4" w:space="0" w:color="auto"/>
              <w:right w:val="nil"/>
            </w:tcBorders>
            <w:shd w:val="clear" w:color="000000" w:fill="C4BD97"/>
            <w:noWrap/>
            <w:vAlign w:val="center"/>
            <w:hideMark/>
          </w:tcPr>
          <w:p w:rsidR="00D82844" w:rsidRPr="00D82844" w:rsidRDefault="00D82844" w:rsidP="00D82844">
            <w:pPr>
              <w:jc w:val="center"/>
              <w:rPr>
                <w:rFonts w:ascii="Calibri" w:eastAsia="Times New Roman" w:hAnsi="Calibri"/>
                <w:color w:val="000000"/>
                <w:sz w:val="20"/>
                <w:szCs w:val="20"/>
              </w:rPr>
            </w:pPr>
            <w:r w:rsidRPr="00D82844">
              <w:rPr>
                <w:rFonts w:ascii="Calibri" w:eastAsia="Times New Roman" w:hAnsi="Calibri"/>
                <w:color w:val="000000"/>
                <w:sz w:val="20"/>
                <w:szCs w:val="20"/>
              </w:rPr>
              <w:t> </w:t>
            </w:r>
          </w:p>
        </w:tc>
        <w:tc>
          <w:tcPr>
            <w:tcW w:w="1020" w:type="dxa"/>
            <w:tcBorders>
              <w:top w:val="nil"/>
              <w:left w:val="nil"/>
              <w:bottom w:val="single" w:sz="4" w:space="0" w:color="auto"/>
              <w:right w:val="nil"/>
            </w:tcBorders>
            <w:shd w:val="clear" w:color="000000" w:fill="C4BD97"/>
            <w:vAlign w:val="center"/>
            <w:hideMark/>
          </w:tcPr>
          <w:p w:rsidR="00D82844" w:rsidRPr="00D82844" w:rsidRDefault="00D82844" w:rsidP="00D82844">
            <w:pPr>
              <w:jc w:val="center"/>
              <w:rPr>
                <w:rFonts w:ascii="Calibri" w:eastAsia="Times New Roman" w:hAnsi="Calibri"/>
                <w:color w:val="000000"/>
                <w:sz w:val="20"/>
                <w:szCs w:val="20"/>
              </w:rPr>
            </w:pPr>
            <w:r w:rsidRPr="00D82844">
              <w:rPr>
                <w:rFonts w:ascii="Calibri" w:eastAsia="Times New Roman" w:hAnsi="Calibri"/>
                <w:color w:val="000000"/>
                <w:sz w:val="20"/>
                <w:szCs w:val="20"/>
              </w:rPr>
              <w:t>Misclass-</w:t>
            </w:r>
            <w:r w:rsidRPr="00D82844">
              <w:rPr>
                <w:rFonts w:ascii="Calibri" w:eastAsia="Times New Roman" w:hAnsi="Calibri"/>
                <w:color w:val="000000"/>
                <w:sz w:val="20"/>
                <w:szCs w:val="20"/>
              </w:rPr>
              <w:br/>
              <w:t>ification</w:t>
            </w:r>
          </w:p>
        </w:tc>
        <w:tc>
          <w:tcPr>
            <w:tcW w:w="1080" w:type="dxa"/>
            <w:tcBorders>
              <w:top w:val="nil"/>
              <w:left w:val="nil"/>
              <w:bottom w:val="single" w:sz="4" w:space="0" w:color="auto"/>
              <w:right w:val="nil"/>
            </w:tcBorders>
            <w:shd w:val="clear" w:color="000000" w:fill="C4BD97"/>
            <w:vAlign w:val="center"/>
            <w:hideMark/>
          </w:tcPr>
          <w:p w:rsidR="00D82844" w:rsidRPr="00D82844" w:rsidRDefault="00D82844" w:rsidP="00D82844">
            <w:pPr>
              <w:jc w:val="center"/>
              <w:rPr>
                <w:rFonts w:ascii="Calibri" w:eastAsia="Times New Roman" w:hAnsi="Calibri"/>
                <w:color w:val="000000"/>
                <w:sz w:val="20"/>
                <w:szCs w:val="20"/>
              </w:rPr>
            </w:pPr>
            <w:r w:rsidRPr="00D82844">
              <w:rPr>
                <w:rFonts w:ascii="Calibri" w:eastAsia="Times New Roman" w:hAnsi="Calibri"/>
                <w:color w:val="000000"/>
                <w:sz w:val="20"/>
                <w:szCs w:val="20"/>
              </w:rPr>
              <w:t>Sensitivity</w:t>
            </w:r>
          </w:p>
        </w:tc>
        <w:tc>
          <w:tcPr>
            <w:tcW w:w="1140" w:type="dxa"/>
            <w:tcBorders>
              <w:top w:val="nil"/>
              <w:left w:val="nil"/>
              <w:bottom w:val="single" w:sz="4" w:space="0" w:color="auto"/>
              <w:right w:val="nil"/>
            </w:tcBorders>
            <w:shd w:val="clear" w:color="000000" w:fill="C4BD97"/>
            <w:vAlign w:val="center"/>
            <w:hideMark/>
          </w:tcPr>
          <w:p w:rsidR="00D82844" w:rsidRPr="00D82844" w:rsidRDefault="00D82844" w:rsidP="00D82844">
            <w:pPr>
              <w:jc w:val="center"/>
              <w:rPr>
                <w:rFonts w:ascii="Calibri" w:eastAsia="Times New Roman" w:hAnsi="Calibri"/>
                <w:color w:val="000000"/>
                <w:sz w:val="20"/>
                <w:szCs w:val="20"/>
              </w:rPr>
            </w:pPr>
            <w:r w:rsidRPr="00D82844">
              <w:rPr>
                <w:rFonts w:ascii="Calibri" w:eastAsia="Times New Roman" w:hAnsi="Calibri"/>
                <w:color w:val="000000"/>
                <w:sz w:val="20"/>
                <w:szCs w:val="20"/>
              </w:rPr>
              <w:t>Specificity</w:t>
            </w:r>
          </w:p>
        </w:tc>
        <w:tc>
          <w:tcPr>
            <w:tcW w:w="266" w:type="dxa"/>
            <w:tcBorders>
              <w:top w:val="nil"/>
              <w:left w:val="nil"/>
              <w:bottom w:val="single" w:sz="4" w:space="0" w:color="auto"/>
              <w:right w:val="nil"/>
            </w:tcBorders>
            <w:shd w:val="clear" w:color="000000" w:fill="C4BD97"/>
            <w:vAlign w:val="center"/>
            <w:hideMark/>
          </w:tcPr>
          <w:p w:rsidR="00D82844" w:rsidRPr="00D82844" w:rsidRDefault="00D82844" w:rsidP="00D82844">
            <w:pPr>
              <w:jc w:val="center"/>
              <w:rPr>
                <w:rFonts w:ascii="Calibri" w:eastAsia="Times New Roman" w:hAnsi="Calibri"/>
                <w:color w:val="000000"/>
                <w:sz w:val="20"/>
                <w:szCs w:val="20"/>
              </w:rPr>
            </w:pPr>
            <w:r w:rsidRPr="00D82844">
              <w:rPr>
                <w:rFonts w:ascii="Calibri" w:eastAsia="Times New Roman" w:hAnsi="Calibri"/>
                <w:color w:val="000000"/>
                <w:sz w:val="20"/>
                <w:szCs w:val="20"/>
              </w:rPr>
              <w:t> </w:t>
            </w:r>
          </w:p>
        </w:tc>
        <w:tc>
          <w:tcPr>
            <w:tcW w:w="1020" w:type="dxa"/>
            <w:tcBorders>
              <w:top w:val="nil"/>
              <w:left w:val="nil"/>
              <w:bottom w:val="single" w:sz="4" w:space="0" w:color="auto"/>
              <w:right w:val="nil"/>
            </w:tcBorders>
            <w:shd w:val="clear" w:color="000000" w:fill="C4BD97"/>
            <w:vAlign w:val="center"/>
            <w:hideMark/>
          </w:tcPr>
          <w:p w:rsidR="00D82844" w:rsidRPr="00D82844" w:rsidRDefault="00D82844" w:rsidP="00D82844">
            <w:pPr>
              <w:jc w:val="center"/>
              <w:rPr>
                <w:rFonts w:ascii="Calibri" w:eastAsia="Times New Roman" w:hAnsi="Calibri"/>
                <w:color w:val="000000"/>
                <w:sz w:val="20"/>
                <w:szCs w:val="20"/>
              </w:rPr>
            </w:pPr>
            <w:r w:rsidRPr="00D82844">
              <w:rPr>
                <w:rFonts w:ascii="Calibri" w:eastAsia="Times New Roman" w:hAnsi="Calibri"/>
                <w:color w:val="000000"/>
                <w:sz w:val="20"/>
                <w:szCs w:val="20"/>
              </w:rPr>
              <w:t>Misclass-</w:t>
            </w:r>
            <w:r w:rsidRPr="00D82844">
              <w:rPr>
                <w:rFonts w:ascii="Calibri" w:eastAsia="Times New Roman" w:hAnsi="Calibri"/>
                <w:color w:val="000000"/>
                <w:sz w:val="20"/>
                <w:szCs w:val="20"/>
              </w:rPr>
              <w:br/>
              <w:t>ification</w:t>
            </w:r>
          </w:p>
        </w:tc>
        <w:tc>
          <w:tcPr>
            <w:tcW w:w="1080" w:type="dxa"/>
            <w:tcBorders>
              <w:top w:val="nil"/>
              <w:left w:val="nil"/>
              <w:bottom w:val="single" w:sz="4" w:space="0" w:color="auto"/>
              <w:right w:val="nil"/>
            </w:tcBorders>
            <w:shd w:val="clear" w:color="000000" w:fill="C4BD97"/>
            <w:vAlign w:val="center"/>
            <w:hideMark/>
          </w:tcPr>
          <w:p w:rsidR="00D82844" w:rsidRPr="00D82844" w:rsidRDefault="00D82844" w:rsidP="00D82844">
            <w:pPr>
              <w:jc w:val="center"/>
              <w:rPr>
                <w:rFonts w:ascii="Calibri" w:eastAsia="Times New Roman" w:hAnsi="Calibri"/>
                <w:color w:val="000000"/>
                <w:sz w:val="20"/>
                <w:szCs w:val="20"/>
              </w:rPr>
            </w:pPr>
            <w:r w:rsidRPr="00D82844">
              <w:rPr>
                <w:rFonts w:ascii="Calibri" w:eastAsia="Times New Roman" w:hAnsi="Calibri"/>
                <w:color w:val="000000"/>
                <w:sz w:val="20"/>
                <w:szCs w:val="20"/>
              </w:rPr>
              <w:t>Sensitivity</w:t>
            </w:r>
          </w:p>
        </w:tc>
        <w:tc>
          <w:tcPr>
            <w:tcW w:w="1140" w:type="dxa"/>
            <w:tcBorders>
              <w:top w:val="nil"/>
              <w:left w:val="nil"/>
              <w:bottom w:val="single" w:sz="4" w:space="0" w:color="auto"/>
              <w:right w:val="nil"/>
            </w:tcBorders>
            <w:shd w:val="clear" w:color="000000" w:fill="C4BD97"/>
            <w:vAlign w:val="center"/>
            <w:hideMark/>
          </w:tcPr>
          <w:p w:rsidR="00D82844" w:rsidRPr="00D82844" w:rsidRDefault="00D82844" w:rsidP="00D82844">
            <w:pPr>
              <w:jc w:val="center"/>
              <w:rPr>
                <w:rFonts w:ascii="Calibri" w:eastAsia="Times New Roman" w:hAnsi="Calibri"/>
                <w:color w:val="000000"/>
                <w:sz w:val="20"/>
                <w:szCs w:val="20"/>
              </w:rPr>
            </w:pPr>
            <w:r w:rsidRPr="00D82844">
              <w:rPr>
                <w:rFonts w:ascii="Calibri" w:eastAsia="Times New Roman" w:hAnsi="Calibri"/>
                <w:color w:val="000000"/>
                <w:sz w:val="20"/>
                <w:szCs w:val="20"/>
              </w:rPr>
              <w:t>Specificity</w:t>
            </w:r>
          </w:p>
        </w:tc>
      </w:tr>
      <w:tr w:rsidR="00D82844" w:rsidRPr="00D82844" w:rsidTr="00D82844">
        <w:trPr>
          <w:trHeight w:val="300"/>
        </w:trPr>
        <w:tc>
          <w:tcPr>
            <w:tcW w:w="27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6666" w:type="dxa"/>
            <w:gridSpan w:val="7"/>
            <w:tcBorders>
              <w:top w:val="single" w:sz="4" w:space="0" w:color="auto"/>
              <w:left w:val="nil"/>
              <w:bottom w:val="nil"/>
              <w:right w:val="nil"/>
            </w:tcBorders>
            <w:shd w:val="clear" w:color="auto" w:fill="auto"/>
            <w:noWrap/>
            <w:vAlign w:val="bottom"/>
            <w:hideMark/>
          </w:tcPr>
          <w:p w:rsidR="00D82844" w:rsidRPr="00D82844" w:rsidRDefault="00D82844" w:rsidP="00D82844">
            <w:pPr>
              <w:jc w:val="center"/>
              <w:rPr>
                <w:rFonts w:ascii="Calibri" w:eastAsia="Times New Roman" w:hAnsi="Calibri"/>
                <w:color w:val="000000"/>
                <w:sz w:val="20"/>
                <w:szCs w:val="20"/>
              </w:rPr>
            </w:pPr>
            <w:r w:rsidRPr="00D82844">
              <w:rPr>
                <w:rFonts w:ascii="Calibri" w:eastAsia="Times New Roman" w:hAnsi="Calibri"/>
                <w:color w:val="000000"/>
                <w:sz w:val="20"/>
                <w:szCs w:val="20"/>
              </w:rPr>
              <w:t>(Percent of households)</w:t>
            </w:r>
          </w:p>
        </w:tc>
        <w:tc>
          <w:tcPr>
            <w:tcW w:w="266"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102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10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114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r>
      <w:tr w:rsidR="00D82844" w:rsidRPr="00D82844" w:rsidTr="00D82844">
        <w:trPr>
          <w:trHeight w:val="300"/>
        </w:trPr>
        <w:tc>
          <w:tcPr>
            <w:tcW w:w="2780" w:type="dxa"/>
            <w:tcBorders>
              <w:top w:val="nil"/>
              <w:left w:val="nil"/>
              <w:bottom w:val="nil"/>
              <w:right w:val="nil"/>
            </w:tcBorders>
            <w:shd w:val="clear" w:color="000000" w:fill="B8CCE4"/>
            <w:noWrap/>
            <w:vAlign w:val="bottom"/>
            <w:hideMark/>
          </w:tcPr>
          <w:p w:rsidR="00D82844" w:rsidRPr="00D82844" w:rsidRDefault="00D82844" w:rsidP="00D82844">
            <w:pPr>
              <w:rPr>
                <w:rFonts w:ascii="Calibri" w:eastAsia="Times New Roman" w:hAnsi="Calibri"/>
                <w:b/>
                <w:bCs/>
                <w:color w:val="000000"/>
                <w:sz w:val="22"/>
                <w:szCs w:val="22"/>
              </w:rPr>
            </w:pPr>
            <w:r w:rsidRPr="00D82844">
              <w:rPr>
                <w:rFonts w:ascii="Calibri" w:eastAsia="Times New Roman" w:hAnsi="Calibri"/>
                <w:b/>
                <w:bCs/>
                <w:color w:val="000000"/>
                <w:sz w:val="22"/>
                <w:szCs w:val="22"/>
              </w:rPr>
              <w:t>National</w:t>
            </w:r>
          </w:p>
        </w:tc>
        <w:tc>
          <w:tcPr>
            <w:tcW w:w="1020" w:type="dxa"/>
            <w:tcBorders>
              <w:top w:val="nil"/>
              <w:left w:val="nil"/>
              <w:bottom w:val="nil"/>
              <w:right w:val="nil"/>
            </w:tcBorders>
            <w:shd w:val="clear" w:color="000000" w:fill="B8CCE4"/>
            <w:noWrap/>
            <w:vAlign w:val="bottom"/>
            <w:hideMark/>
          </w:tcPr>
          <w:p w:rsidR="00D82844" w:rsidRPr="00D82844" w:rsidRDefault="00D82844" w:rsidP="00D82844">
            <w:pPr>
              <w:jc w:val="center"/>
              <w:rPr>
                <w:rFonts w:ascii="Calibri" w:eastAsia="Times New Roman" w:hAnsi="Calibri"/>
                <w:color w:val="000000"/>
                <w:sz w:val="20"/>
                <w:szCs w:val="20"/>
              </w:rPr>
            </w:pPr>
            <w:r w:rsidRPr="00D82844">
              <w:rPr>
                <w:rFonts w:ascii="Calibri" w:eastAsia="Times New Roman" w:hAnsi="Calibri"/>
                <w:color w:val="000000"/>
                <w:sz w:val="20"/>
                <w:szCs w:val="20"/>
              </w:rPr>
              <w:t> </w:t>
            </w:r>
          </w:p>
        </w:tc>
        <w:tc>
          <w:tcPr>
            <w:tcW w:w="1060" w:type="dxa"/>
            <w:tcBorders>
              <w:top w:val="nil"/>
              <w:left w:val="nil"/>
              <w:bottom w:val="nil"/>
              <w:right w:val="nil"/>
            </w:tcBorders>
            <w:shd w:val="clear" w:color="000000" w:fill="B8CCE4"/>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80" w:type="dxa"/>
            <w:tcBorders>
              <w:top w:val="nil"/>
              <w:left w:val="nil"/>
              <w:bottom w:val="nil"/>
              <w:right w:val="nil"/>
            </w:tcBorders>
            <w:shd w:val="clear" w:color="000000" w:fill="B8CCE4"/>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266" w:type="dxa"/>
            <w:tcBorders>
              <w:top w:val="nil"/>
              <w:left w:val="nil"/>
              <w:bottom w:val="nil"/>
              <w:right w:val="nil"/>
            </w:tcBorders>
            <w:shd w:val="clear" w:color="000000" w:fill="B8CCE4"/>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000000" w:fill="B8CCE4"/>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80" w:type="dxa"/>
            <w:tcBorders>
              <w:top w:val="nil"/>
              <w:left w:val="nil"/>
              <w:bottom w:val="nil"/>
              <w:right w:val="nil"/>
            </w:tcBorders>
            <w:shd w:val="clear" w:color="000000" w:fill="B8CCE4"/>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140" w:type="dxa"/>
            <w:tcBorders>
              <w:top w:val="nil"/>
              <w:left w:val="nil"/>
              <w:bottom w:val="nil"/>
              <w:right w:val="nil"/>
            </w:tcBorders>
            <w:shd w:val="clear" w:color="000000" w:fill="B8CCE4"/>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266" w:type="dxa"/>
            <w:tcBorders>
              <w:top w:val="nil"/>
              <w:left w:val="nil"/>
              <w:bottom w:val="nil"/>
              <w:right w:val="nil"/>
            </w:tcBorders>
            <w:shd w:val="clear" w:color="000000" w:fill="B8CCE4"/>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000000" w:fill="B8CCE4"/>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80" w:type="dxa"/>
            <w:tcBorders>
              <w:top w:val="nil"/>
              <w:left w:val="nil"/>
              <w:bottom w:val="nil"/>
              <w:right w:val="nil"/>
            </w:tcBorders>
            <w:shd w:val="clear" w:color="000000" w:fill="B8CCE4"/>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140" w:type="dxa"/>
            <w:tcBorders>
              <w:top w:val="nil"/>
              <w:left w:val="nil"/>
              <w:bottom w:val="nil"/>
              <w:right w:val="nil"/>
            </w:tcBorders>
            <w:shd w:val="clear" w:color="000000" w:fill="B8CCE4"/>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r>
      <w:tr w:rsidR="00D82844" w:rsidRPr="00D82844" w:rsidTr="00D82844">
        <w:trPr>
          <w:trHeight w:val="300"/>
        </w:trPr>
        <w:tc>
          <w:tcPr>
            <w:tcW w:w="278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r w:rsidRPr="00D82844">
              <w:rPr>
                <w:rFonts w:ascii="Calibri" w:eastAsia="Times New Roman" w:hAnsi="Calibri"/>
                <w:b/>
                <w:bCs/>
                <w:color w:val="E26B0A"/>
                <w:sz w:val="22"/>
                <w:szCs w:val="22"/>
              </w:rPr>
              <w:t>Deep poverty</w:t>
            </w:r>
          </w:p>
        </w:tc>
        <w:tc>
          <w:tcPr>
            <w:tcW w:w="102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p>
        </w:tc>
        <w:tc>
          <w:tcPr>
            <w:tcW w:w="106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p>
        </w:tc>
        <w:tc>
          <w:tcPr>
            <w:tcW w:w="108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p>
        </w:tc>
        <w:tc>
          <w:tcPr>
            <w:tcW w:w="266" w:type="dxa"/>
            <w:tcBorders>
              <w:top w:val="nil"/>
              <w:left w:val="nil"/>
              <w:bottom w:val="nil"/>
              <w:right w:val="nil"/>
            </w:tcBorders>
            <w:shd w:val="clear" w:color="000000" w:fill="C4BD97"/>
            <w:vAlign w:val="center"/>
            <w:hideMark/>
          </w:tcPr>
          <w:p w:rsidR="00D82844" w:rsidRPr="00D82844" w:rsidRDefault="00D82844" w:rsidP="00D82844">
            <w:pPr>
              <w:rPr>
                <w:rFonts w:ascii="Calibri" w:eastAsia="Times New Roman" w:hAnsi="Calibri"/>
                <w:b/>
                <w:bCs/>
                <w:color w:val="E26B0A"/>
                <w:sz w:val="22"/>
                <w:szCs w:val="22"/>
              </w:rPr>
            </w:pPr>
            <w:r w:rsidRPr="00D82844">
              <w:rPr>
                <w:rFonts w:ascii="Calibri" w:eastAsia="Times New Roman" w:hAnsi="Calibri"/>
                <w:b/>
                <w:bCs/>
                <w:color w:val="E26B0A"/>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10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114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10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114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r>
      <w:tr w:rsidR="00D82844" w:rsidRPr="00D82844" w:rsidTr="00D82844">
        <w:trPr>
          <w:trHeight w:val="300"/>
        </w:trPr>
        <w:tc>
          <w:tcPr>
            <w:tcW w:w="27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xml:space="preserve">  Principal components index</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18.8</w:t>
            </w:r>
          </w:p>
        </w:tc>
        <w:tc>
          <w:tcPr>
            <w:tcW w:w="106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15.6</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88.4</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293896">
            <w:pPr>
              <w:jc w:val="right"/>
              <w:rPr>
                <w:rFonts w:ascii="Calibri" w:eastAsia="Times New Roman" w:hAnsi="Calibri"/>
                <w:color w:val="000000"/>
                <w:sz w:val="22"/>
                <w:szCs w:val="22"/>
              </w:rPr>
            </w:pPr>
            <w:r w:rsidRPr="00D82844">
              <w:rPr>
                <w:rFonts w:ascii="Calibri" w:eastAsia="Times New Roman" w:hAnsi="Calibri"/>
                <w:color w:val="000000"/>
                <w:sz w:val="22"/>
                <w:szCs w:val="22"/>
              </w:rPr>
              <w:t>1</w:t>
            </w:r>
            <w:r w:rsidR="00293896">
              <w:rPr>
                <w:rFonts w:ascii="Calibri" w:eastAsia="Times New Roman" w:hAnsi="Calibri"/>
                <w:color w:val="000000"/>
                <w:sz w:val="22"/>
                <w:szCs w:val="22"/>
              </w:rPr>
              <w:t>9</w:t>
            </w:r>
            <w:r w:rsidRPr="00D82844">
              <w:rPr>
                <w:rFonts w:ascii="Calibri" w:eastAsia="Times New Roman" w:hAnsi="Calibri"/>
                <w:color w:val="000000"/>
                <w:sz w:val="22"/>
                <w:szCs w:val="22"/>
              </w:rPr>
              <w:t>.9</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12.7</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88.4</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19.3</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10.0</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89.2</w:t>
            </w:r>
          </w:p>
        </w:tc>
      </w:tr>
      <w:tr w:rsidR="00D82844" w:rsidRPr="00D82844" w:rsidTr="00D82844">
        <w:trPr>
          <w:trHeight w:val="300"/>
        </w:trPr>
        <w:tc>
          <w:tcPr>
            <w:tcW w:w="27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xml:space="preserve">  Count index</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15.5</w:t>
            </w:r>
          </w:p>
        </w:tc>
        <w:tc>
          <w:tcPr>
            <w:tcW w:w="106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38.6</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89.5</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14.7</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35.2</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91.4</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13.6</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38.1</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92.2</w:t>
            </w:r>
          </w:p>
        </w:tc>
      </w:tr>
      <w:tr w:rsidR="00D82844" w:rsidRPr="00D82844" w:rsidTr="00D82844">
        <w:trPr>
          <w:trHeight w:val="300"/>
        </w:trPr>
        <w:tc>
          <w:tcPr>
            <w:tcW w:w="27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xml:space="preserve">  Regression-based index</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14.2</w:t>
            </w:r>
          </w:p>
        </w:tc>
        <w:tc>
          <w:tcPr>
            <w:tcW w:w="106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41.0</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90.7</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13.6</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37.9</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92.3</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13.2</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41.1</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92.3</w:t>
            </w:r>
          </w:p>
        </w:tc>
      </w:tr>
      <w:tr w:rsidR="00D82844" w:rsidRPr="00D82844" w:rsidTr="00D82844">
        <w:trPr>
          <w:trHeight w:val="199"/>
        </w:trPr>
        <w:tc>
          <w:tcPr>
            <w:tcW w:w="27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0"/>
                <w:szCs w:val="20"/>
              </w:rPr>
            </w:pPr>
          </w:p>
        </w:tc>
        <w:tc>
          <w:tcPr>
            <w:tcW w:w="102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0"/>
                <w:szCs w:val="20"/>
              </w:rPr>
            </w:pPr>
          </w:p>
        </w:tc>
        <w:tc>
          <w:tcPr>
            <w:tcW w:w="106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0"/>
                <w:szCs w:val="20"/>
              </w:rPr>
            </w:pPr>
          </w:p>
        </w:tc>
        <w:tc>
          <w:tcPr>
            <w:tcW w:w="10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0"/>
                <w:szCs w:val="20"/>
              </w:rPr>
            </w:pP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0"/>
                <w:szCs w:val="20"/>
              </w:rPr>
            </w:pPr>
            <w:r w:rsidRPr="00D82844">
              <w:rPr>
                <w:rFonts w:ascii="Calibri" w:eastAsia="Times New Roman" w:hAnsi="Calibri"/>
                <w:color w:val="000000"/>
                <w:sz w:val="20"/>
                <w:szCs w:val="20"/>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10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114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10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114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r>
      <w:tr w:rsidR="00D82844" w:rsidRPr="00D82844" w:rsidTr="00D82844">
        <w:trPr>
          <w:trHeight w:val="330"/>
        </w:trPr>
        <w:tc>
          <w:tcPr>
            <w:tcW w:w="278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r w:rsidRPr="00D82844">
              <w:rPr>
                <w:rFonts w:ascii="Calibri" w:eastAsia="Times New Roman" w:hAnsi="Calibri"/>
                <w:b/>
                <w:bCs/>
                <w:color w:val="E26B0A"/>
                <w:sz w:val="22"/>
                <w:szCs w:val="22"/>
              </w:rPr>
              <w:t>Poverty (National line)</w:t>
            </w:r>
          </w:p>
        </w:tc>
        <w:tc>
          <w:tcPr>
            <w:tcW w:w="102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p>
        </w:tc>
        <w:tc>
          <w:tcPr>
            <w:tcW w:w="106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p>
        </w:tc>
        <w:tc>
          <w:tcPr>
            <w:tcW w:w="108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p>
        </w:tc>
        <w:tc>
          <w:tcPr>
            <w:tcW w:w="266" w:type="dxa"/>
            <w:tcBorders>
              <w:top w:val="nil"/>
              <w:left w:val="nil"/>
              <w:bottom w:val="nil"/>
              <w:right w:val="nil"/>
            </w:tcBorders>
            <w:shd w:val="clear" w:color="000000" w:fill="C4BD97"/>
            <w:vAlign w:val="center"/>
            <w:hideMark/>
          </w:tcPr>
          <w:p w:rsidR="00D82844" w:rsidRPr="00D82844" w:rsidRDefault="00D82844" w:rsidP="00D82844">
            <w:pPr>
              <w:rPr>
                <w:rFonts w:ascii="Calibri" w:eastAsia="Times New Roman" w:hAnsi="Calibri"/>
                <w:b/>
                <w:bCs/>
                <w:color w:val="E26B0A"/>
                <w:sz w:val="22"/>
                <w:szCs w:val="22"/>
              </w:rPr>
            </w:pPr>
            <w:r w:rsidRPr="00D82844">
              <w:rPr>
                <w:rFonts w:ascii="Calibri" w:eastAsia="Times New Roman" w:hAnsi="Calibri"/>
                <w:b/>
                <w:bCs/>
                <w:color w:val="E26B0A"/>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10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114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10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114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r>
      <w:tr w:rsidR="00D82844" w:rsidRPr="00D82844" w:rsidTr="00D82844">
        <w:trPr>
          <w:trHeight w:val="330"/>
        </w:trPr>
        <w:tc>
          <w:tcPr>
            <w:tcW w:w="27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xml:space="preserve">  Principal components index</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28.3</w:t>
            </w:r>
          </w:p>
        </w:tc>
        <w:tc>
          <w:tcPr>
            <w:tcW w:w="106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34.0</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81.0</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30.3</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32.4</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79.9</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30.6</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30.0</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80.4</w:t>
            </w:r>
          </w:p>
        </w:tc>
      </w:tr>
      <w:tr w:rsidR="00D82844" w:rsidRPr="00D82844" w:rsidTr="00D82844">
        <w:trPr>
          <w:trHeight w:val="300"/>
        </w:trPr>
        <w:tc>
          <w:tcPr>
            <w:tcW w:w="27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xml:space="preserve">  Count index</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22.4</w:t>
            </w:r>
          </w:p>
        </w:tc>
        <w:tc>
          <w:tcPr>
            <w:tcW w:w="106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53.0</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83.6</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22.8</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45.4</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85.9</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20.7</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52.3</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86.8</w:t>
            </w:r>
          </w:p>
        </w:tc>
      </w:tr>
      <w:tr w:rsidR="00D82844" w:rsidRPr="00D82844" w:rsidTr="00D82844">
        <w:trPr>
          <w:trHeight w:val="300"/>
        </w:trPr>
        <w:tc>
          <w:tcPr>
            <w:tcW w:w="27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xml:space="preserve">  Regression-based index</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21.9</w:t>
            </w:r>
          </w:p>
        </w:tc>
        <w:tc>
          <w:tcPr>
            <w:tcW w:w="106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57.1</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83.2</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22.2</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49.1</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85.5</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20.4</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53.3</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87.0</w:t>
            </w:r>
          </w:p>
        </w:tc>
      </w:tr>
      <w:tr w:rsidR="00D82844" w:rsidRPr="00D82844" w:rsidTr="00D82844">
        <w:trPr>
          <w:trHeight w:val="300"/>
        </w:trPr>
        <w:tc>
          <w:tcPr>
            <w:tcW w:w="2780" w:type="dxa"/>
            <w:tcBorders>
              <w:top w:val="nil"/>
              <w:left w:val="nil"/>
              <w:bottom w:val="nil"/>
              <w:right w:val="nil"/>
            </w:tcBorders>
            <w:shd w:val="clear" w:color="000000" w:fill="B8CCE4"/>
            <w:noWrap/>
            <w:vAlign w:val="bottom"/>
            <w:hideMark/>
          </w:tcPr>
          <w:p w:rsidR="00D82844" w:rsidRPr="00D82844" w:rsidRDefault="00D82844" w:rsidP="00D82844">
            <w:pPr>
              <w:rPr>
                <w:rFonts w:ascii="Calibri" w:eastAsia="Times New Roman" w:hAnsi="Calibri"/>
                <w:b/>
                <w:bCs/>
                <w:color w:val="000000"/>
                <w:sz w:val="22"/>
                <w:szCs w:val="22"/>
              </w:rPr>
            </w:pPr>
            <w:r w:rsidRPr="00D82844">
              <w:rPr>
                <w:rFonts w:ascii="Calibri" w:eastAsia="Times New Roman" w:hAnsi="Calibri"/>
                <w:b/>
                <w:bCs/>
                <w:color w:val="000000"/>
                <w:sz w:val="22"/>
                <w:szCs w:val="22"/>
              </w:rPr>
              <w:t>West Bank</w:t>
            </w:r>
          </w:p>
        </w:tc>
        <w:tc>
          <w:tcPr>
            <w:tcW w:w="1020" w:type="dxa"/>
            <w:tcBorders>
              <w:top w:val="nil"/>
              <w:left w:val="nil"/>
              <w:bottom w:val="nil"/>
              <w:right w:val="nil"/>
            </w:tcBorders>
            <w:shd w:val="clear" w:color="000000" w:fill="B8CCE4"/>
            <w:noWrap/>
            <w:vAlign w:val="bottom"/>
            <w:hideMark/>
          </w:tcPr>
          <w:p w:rsidR="00D82844" w:rsidRPr="00D82844" w:rsidRDefault="00D82844" w:rsidP="00D82844">
            <w:pPr>
              <w:jc w:val="center"/>
              <w:rPr>
                <w:rFonts w:ascii="Calibri" w:eastAsia="Times New Roman" w:hAnsi="Calibri"/>
                <w:color w:val="000000"/>
                <w:sz w:val="20"/>
                <w:szCs w:val="20"/>
              </w:rPr>
            </w:pPr>
            <w:r w:rsidRPr="00D82844">
              <w:rPr>
                <w:rFonts w:ascii="Calibri" w:eastAsia="Times New Roman" w:hAnsi="Calibri"/>
                <w:color w:val="000000"/>
                <w:sz w:val="20"/>
                <w:szCs w:val="20"/>
              </w:rPr>
              <w:t> </w:t>
            </w:r>
          </w:p>
        </w:tc>
        <w:tc>
          <w:tcPr>
            <w:tcW w:w="1060" w:type="dxa"/>
            <w:tcBorders>
              <w:top w:val="nil"/>
              <w:left w:val="nil"/>
              <w:bottom w:val="nil"/>
              <w:right w:val="nil"/>
            </w:tcBorders>
            <w:shd w:val="clear" w:color="000000" w:fill="B8CCE4"/>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80" w:type="dxa"/>
            <w:tcBorders>
              <w:top w:val="nil"/>
              <w:left w:val="nil"/>
              <w:bottom w:val="nil"/>
              <w:right w:val="nil"/>
            </w:tcBorders>
            <w:shd w:val="clear" w:color="000000" w:fill="B8CCE4"/>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000000" w:fill="B8CCE4"/>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80" w:type="dxa"/>
            <w:tcBorders>
              <w:top w:val="nil"/>
              <w:left w:val="nil"/>
              <w:bottom w:val="nil"/>
              <w:right w:val="nil"/>
            </w:tcBorders>
            <w:shd w:val="clear" w:color="000000" w:fill="B8CCE4"/>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140" w:type="dxa"/>
            <w:tcBorders>
              <w:top w:val="nil"/>
              <w:left w:val="nil"/>
              <w:bottom w:val="nil"/>
              <w:right w:val="nil"/>
            </w:tcBorders>
            <w:shd w:val="clear" w:color="000000" w:fill="B8CCE4"/>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266" w:type="dxa"/>
            <w:tcBorders>
              <w:top w:val="nil"/>
              <w:left w:val="nil"/>
              <w:bottom w:val="nil"/>
              <w:right w:val="nil"/>
            </w:tcBorders>
            <w:shd w:val="clear" w:color="000000" w:fill="B8CCE4"/>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000000" w:fill="B8CCE4"/>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80" w:type="dxa"/>
            <w:tcBorders>
              <w:top w:val="nil"/>
              <w:left w:val="nil"/>
              <w:bottom w:val="nil"/>
              <w:right w:val="nil"/>
            </w:tcBorders>
            <w:shd w:val="clear" w:color="000000" w:fill="B8CCE4"/>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140" w:type="dxa"/>
            <w:tcBorders>
              <w:top w:val="nil"/>
              <w:left w:val="nil"/>
              <w:bottom w:val="nil"/>
              <w:right w:val="nil"/>
            </w:tcBorders>
            <w:shd w:val="clear" w:color="000000" w:fill="B8CCE4"/>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r>
      <w:tr w:rsidR="00D82844" w:rsidRPr="00D82844" w:rsidTr="00D82844">
        <w:trPr>
          <w:trHeight w:val="300"/>
        </w:trPr>
        <w:tc>
          <w:tcPr>
            <w:tcW w:w="278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r w:rsidRPr="00D82844">
              <w:rPr>
                <w:rFonts w:ascii="Calibri" w:eastAsia="Times New Roman" w:hAnsi="Calibri"/>
                <w:b/>
                <w:bCs/>
                <w:color w:val="E26B0A"/>
                <w:sz w:val="22"/>
                <w:szCs w:val="22"/>
              </w:rPr>
              <w:t>Deep poverty</w:t>
            </w:r>
          </w:p>
        </w:tc>
        <w:tc>
          <w:tcPr>
            <w:tcW w:w="102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p>
        </w:tc>
        <w:tc>
          <w:tcPr>
            <w:tcW w:w="106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p>
        </w:tc>
        <w:tc>
          <w:tcPr>
            <w:tcW w:w="108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p>
        </w:tc>
        <w:tc>
          <w:tcPr>
            <w:tcW w:w="266" w:type="dxa"/>
            <w:tcBorders>
              <w:top w:val="nil"/>
              <w:left w:val="nil"/>
              <w:bottom w:val="nil"/>
              <w:right w:val="nil"/>
            </w:tcBorders>
            <w:shd w:val="clear" w:color="000000" w:fill="C4BD97"/>
            <w:vAlign w:val="center"/>
            <w:hideMark/>
          </w:tcPr>
          <w:p w:rsidR="00D82844" w:rsidRPr="00D82844" w:rsidRDefault="00D82844" w:rsidP="00D82844">
            <w:pPr>
              <w:rPr>
                <w:rFonts w:ascii="Calibri" w:eastAsia="Times New Roman" w:hAnsi="Calibri"/>
                <w:b/>
                <w:bCs/>
                <w:color w:val="E26B0A"/>
                <w:sz w:val="22"/>
                <w:szCs w:val="22"/>
              </w:rPr>
            </w:pPr>
            <w:r w:rsidRPr="00D82844">
              <w:rPr>
                <w:rFonts w:ascii="Calibri" w:eastAsia="Times New Roman" w:hAnsi="Calibri"/>
                <w:b/>
                <w:bCs/>
                <w:color w:val="E26B0A"/>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10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114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10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114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r>
      <w:tr w:rsidR="00D82844" w:rsidRPr="00D82844" w:rsidTr="00D82844">
        <w:trPr>
          <w:trHeight w:val="300"/>
        </w:trPr>
        <w:tc>
          <w:tcPr>
            <w:tcW w:w="27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xml:space="preserve">  Principal components index</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15.3</w:t>
            </w:r>
          </w:p>
        </w:tc>
        <w:tc>
          <w:tcPr>
            <w:tcW w:w="106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17.1</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89.8</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15.9</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18.7</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89.4</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15.6</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15.5</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89.3</w:t>
            </w:r>
          </w:p>
        </w:tc>
      </w:tr>
      <w:tr w:rsidR="00D82844" w:rsidRPr="00D82844" w:rsidTr="00D82844">
        <w:trPr>
          <w:trHeight w:val="300"/>
        </w:trPr>
        <w:tc>
          <w:tcPr>
            <w:tcW w:w="27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xml:space="preserve">  Count index</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13.7</w:t>
            </w:r>
          </w:p>
        </w:tc>
        <w:tc>
          <w:tcPr>
            <w:tcW w:w="106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33.2</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90.4</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11.9</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26.9</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93.0</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10.8</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28.4</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93.6</w:t>
            </w:r>
          </w:p>
        </w:tc>
      </w:tr>
      <w:tr w:rsidR="00D82844" w:rsidRPr="00D82844" w:rsidTr="00D82844">
        <w:trPr>
          <w:trHeight w:val="300"/>
        </w:trPr>
        <w:tc>
          <w:tcPr>
            <w:tcW w:w="27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xml:space="preserve">  Regression-based index</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18.7</w:t>
            </w:r>
          </w:p>
        </w:tc>
        <w:tc>
          <w:tcPr>
            <w:tcW w:w="106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31.6</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93.1</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10.6</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22.8</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94.9</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9.3</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20.6</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95.7</w:t>
            </w:r>
          </w:p>
        </w:tc>
      </w:tr>
      <w:tr w:rsidR="00D82844" w:rsidRPr="00D82844" w:rsidTr="00D82844">
        <w:trPr>
          <w:trHeight w:val="300"/>
        </w:trPr>
        <w:tc>
          <w:tcPr>
            <w:tcW w:w="2780" w:type="dxa"/>
            <w:tcBorders>
              <w:top w:val="nil"/>
              <w:left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0"/>
                <w:szCs w:val="20"/>
              </w:rPr>
            </w:pPr>
          </w:p>
        </w:tc>
        <w:tc>
          <w:tcPr>
            <w:tcW w:w="1020" w:type="dxa"/>
            <w:tcBorders>
              <w:top w:val="nil"/>
              <w:left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1060" w:type="dxa"/>
            <w:tcBorders>
              <w:top w:val="nil"/>
              <w:left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1080" w:type="dxa"/>
            <w:tcBorders>
              <w:top w:val="nil"/>
              <w:left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266" w:type="dxa"/>
            <w:tcBorders>
              <w:top w:val="nil"/>
              <w:left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0"/>
                <w:szCs w:val="20"/>
              </w:rPr>
            </w:pPr>
            <w:r w:rsidRPr="00D82844">
              <w:rPr>
                <w:rFonts w:ascii="Calibri" w:eastAsia="Times New Roman" w:hAnsi="Calibri"/>
                <w:color w:val="000000"/>
                <w:sz w:val="20"/>
                <w:szCs w:val="20"/>
              </w:rPr>
              <w:t> </w:t>
            </w:r>
          </w:p>
        </w:tc>
        <w:tc>
          <w:tcPr>
            <w:tcW w:w="1020" w:type="dxa"/>
            <w:tcBorders>
              <w:top w:val="nil"/>
              <w:left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0"/>
                <w:szCs w:val="20"/>
              </w:rPr>
            </w:pPr>
          </w:p>
        </w:tc>
        <w:tc>
          <w:tcPr>
            <w:tcW w:w="1080" w:type="dxa"/>
            <w:tcBorders>
              <w:top w:val="nil"/>
              <w:left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0"/>
                <w:szCs w:val="20"/>
              </w:rPr>
            </w:pPr>
          </w:p>
        </w:tc>
        <w:tc>
          <w:tcPr>
            <w:tcW w:w="1140" w:type="dxa"/>
            <w:tcBorders>
              <w:top w:val="nil"/>
              <w:left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0"/>
                <w:szCs w:val="20"/>
              </w:rPr>
            </w:pPr>
          </w:p>
        </w:tc>
        <w:tc>
          <w:tcPr>
            <w:tcW w:w="266" w:type="dxa"/>
            <w:tcBorders>
              <w:top w:val="nil"/>
              <w:left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0"/>
                <w:szCs w:val="20"/>
              </w:rPr>
            </w:pPr>
            <w:r w:rsidRPr="00D82844">
              <w:rPr>
                <w:rFonts w:ascii="Calibri" w:eastAsia="Times New Roman" w:hAnsi="Calibri"/>
                <w:color w:val="000000"/>
                <w:sz w:val="20"/>
                <w:szCs w:val="20"/>
              </w:rPr>
              <w:t> </w:t>
            </w:r>
          </w:p>
        </w:tc>
        <w:tc>
          <w:tcPr>
            <w:tcW w:w="1020" w:type="dxa"/>
            <w:tcBorders>
              <w:top w:val="nil"/>
              <w:left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0"/>
                <w:szCs w:val="20"/>
              </w:rPr>
            </w:pPr>
          </w:p>
        </w:tc>
        <w:tc>
          <w:tcPr>
            <w:tcW w:w="1080" w:type="dxa"/>
            <w:tcBorders>
              <w:top w:val="nil"/>
              <w:left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0"/>
                <w:szCs w:val="20"/>
              </w:rPr>
            </w:pPr>
          </w:p>
        </w:tc>
        <w:tc>
          <w:tcPr>
            <w:tcW w:w="1140" w:type="dxa"/>
            <w:tcBorders>
              <w:top w:val="nil"/>
              <w:left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0"/>
                <w:szCs w:val="20"/>
              </w:rPr>
            </w:pPr>
          </w:p>
        </w:tc>
      </w:tr>
      <w:tr w:rsidR="00D82844" w:rsidRPr="00D82844" w:rsidTr="00D82844">
        <w:trPr>
          <w:trHeight w:val="300"/>
        </w:trPr>
        <w:tc>
          <w:tcPr>
            <w:tcW w:w="278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r w:rsidRPr="00D82844">
              <w:rPr>
                <w:rFonts w:ascii="Calibri" w:eastAsia="Times New Roman" w:hAnsi="Calibri"/>
                <w:b/>
                <w:bCs/>
                <w:color w:val="E26B0A"/>
                <w:sz w:val="22"/>
                <w:szCs w:val="22"/>
              </w:rPr>
              <w:t>Poverty (National line)</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106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10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266" w:type="dxa"/>
            <w:tcBorders>
              <w:top w:val="nil"/>
              <w:left w:val="nil"/>
              <w:bottom w:val="nil"/>
              <w:right w:val="nil"/>
            </w:tcBorders>
            <w:shd w:val="clear" w:color="000000" w:fill="C4BD97"/>
            <w:vAlign w:val="center"/>
            <w:hideMark/>
          </w:tcPr>
          <w:p w:rsidR="00D82844" w:rsidRPr="00D82844" w:rsidRDefault="00D82844" w:rsidP="00D82844">
            <w:pPr>
              <w:rPr>
                <w:rFonts w:ascii="Calibri" w:eastAsia="Times New Roman" w:hAnsi="Calibri"/>
                <w:b/>
                <w:bCs/>
                <w:color w:val="E26B0A"/>
                <w:sz w:val="22"/>
                <w:szCs w:val="22"/>
              </w:rPr>
            </w:pPr>
            <w:r w:rsidRPr="00D82844">
              <w:rPr>
                <w:rFonts w:ascii="Calibri" w:eastAsia="Times New Roman" w:hAnsi="Calibri"/>
                <w:b/>
                <w:bCs/>
                <w:color w:val="E26B0A"/>
                <w:sz w:val="22"/>
                <w:szCs w:val="22"/>
              </w:rPr>
              <w:t> </w:t>
            </w:r>
          </w:p>
        </w:tc>
        <w:tc>
          <w:tcPr>
            <w:tcW w:w="102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p>
        </w:tc>
        <w:tc>
          <w:tcPr>
            <w:tcW w:w="108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p>
        </w:tc>
        <w:tc>
          <w:tcPr>
            <w:tcW w:w="114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p>
        </w:tc>
        <w:tc>
          <w:tcPr>
            <w:tcW w:w="266" w:type="dxa"/>
            <w:tcBorders>
              <w:top w:val="nil"/>
              <w:left w:val="nil"/>
              <w:bottom w:val="nil"/>
              <w:right w:val="nil"/>
            </w:tcBorders>
            <w:shd w:val="clear" w:color="000000" w:fill="C4BD97"/>
            <w:vAlign w:val="center"/>
            <w:hideMark/>
          </w:tcPr>
          <w:p w:rsidR="00D82844" w:rsidRPr="00D82844" w:rsidRDefault="00D82844" w:rsidP="00D82844">
            <w:pPr>
              <w:rPr>
                <w:rFonts w:ascii="Calibri" w:eastAsia="Times New Roman" w:hAnsi="Calibri"/>
                <w:b/>
                <w:bCs/>
                <w:color w:val="E26B0A"/>
                <w:sz w:val="22"/>
                <w:szCs w:val="22"/>
              </w:rPr>
            </w:pPr>
            <w:r w:rsidRPr="00D82844">
              <w:rPr>
                <w:rFonts w:ascii="Calibri" w:eastAsia="Times New Roman" w:hAnsi="Calibri"/>
                <w:b/>
                <w:bCs/>
                <w:color w:val="E26B0A"/>
                <w:sz w:val="22"/>
                <w:szCs w:val="22"/>
              </w:rPr>
              <w:t> </w:t>
            </w:r>
          </w:p>
        </w:tc>
        <w:tc>
          <w:tcPr>
            <w:tcW w:w="102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p>
        </w:tc>
        <w:tc>
          <w:tcPr>
            <w:tcW w:w="108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p>
        </w:tc>
        <w:tc>
          <w:tcPr>
            <w:tcW w:w="114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p>
        </w:tc>
      </w:tr>
      <w:tr w:rsidR="00D82844" w:rsidRPr="00D82844" w:rsidTr="00D82844">
        <w:trPr>
          <w:trHeight w:val="300"/>
        </w:trPr>
        <w:tc>
          <w:tcPr>
            <w:tcW w:w="27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xml:space="preserve">  Principal components index</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23.0</w:t>
            </w:r>
          </w:p>
        </w:tc>
        <w:tc>
          <w:tcPr>
            <w:tcW w:w="106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35.3</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84.6</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24.6</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35.3</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83.5</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25.5</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29.8</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82.6</w:t>
            </w:r>
          </w:p>
        </w:tc>
      </w:tr>
      <w:tr w:rsidR="00D82844" w:rsidRPr="00D82844" w:rsidTr="00D82844">
        <w:trPr>
          <w:trHeight w:val="300"/>
        </w:trPr>
        <w:tc>
          <w:tcPr>
            <w:tcW w:w="27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xml:space="preserve">  Count index</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19.6</w:t>
            </w:r>
          </w:p>
        </w:tc>
        <w:tc>
          <w:tcPr>
            <w:tcW w:w="106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47.9</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86.4</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19.7</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37.2</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89.0</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18.3</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40.8</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89.1</w:t>
            </w:r>
          </w:p>
        </w:tc>
      </w:tr>
      <w:tr w:rsidR="00D82844" w:rsidRPr="00D82844" w:rsidTr="00D82844">
        <w:trPr>
          <w:trHeight w:val="300"/>
        </w:trPr>
        <w:tc>
          <w:tcPr>
            <w:tcW w:w="2780" w:type="dxa"/>
            <w:tcBorders>
              <w:top w:val="nil"/>
              <w:left w:val="nil"/>
              <w:bottom w:val="single" w:sz="12" w:space="0" w:color="auto"/>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xml:space="preserve">  Regression-based index</w:t>
            </w:r>
          </w:p>
        </w:tc>
        <w:tc>
          <w:tcPr>
            <w:tcW w:w="1020" w:type="dxa"/>
            <w:tcBorders>
              <w:top w:val="nil"/>
              <w:left w:val="nil"/>
              <w:bottom w:val="single" w:sz="12" w:space="0" w:color="auto"/>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18.7</w:t>
            </w:r>
          </w:p>
        </w:tc>
        <w:tc>
          <w:tcPr>
            <w:tcW w:w="1060" w:type="dxa"/>
            <w:tcBorders>
              <w:top w:val="nil"/>
              <w:left w:val="nil"/>
              <w:bottom w:val="single" w:sz="12" w:space="0" w:color="auto"/>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47.7</w:t>
            </w:r>
          </w:p>
        </w:tc>
        <w:tc>
          <w:tcPr>
            <w:tcW w:w="1080" w:type="dxa"/>
            <w:tcBorders>
              <w:top w:val="nil"/>
              <w:left w:val="nil"/>
              <w:bottom w:val="single" w:sz="12" w:space="0" w:color="auto"/>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87.5</w:t>
            </w:r>
          </w:p>
        </w:tc>
        <w:tc>
          <w:tcPr>
            <w:tcW w:w="266" w:type="dxa"/>
            <w:tcBorders>
              <w:top w:val="nil"/>
              <w:left w:val="nil"/>
              <w:bottom w:val="single" w:sz="12" w:space="0" w:color="auto"/>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single" w:sz="12" w:space="0" w:color="auto"/>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18.8</w:t>
            </w:r>
          </w:p>
        </w:tc>
        <w:tc>
          <w:tcPr>
            <w:tcW w:w="1080" w:type="dxa"/>
            <w:tcBorders>
              <w:top w:val="nil"/>
              <w:left w:val="nil"/>
              <w:bottom w:val="single" w:sz="12" w:space="0" w:color="auto"/>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38.1</w:t>
            </w:r>
          </w:p>
        </w:tc>
        <w:tc>
          <w:tcPr>
            <w:tcW w:w="1140" w:type="dxa"/>
            <w:tcBorders>
              <w:top w:val="nil"/>
              <w:left w:val="nil"/>
              <w:bottom w:val="single" w:sz="12" w:space="0" w:color="auto"/>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89.9</w:t>
            </w:r>
          </w:p>
        </w:tc>
        <w:tc>
          <w:tcPr>
            <w:tcW w:w="266" w:type="dxa"/>
            <w:tcBorders>
              <w:top w:val="nil"/>
              <w:left w:val="nil"/>
              <w:bottom w:val="single" w:sz="12" w:space="0" w:color="auto"/>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single" w:sz="12" w:space="0" w:color="auto"/>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17.4</w:t>
            </w:r>
          </w:p>
        </w:tc>
        <w:tc>
          <w:tcPr>
            <w:tcW w:w="1080" w:type="dxa"/>
            <w:tcBorders>
              <w:top w:val="nil"/>
              <w:left w:val="nil"/>
              <w:bottom w:val="single" w:sz="12" w:space="0" w:color="auto"/>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34.8</w:t>
            </w:r>
          </w:p>
        </w:tc>
        <w:tc>
          <w:tcPr>
            <w:tcW w:w="1140" w:type="dxa"/>
            <w:tcBorders>
              <w:top w:val="nil"/>
              <w:left w:val="nil"/>
              <w:bottom w:val="single" w:sz="12" w:space="0" w:color="auto"/>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91.2</w:t>
            </w:r>
          </w:p>
        </w:tc>
      </w:tr>
    </w:tbl>
    <w:p w:rsidR="00D82844" w:rsidRPr="00D82844" w:rsidRDefault="00D82844" w:rsidP="00D82844">
      <w:pPr>
        <w:jc w:val="right"/>
        <w:rPr>
          <w:rFonts w:asciiTheme="minorHAnsi" w:hAnsiTheme="minorHAnsi"/>
        </w:rPr>
      </w:pPr>
      <w:r w:rsidRPr="00D82844">
        <w:rPr>
          <w:rFonts w:asciiTheme="minorHAnsi" w:hAnsiTheme="minorHAnsi"/>
        </w:rPr>
        <w:t>Continued…</w:t>
      </w:r>
      <w:r w:rsidRPr="00D82844">
        <w:rPr>
          <w:rFonts w:asciiTheme="minorHAnsi" w:hAnsiTheme="minorHAnsi"/>
        </w:rPr>
        <w:br w:type="page"/>
      </w:r>
      <w:r w:rsidRPr="00D82844">
        <w:rPr>
          <w:rFonts w:asciiTheme="minorHAnsi" w:hAnsiTheme="minorHAnsi"/>
        </w:rPr>
        <w:lastRenderedPageBreak/>
        <w:tab/>
      </w:r>
    </w:p>
    <w:tbl>
      <w:tblPr>
        <w:tblW w:w="12952" w:type="dxa"/>
        <w:tblInd w:w="93" w:type="dxa"/>
        <w:tblLook w:val="04A0" w:firstRow="1" w:lastRow="0" w:firstColumn="1" w:lastColumn="0" w:noHBand="0" w:noVBand="1"/>
      </w:tblPr>
      <w:tblGrid>
        <w:gridCol w:w="2780"/>
        <w:gridCol w:w="1020"/>
        <w:gridCol w:w="1060"/>
        <w:gridCol w:w="1080"/>
        <w:gridCol w:w="266"/>
        <w:gridCol w:w="1020"/>
        <w:gridCol w:w="1080"/>
        <w:gridCol w:w="1140"/>
        <w:gridCol w:w="266"/>
        <w:gridCol w:w="1020"/>
        <w:gridCol w:w="1080"/>
        <w:gridCol w:w="1140"/>
      </w:tblGrid>
      <w:tr w:rsidR="00D82844" w:rsidRPr="00D82844" w:rsidTr="00D82844">
        <w:trPr>
          <w:trHeight w:val="300"/>
        </w:trPr>
        <w:tc>
          <w:tcPr>
            <w:tcW w:w="2780" w:type="dxa"/>
            <w:tcBorders>
              <w:top w:val="single" w:sz="12" w:space="0" w:color="auto"/>
              <w:left w:val="nil"/>
              <w:bottom w:val="nil"/>
              <w:right w:val="nil"/>
            </w:tcBorders>
            <w:shd w:val="clear" w:color="000000" w:fill="B8CCE4"/>
            <w:noWrap/>
            <w:vAlign w:val="bottom"/>
            <w:hideMark/>
          </w:tcPr>
          <w:p w:rsidR="00D82844" w:rsidRPr="00D82844" w:rsidRDefault="00D82844" w:rsidP="00D82844">
            <w:pPr>
              <w:rPr>
                <w:rFonts w:ascii="Calibri" w:eastAsia="Times New Roman" w:hAnsi="Calibri"/>
                <w:b/>
                <w:bCs/>
                <w:color w:val="000000"/>
                <w:sz w:val="22"/>
                <w:szCs w:val="22"/>
              </w:rPr>
            </w:pPr>
            <w:r w:rsidRPr="00D82844">
              <w:rPr>
                <w:rFonts w:ascii="Calibri" w:eastAsia="Times New Roman" w:hAnsi="Calibri"/>
                <w:b/>
                <w:bCs/>
                <w:color w:val="000000"/>
                <w:sz w:val="22"/>
                <w:szCs w:val="22"/>
              </w:rPr>
              <w:t>Gaza</w:t>
            </w:r>
          </w:p>
        </w:tc>
        <w:tc>
          <w:tcPr>
            <w:tcW w:w="1020" w:type="dxa"/>
            <w:tcBorders>
              <w:top w:val="single" w:sz="12" w:space="0" w:color="auto"/>
              <w:left w:val="nil"/>
              <w:bottom w:val="nil"/>
              <w:right w:val="nil"/>
            </w:tcBorders>
            <w:shd w:val="clear" w:color="000000" w:fill="B8CCE4"/>
            <w:noWrap/>
            <w:vAlign w:val="bottom"/>
            <w:hideMark/>
          </w:tcPr>
          <w:p w:rsidR="00D82844" w:rsidRPr="00D82844" w:rsidRDefault="00D82844" w:rsidP="00D82844">
            <w:pPr>
              <w:jc w:val="center"/>
              <w:rPr>
                <w:rFonts w:ascii="Calibri" w:eastAsia="Times New Roman" w:hAnsi="Calibri"/>
                <w:color w:val="000000"/>
                <w:sz w:val="20"/>
                <w:szCs w:val="20"/>
              </w:rPr>
            </w:pPr>
            <w:r w:rsidRPr="00D82844">
              <w:rPr>
                <w:rFonts w:ascii="Calibri" w:eastAsia="Times New Roman" w:hAnsi="Calibri"/>
                <w:color w:val="000000"/>
                <w:sz w:val="20"/>
                <w:szCs w:val="20"/>
              </w:rPr>
              <w:t> </w:t>
            </w:r>
          </w:p>
        </w:tc>
        <w:tc>
          <w:tcPr>
            <w:tcW w:w="1060" w:type="dxa"/>
            <w:tcBorders>
              <w:top w:val="single" w:sz="12" w:space="0" w:color="auto"/>
              <w:left w:val="nil"/>
              <w:bottom w:val="nil"/>
              <w:right w:val="nil"/>
            </w:tcBorders>
            <w:shd w:val="clear" w:color="000000" w:fill="B8CCE4"/>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80" w:type="dxa"/>
            <w:tcBorders>
              <w:top w:val="single" w:sz="12" w:space="0" w:color="auto"/>
              <w:left w:val="nil"/>
              <w:bottom w:val="nil"/>
              <w:right w:val="nil"/>
            </w:tcBorders>
            <w:shd w:val="clear" w:color="000000" w:fill="B8CCE4"/>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266" w:type="dxa"/>
            <w:tcBorders>
              <w:top w:val="single" w:sz="12" w:space="0" w:color="auto"/>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single" w:sz="12" w:space="0" w:color="auto"/>
              <w:left w:val="nil"/>
              <w:bottom w:val="nil"/>
              <w:right w:val="nil"/>
            </w:tcBorders>
            <w:shd w:val="clear" w:color="000000" w:fill="B8CCE4"/>
            <w:noWrap/>
            <w:vAlign w:val="bottom"/>
            <w:hideMark/>
          </w:tcPr>
          <w:p w:rsidR="00D82844" w:rsidRPr="00D82844" w:rsidRDefault="00D82844" w:rsidP="00D82844">
            <w:pPr>
              <w:jc w:val="center"/>
              <w:rPr>
                <w:rFonts w:ascii="Calibri" w:eastAsia="Times New Roman" w:hAnsi="Calibri"/>
                <w:color w:val="000000"/>
                <w:sz w:val="20"/>
                <w:szCs w:val="20"/>
              </w:rPr>
            </w:pPr>
            <w:r w:rsidRPr="00D82844">
              <w:rPr>
                <w:rFonts w:ascii="Calibri" w:eastAsia="Times New Roman" w:hAnsi="Calibri"/>
                <w:color w:val="000000"/>
                <w:sz w:val="20"/>
                <w:szCs w:val="20"/>
              </w:rPr>
              <w:t> </w:t>
            </w:r>
          </w:p>
        </w:tc>
        <w:tc>
          <w:tcPr>
            <w:tcW w:w="1080" w:type="dxa"/>
            <w:tcBorders>
              <w:top w:val="single" w:sz="12" w:space="0" w:color="auto"/>
              <w:left w:val="nil"/>
              <w:bottom w:val="nil"/>
              <w:right w:val="nil"/>
            </w:tcBorders>
            <w:shd w:val="clear" w:color="000000" w:fill="B8CCE4"/>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140" w:type="dxa"/>
            <w:tcBorders>
              <w:top w:val="single" w:sz="12" w:space="0" w:color="auto"/>
              <w:left w:val="nil"/>
              <w:bottom w:val="nil"/>
              <w:right w:val="nil"/>
            </w:tcBorders>
            <w:shd w:val="clear" w:color="000000" w:fill="B8CCE4"/>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266" w:type="dxa"/>
            <w:tcBorders>
              <w:top w:val="single" w:sz="12" w:space="0" w:color="auto"/>
              <w:left w:val="nil"/>
              <w:bottom w:val="nil"/>
              <w:right w:val="nil"/>
            </w:tcBorders>
            <w:shd w:val="clear" w:color="000000" w:fill="B8CCE4"/>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single" w:sz="12" w:space="0" w:color="auto"/>
              <w:left w:val="nil"/>
              <w:bottom w:val="nil"/>
              <w:right w:val="nil"/>
            </w:tcBorders>
            <w:shd w:val="clear" w:color="000000" w:fill="B8CCE4"/>
            <w:noWrap/>
            <w:vAlign w:val="bottom"/>
            <w:hideMark/>
          </w:tcPr>
          <w:p w:rsidR="00D82844" w:rsidRPr="00D82844" w:rsidRDefault="00D82844" w:rsidP="00D82844">
            <w:pPr>
              <w:jc w:val="center"/>
              <w:rPr>
                <w:rFonts w:ascii="Calibri" w:eastAsia="Times New Roman" w:hAnsi="Calibri"/>
                <w:color w:val="000000"/>
                <w:sz w:val="20"/>
                <w:szCs w:val="20"/>
              </w:rPr>
            </w:pPr>
            <w:r w:rsidRPr="00D82844">
              <w:rPr>
                <w:rFonts w:ascii="Calibri" w:eastAsia="Times New Roman" w:hAnsi="Calibri"/>
                <w:color w:val="000000"/>
                <w:sz w:val="20"/>
                <w:szCs w:val="20"/>
              </w:rPr>
              <w:t> </w:t>
            </w:r>
          </w:p>
        </w:tc>
        <w:tc>
          <w:tcPr>
            <w:tcW w:w="1080" w:type="dxa"/>
            <w:tcBorders>
              <w:top w:val="single" w:sz="12" w:space="0" w:color="auto"/>
              <w:left w:val="nil"/>
              <w:bottom w:val="nil"/>
              <w:right w:val="nil"/>
            </w:tcBorders>
            <w:shd w:val="clear" w:color="000000" w:fill="B8CCE4"/>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140" w:type="dxa"/>
            <w:tcBorders>
              <w:top w:val="single" w:sz="12" w:space="0" w:color="auto"/>
              <w:left w:val="nil"/>
              <w:bottom w:val="nil"/>
              <w:right w:val="nil"/>
            </w:tcBorders>
            <w:shd w:val="clear" w:color="000000" w:fill="B8CCE4"/>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r>
      <w:tr w:rsidR="00D82844" w:rsidRPr="00D82844" w:rsidTr="00D82844">
        <w:trPr>
          <w:trHeight w:val="300"/>
        </w:trPr>
        <w:tc>
          <w:tcPr>
            <w:tcW w:w="278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r w:rsidRPr="00D82844">
              <w:rPr>
                <w:rFonts w:ascii="Calibri" w:eastAsia="Times New Roman" w:hAnsi="Calibri"/>
                <w:b/>
                <w:bCs/>
                <w:color w:val="E26B0A"/>
                <w:sz w:val="22"/>
                <w:szCs w:val="22"/>
              </w:rPr>
              <w:t>Deep poverty</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106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10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266" w:type="dxa"/>
            <w:tcBorders>
              <w:top w:val="nil"/>
              <w:left w:val="nil"/>
              <w:bottom w:val="nil"/>
              <w:right w:val="nil"/>
            </w:tcBorders>
            <w:shd w:val="clear" w:color="000000" w:fill="C4BD97"/>
            <w:vAlign w:val="center"/>
            <w:hideMark/>
          </w:tcPr>
          <w:p w:rsidR="00D82844" w:rsidRPr="00D82844" w:rsidRDefault="00D82844" w:rsidP="00D82844">
            <w:pPr>
              <w:rPr>
                <w:rFonts w:ascii="Calibri" w:eastAsia="Times New Roman" w:hAnsi="Calibri"/>
                <w:b/>
                <w:bCs/>
                <w:color w:val="E26B0A"/>
                <w:sz w:val="22"/>
                <w:szCs w:val="22"/>
              </w:rPr>
            </w:pPr>
            <w:r w:rsidRPr="00D82844">
              <w:rPr>
                <w:rFonts w:ascii="Calibri" w:eastAsia="Times New Roman" w:hAnsi="Calibri"/>
                <w:b/>
                <w:bCs/>
                <w:color w:val="E26B0A"/>
                <w:sz w:val="22"/>
                <w:szCs w:val="22"/>
              </w:rPr>
              <w:t> </w:t>
            </w:r>
          </w:p>
        </w:tc>
        <w:tc>
          <w:tcPr>
            <w:tcW w:w="102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p>
        </w:tc>
        <w:tc>
          <w:tcPr>
            <w:tcW w:w="108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p>
        </w:tc>
        <w:tc>
          <w:tcPr>
            <w:tcW w:w="114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p>
        </w:tc>
        <w:tc>
          <w:tcPr>
            <w:tcW w:w="266" w:type="dxa"/>
            <w:tcBorders>
              <w:top w:val="nil"/>
              <w:left w:val="nil"/>
              <w:bottom w:val="nil"/>
              <w:right w:val="nil"/>
            </w:tcBorders>
            <w:shd w:val="clear" w:color="000000" w:fill="C4BD97"/>
            <w:vAlign w:val="center"/>
            <w:hideMark/>
          </w:tcPr>
          <w:p w:rsidR="00D82844" w:rsidRPr="00D82844" w:rsidRDefault="00D82844" w:rsidP="00D82844">
            <w:pPr>
              <w:rPr>
                <w:rFonts w:ascii="Calibri" w:eastAsia="Times New Roman" w:hAnsi="Calibri"/>
                <w:b/>
                <w:bCs/>
                <w:color w:val="E26B0A"/>
                <w:sz w:val="22"/>
                <w:szCs w:val="22"/>
              </w:rPr>
            </w:pPr>
            <w:r w:rsidRPr="00D82844">
              <w:rPr>
                <w:rFonts w:ascii="Calibri" w:eastAsia="Times New Roman" w:hAnsi="Calibri"/>
                <w:b/>
                <w:bCs/>
                <w:color w:val="E26B0A"/>
                <w:sz w:val="22"/>
                <w:szCs w:val="22"/>
              </w:rPr>
              <w:t> </w:t>
            </w:r>
          </w:p>
        </w:tc>
        <w:tc>
          <w:tcPr>
            <w:tcW w:w="102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p>
        </w:tc>
        <w:tc>
          <w:tcPr>
            <w:tcW w:w="108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p>
        </w:tc>
        <w:tc>
          <w:tcPr>
            <w:tcW w:w="114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p>
        </w:tc>
      </w:tr>
      <w:tr w:rsidR="00D82844" w:rsidRPr="00D82844" w:rsidTr="00D82844">
        <w:trPr>
          <w:trHeight w:val="300"/>
        </w:trPr>
        <w:tc>
          <w:tcPr>
            <w:tcW w:w="27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xml:space="preserve">  Principal components index</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26.3</w:t>
            </w:r>
          </w:p>
        </w:tc>
        <w:tc>
          <w:tcPr>
            <w:tcW w:w="106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14.1</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85.0</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28.5</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7.4</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85.8</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26.9</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6.0</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88.9</w:t>
            </w:r>
          </w:p>
        </w:tc>
      </w:tr>
      <w:tr w:rsidR="00D82844" w:rsidRPr="00D82844" w:rsidTr="00D82844">
        <w:trPr>
          <w:trHeight w:val="300"/>
        </w:trPr>
        <w:tc>
          <w:tcPr>
            <w:tcW w:w="27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xml:space="preserve">  Count index</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19.7</w:t>
            </w:r>
          </w:p>
        </w:tc>
        <w:tc>
          <w:tcPr>
            <w:tcW w:w="106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44.0</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87.2</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20.7</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42.6</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87.5</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19.3</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45.1</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89.0</w:t>
            </w:r>
          </w:p>
        </w:tc>
      </w:tr>
      <w:tr w:rsidR="00D82844" w:rsidRPr="00D82844" w:rsidTr="00D82844">
        <w:trPr>
          <w:trHeight w:val="300"/>
        </w:trPr>
        <w:tc>
          <w:tcPr>
            <w:tcW w:w="27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xml:space="preserve">  Regression-based index</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20.7</w:t>
            </w:r>
          </w:p>
        </w:tc>
        <w:tc>
          <w:tcPr>
            <w:tcW w:w="106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50.3</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84.8</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20.21</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51.4</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86.1</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21.1</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56.0</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84.3</w:t>
            </w:r>
          </w:p>
        </w:tc>
      </w:tr>
      <w:tr w:rsidR="00D82844" w:rsidRPr="00D82844" w:rsidTr="00D82844">
        <w:trPr>
          <w:trHeight w:val="300"/>
        </w:trPr>
        <w:tc>
          <w:tcPr>
            <w:tcW w:w="27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0"/>
                <w:szCs w:val="20"/>
              </w:rPr>
            </w:pPr>
          </w:p>
        </w:tc>
        <w:tc>
          <w:tcPr>
            <w:tcW w:w="102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106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10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0"/>
                <w:szCs w:val="20"/>
              </w:rPr>
            </w:pPr>
            <w:r w:rsidRPr="00D82844">
              <w:rPr>
                <w:rFonts w:ascii="Calibri" w:eastAsia="Times New Roman" w:hAnsi="Calibri"/>
                <w:color w:val="000000"/>
                <w:sz w:val="20"/>
                <w:szCs w:val="20"/>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0"/>
                <w:szCs w:val="20"/>
              </w:rPr>
            </w:pPr>
          </w:p>
        </w:tc>
        <w:tc>
          <w:tcPr>
            <w:tcW w:w="10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0"/>
                <w:szCs w:val="20"/>
              </w:rPr>
            </w:pPr>
          </w:p>
        </w:tc>
        <w:tc>
          <w:tcPr>
            <w:tcW w:w="114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0"/>
                <w:szCs w:val="20"/>
              </w:rPr>
            </w:pP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0"/>
                <w:szCs w:val="20"/>
              </w:rPr>
            </w:pPr>
            <w:r w:rsidRPr="00D82844">
              <w:rPr>
                <w:rFonts w:ascii="Calibri" w:eastAsia="Times New Roman" w:hAnsi="Calibri"/>
                <w:color w:val="000000"/>
                <w:sz w:val="20"/>
                <w:szCs w:val="20"/>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0"/>
                <w:szCs w:val="20"/>
              </w:rPr>
            </w:pPr>
          </w:p>
        </w:tc>
        <w:tc>
          <w:tcPr>
            <w:tcW w:w="10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0"/>
                <w:szCs w:val="20"/>
              </w:rPr>
            </w:pPr>
          </w:p>
        </w:tc>
        <w:tc>
          <w:tcPr>
            <w:tcW w:w="114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0"/>
                <w:szCs w:val="20"/>
              </w:rPr>
            </w:pPr>
          </w:p>
        </w:tc>
      </w:tr>
      <w:tr w:rsidR="00D82844" w:rsidRPr="00D82844" w:rsidTr="00D82844">
        <w:trPr>
          <w:trHeight w:val="300"/>
        </w:trPr>
        <w:tc>
          <w:tcPr>
            <w:tcW w:w="278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r w:rsidRPr="00D82844">
              <w:rPr>
                <w:rFonts w:ascii="Calibri" w:eastAsia="Times New Roman" w:hAnsi="Calibri"/>
                <w:b/>
                <w:bCs/>
                <w:color w:val="E26B0A"/>
                <w:sz w:val="22"/>
                <w:szCs w:val="22"/>
              </w:rPr>
              <w:t>Poverty (National line)</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106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10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p>
        </w:tc>
        <w:tc>
          <w:tcPr>
            <w:tcW w:w="266" w:type="dxa"/>
            <w:tcBorders>
              <w:top w:val="nil"/>
              <w:left w:val="nil"/>
              <w:bottom w:val="nil"/>
              <w:right w:val="nil"/>
            </w:tcBorders>
            <w:shd w:val="clear" w:color="000000" w:fill="C4BD97"/>
            <w:vAlign w:val="center"/>
            <w:hideMark/>
          </w:tcPr>
          <w:p w:rsidR="00D82844" w:rsidRPr="00D82844" w:rsidRDefault="00D82844" w:rsidP="00D82844">
            <w:pPr>
              <w:rPr>
                <w:rFonts w:ascii="Calibri" w:eastAsia="Times New Roman" w:hAnsi="Calibri"/>
                <w:b/>
                <w:bCs/>
                <w:color w:val="E26B0A"/>
                <w:sz w:val="22"/>
                <w:szCs w:val="22"/>
              </w:rPr>
            </w:pPr>
            <w:r w:rsidRPr="00D82844">
              <w:rPr>
                <w:rFonts w:ascii="Calibri" w:eastAsia="Times New Roman" w:hAnsi="Calibri"/>
                <w:b/>
                <w:bCs/>
                <w:color w:val="E26B0A"/>
                <w:sz w:val="22"/>
                <w:szCs w:val="22"/>
              </w:rPr>
              <w:t> </w:t>
            </w:r>
          </w:p>
        </w:tc>
        <w:tc>
          <w:tcPr>
            <w:tcW w:w="102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p>
        </w:tc>
        <w:tc>
          <w:tcPr>
            <w:tcW w:w="108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p>
        </w:tc>
        <w:tc>
          <w:tcPr>
            <w:tcW w:w="114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p>
        </w:tc>
        <w:tc>
          <w:tcPr>
            <w:tcW w:w="266" w:type="dxa"/>
            <w:tcBorders>
              <w:top w:val="nil"/>
              <w:left w:val="nil"/>
              <w:bottom w:val="nil"/>
              <w:right w:val="nil"/>
            </w:tcBorders>
            <w:shd w:val="clear" w:color="000000" w:fill="C4BD97"/>
            <w:vAlign w:val="center"/>
            <w:hideMark/>
          </w:tcPr>
          <w:p w:rsidR="00D82844" w:rsidRPr="00D82844" w:rsidRDefault="00D82844" w:rsidP="00D82844">
            <w:pPr>
              <w:rPr>
                <w:rFonts w:ascii="Calibri" w:eastAsia="Times New Roman" w:hAnsi="Calibri"/>
                <w:b/>
                <w:bCs/>
                <w:color w:val="E26B0A"/>
                <w:sz w:val="22"/>
                <w:szCs w:val="22"/>
              </w:rPr>
            </w:pPr>
            <w:r w:rsidRPr="00D82844">
              <w:rPr>
                <w:rFonts w:ascii="Calibri" w:eastAsia="Times New Roman" w:hAnsi="Calibri"/>
                <w:b/>
                <w:bCs/>
                <w:color w:val="E26B0A"/>
                <w:sz w:val="22"/>
                <w:szCs w:val="22"/>
              </w:rPr>
              <w:t> </w:t>
            </w:r>
          </w:p>
        </w:tc>
        <w:tc>
          <w:tcPr>
            <w:tcW w:w="102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p>
        </w:tc>
        <w:tc>
          <w:tcPr>
            <w:tcW w:w="108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p>
        </w:tc>
        <w:tc>
          <w:tcPr>
            <w:tcW w:w="1140" w:type="dxa"/>
            <w:tcBorders>
              <w:top w:val="nil"/>
              <w:left w:val="nil"/>
              <w:bottom w:val="nil"/>
              <w:right w:val="nil"/>
            </w:tcBorders>
            <w:shd w:val="clear" w:color="auto" w:fill="auto"/>
            <w:vAlign w:val="center"/>
            <w:hideMark/>
          </w:tcPr>
          <w:p w:rsidR="00D82844" w:rsidRPr="00D82844" w:rsidRDefault="00D82844" w:rsidP="00D82844">
            <w:pPr>
              <w:rPr>
                <w:rFonts w:ascii="Calibri" w:eastAsia="Times New Roman" w:hAnsi="Calibri"/>
                <w:b/>
                <w:bCs/>
                <w:color w:val="E26B0A"/>
                <w:sz w:val="22"/>
                <w:szCs w:val="22"/>
              </w:rPr>
            </w:pPr>
          </w:p>
        </w:tc>
      </w:tr>
      <w:tr w:rsidR="00D82844" w:rsidRPr="00D82844" w:rsidTr="00D82844">
        <w:trPr>
          <w:trHeight w:val="300"/>
        </w:trPr>
        <w:tc>
          <w:tcPr>
            <w:tcW w:w="27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xml:space="preserve">  Principal components index</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39.9</w:t>
            </w:r>
          </w:p>
        </w:tc>
        <w:tc>
          <w:tcPr>
            <w:tcW w:w="106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32.5</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71.3</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42.6</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28.9</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70.3</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41.1</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30.1</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74.6</w:t>
            </w:r>
          </w:p>
        </w:tc>
      </w:tr>
      <w:tr w:rsidR="00D82844" w:rsidRPr="00D82844" w:rsidTr="00D82844">
        <w:trPr>
          <w:trHeight w:val="300"/>
        </w:trPr>
        <w:tc>
          <w:tcPr>
            <w:tcW w:w="27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xml:space="preserve">  Count index</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28.8</w:t>
            </w:r>
          </w:p>
        </w:tc>
        <w:tc>
          <w:tcPr>
            <w:tcW w:w="106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59.1</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76.2</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29.4</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54.9</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77.2</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25.7</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62.6</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80.6</w:t>
            </w:r>
          </w:p>
        </w:tc>
      </w:tr>
      <w:tr w:rsidR="00D82844" w:rsidRPr="00D82844" w:rsidTr="00D82844">
        <w:trPr>
          <w:trHeight w:val="300"/>
        </w:trPr>
        <w:tc>
          <w:tcPr>
            <w:tcW w:w="2780" w:type="dxa"/>
            <w:tcBorders>
              <w:top w:val="nil"/>
              <w:left w:val="nil"/>
              <w:bottom w:val="nil"/>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xml:space="preserve">  Regression-based index</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29.0</w:t>
            </w:r>
          </w:p>
        </w:tc>
        <w:tc>
          <w:tcPr>
            <w:tcW w:w="106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68.4</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72.0</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29.8</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61.9</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74.0</w:t>
            </w:r>
          </w:p>
        </w:tc>
        <w:tc>
          <w:tcPr>
            <w:tcW w:w="266" w:type="dxa"/>
            <w:tcBorders>
              <w:top w:val="nil"/>
              <w:left w:val="nil"/>
              <w:bottom w:val="nil"/>
              <w:right w:val="nil"/>
            </w:tcBorders>
            <w:shd w:val="clear" w:color="000000" w:fill="C4BD97"/>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26.3</w:t>
            </w:r>
          </w:p>
        </w:tc>
        <w:tc>
          <w:tcPr>
            <w:tcW w:w="108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70.1</w:t>
            </w:r>
          </w:p>
        </w:tc>
        <w:tc>
          <w:tcPr>
            <w:tcW w:w="1140" w:type="dxa"/>
            <w:tcBorders>
              <w:top w:val="nil"/>
              <w:left w:val="nil"/>
              <w:bottom w:val="nil"/>
              <w:right w:val="nil"/>
            </w:tcBorders>
            <w:shd w:val="clear" w:color="auto" w:fill="auto"/>
            <w:noWrap/>
            <w:vAlign w:val="bottom"/>
            <w:hideMark/>
          </w:tcPr>
          <w:p w:rsidR="00D82844" w:rsidRPr="00D82844" w:rsidRDefault="00D82844" w:rsidP="00D82844">
            <w:pPr>
              <w:jc w:val="right"/>
              <w:rPr>
                <w:rFonts w:ascii="Calibri" w:eastAsia="Times New Roman" w:hAnsi="Calibri"/>
                <w:color w:val="000000"/>
                <w:sz w:val="22"/>
                <w:szCs w:val="22"/>
              </w:rPr>
            </w:pPr>
            <w:r w:rsidRPr="00D82844">
              <w:rPr>
                <w:rFonts w:ascii="Calibri" w:eastAsia="Times New Roman" w:hAnsi="Calibri"/>
                <w:color w:val="000000"/>
                <w:sz w:val="22"/>
                <w:szCs w:val="22"/>
              </w:rPr>
              <w:t>75.6</w:t>
            </w:r>
          </w:p>
        </w:tc>
      </w:tr>
      <w:tr w:rsidR="00D82844" w:rsidRPr="00D82844" w:rsidTr="00D82844">
        <w:trPr>
          <w:trHeight w:val="315"/>
        </w:trPr>
        <w:tc>
          <w:tcPr>
            <w:tcW w:w="2780" w:type="dxa"/>
            <w:tcBorders>
              <w:top w:val="nil"/>
              <w:left w:val="nil"/>
              <w:bottom w:val="single" w:sz="8" w:space="0" w:color="auto"/>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single" w:sz="8" w:space="0" w:color="auto"/>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60" w:type="dxa"/>
            <w:tcBorders>
              <w:top w:val="nil"/>
              <w:left w:val="nil"/>
              <w:bottom w:val="single" w:sz="8" w:space="0" w:color="auto"/>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80" w:type="dxa"/>
            <w:tcBorders>
              <w:top w:val="nil"/>
              <w:left w:val="nil"/>
              <w:bottom w:val="single" w:sz="8" w:space="0" w:color="auto"/>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266" w:type="dxa"/>
            <w:tcBorders>
              <w:top w:val="nil"/>
              <w:left w:val="nil"/>
              <w:bottom w:val="single" w:sz="8" w:space="0" w:color="auto"/>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single" w:sz="8" w:space="0" w:color="auto"/>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80" w:type="dxa"/>
            <w:tcBorders>
              <w:top w:val="nil"/>
              <w:left w:val="nil"/>
              <w:bottom w:val="single" w:sz="8" w:space="0" w:color="auto"/>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140" w:type="dxa"/>
            <w:tcBorders>
              <w:top w:val="nil"/>
              <w:left w:val="nil"/>
              <w:bottom w:val="single" w:sz="8" w:space="0" w:color="auto"/>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266" w:type="dxa"/>
            <w:tcBorders>
              <w:top w:val="nil"/>
              <w:left w:val="nil"/>
              <w:bottom w:val="single" w:sz="8" w:space="0" w:color="auto"/>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20" w:type="dxa"/>
            <w:tcBorders>
              <w:top w:val="nil"/>
              <w:left w:val="nil"/>
              <w:bottom w:val="single" w:sz="8" w:space="0" w:color="auto"/>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080" w:type="dxa"/>
            <w:tcBorders>
              <w:top w:val="nil"/>
              <w:left w:val="nil"/>
              <w:bottom w:val="single" w:sz="8" w:space="0" w:color="auto"/>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c>
          <w:tcPr>
            <w:tcW w:w="1140" w:type="dxa"/>
            <w:tcBorders>
              <w:top w:val="nil"/>
              <w:left w:val="nil"/>
              <w:bottom w:val="single" w:sz="8" w:space="0" w:color="auto"/>
              <w:right w:val="nil"/>
            </w:tcBorders>
            <w:shd w:val="clear" w:color="auto" w:fill="auto"/>
            <w:noWrap/>
            <w:vAlign w:val="bottom"/>
            <w:hideMark/>
          </w:tcPr>
          <w:p w:rsidR="00D82844" w:rsidRPr="00D82844" w:rsidRDefault="00D82844" w:rsidP="00D82844">
            <w:pPr>
              <w:rPr>
                <w:rFonts w:ascii="Calibri" w:eastAsia="Times New Roman" w:hAnsi="Calibri"/>
                <w:color w:val="000000"/>
                <w:sz w:val="22"/>
                <w:szCs w:val="22"/>
              </w:rPr>
            </w:pPr>
            <w:r w:rsidRPr="00D82844">
              <w:rPr>
                <w:rFonts w:ascii="Calibri" w:eastAsia="Times New Roman" w:hAnsi="Calibri"/>
                <w:color w:val="000000"/>
                <w:sz w:val="22"/>
                <w:szCs w:val="22"/>
              </w:rPr>
              <w:t> </w:t>
            </w:r>
          </w:p>
        </w:tc>
      </w:tr>
    </w:tbl>
    <w:p w:rsidR="00D82844" w:rsidRDefault="00D82844">
      <w:pPr>
        <w:rPr>
          <w:rFonts w:asciiTheme="minorHAnsi" w:hAnsiTheme="minorHAnsi"/>
        </w:rPr>
        <w:sectPr w:rsidR="00D82844" w:rsidSect="00465AE7">
          <w:pgSz w:w="15840" w:h="12240" w:orient="landscape"/>
          <w:pgMar w:top="1440" w:right="1440" w:bottom="1440" w:left="1440" w:header="720" w:footer="720" w:gutter="0"/>
          <w:cols w:space="720"/>
          <w:docGrid w:linePitch="360"/>
        </w:sectPr>
      </w:pPr>
    </w:p>
    <w:p w:rsidR="00B1127B" w:rsidRDefault="00A043E7" w:rsidP="00194352">
      <w:pPr>
        <w:rPr>
          <w:rFonts w:asciiTheme="minorHAnsi" w:hAnsiTheme="minorHAnsi"/>
        </w:rPr>
      </w:pPr>
      <w:r>
        <w:rPr>
          <w:rFonts w:asciiTheme="minorHAnsi" w:hAnsiTheme="minorHAnsi"/>
        </w:rPr>
        <w:lastRenderedPageBreak/>
        <w:t>Although it is not a</w:t>
      </w:r>
      <w:r w:rsidR="00DF1F96">
        <w:rPr>
          <w:rFonts w:asciiTheme="minorHAnsi" w:hAnsiTheme="minorHAnsi"/>
        </w:rPr>
        <w:t>n objective</w:t>
      </w:r>
      <w:r>
        <w:rPr>
          <w:rFonts w:asciiTheme="minorHAnsi" w:hAnsiTheme="minorHAnsi"/>
        </w:rPr>
        <w:t xml:space="preserve"> of the SEFSec </w:t>
      </w:r>
      <w:r w:rsidR="00DF1F96">
        <w:rPr>
          <w:rFonts w:asciiTheme="minorHAnsi" w:hAnsiTheme="minorHAnsi"/>
        </w:rPr>
        <w:t xml:space="preserve">analysis </w:t>
      </w:r>
      <w:r>
        <w:rPr>
          <w:rFonts w:asciiTheme="minorHAnsi" w:hAnsiTheme="minorHAnsi"/>
        </w:rPr>
        <w:t xml:space="preserve">to produce and report on estimates of poverty </w:t>
      </w:r>
      <w:r w:rsidR="0070153A">
        <w:rPr>
          <w:rFonts w:asciiTheme="minorHAnsi" w:hAnsiTheme="minorHAnsi"/>
        </w:rPr>
        <w:t>its</w:t>
      </w:r>
      <w:r>
        <w:rPr>
          <w:rFonts w:asciiTheme="minorHAnsi" w:hAnsiTheme="minorHAnsi"/>
        </w:rPr>
        <w:t>el</w:t>
      </w:r>
      <w:r w:rsidR="0070153A">
        <w:rPr>
          <w:rFonts w:asciiTheme="minorHAnsi" w:hAnsiTheme="minorHAnsi"/>
        </w:rPr>
        <w:t>f</w:t>
      </w:r>
      <w:r>
        <w:rPr>
          <w:rFonts w:asciiTheme="minorHAnsi" w:hAnsiTheme="minorHAnsi"/>
        </w:rPr>
        <w:t xml:space="preserve">, confidence in the methodology is increased if the chosen asset index can </w:t>
      </w:r>
      <w:r w:rsidR="00973D4C">
        <w:rPr>
          <w:rFonts w:asciiTheme="minorHAnsi" w:hAnsiTheme="minorHAnsi"/>
        </w:rPr>
        <w:t xml:space="preserve">produce reasonably accurate estimates of poverty.  Table </w:t>
      </w:r>
      <w:r>
        <w:rPr>
          <w:rFonts w:asciiTheme="minorHAnsi" w:hAnsiTheme="minorHAnsi"/>
        </w:rPr>
        <w:t>2</w:t>
      </w:r>
      <w:r w:rsidR="00973D4C">
        <w:rPr>
          <w:rFonts w:asciiTheme="minorHAnsi" w:hAnsiTheme="minorHAnsi"/>
        </w:rPr>
        <w:t>.7 reports estimates of poverty and deep poverty generated by the asset indexes</w:t>
      </w:r>
      <w:r w:rsidR="006E25FD">
        <w:rPr>
          <w:rFonts w:asciiTheme="minorHAnsi" w:hAnsiTheme="minorHAnsi"/>
        </w:rPr>
        <w:t xml:space="preserve"> </w:t>
      </w:r>
      <w:r w:rsidR="0070153A">
        <w:rPr>
          <w:rFonts w:asciiTheme="minorHAnsi" w:hAnsiTheme="minorHAnsi"/>
        </w:rPr>
        <w:t xml:space="preserve">for </w:t>
      </w:r>
      <w:r w:rsidR="006E25FD">
        <w:rPr>
          <w:rFonts w:asciiTheme="minorHAnsi" w:hAnsiTheme="minorHAnsi"/>
        </w:rPr>
        <w:t>Palestine</w:t>
      </w:r>
      <w:r w:rsidR="00DF1F96">
        <w:rPr>
          <w:rFonts w:asciiTheme="minorHAnsi" w:hAnsiTheme="minorHAnsi"/>
        </w:rPr>
        <w:t xml:space="preserve"> as a whole</w:t>
      </w:r>
      <w:r w:rsidR="006E25FD">
        <w:rPr>
          <w:rFonts w:asciiTheme="minorHAnsi" w:hAnsiTheme="minorHAnsi"/>
        </w:rPr>
        <w:t>, the West Bank</w:t>
      </w:r>
      <w:r w:rsidR="00DF1F96">
        <w:rPr>
          <w:rFonts w:asciiTheme="minorHAnsi" w:hAnsiTheme="minorHAnsi"/>
        </w:rPr>
        <w:t xml:space="preserve"> and Gaza</w:t>
      </w:r>
      <w:r w:rsidR="00194352">
        <w:rPr>
          <w:rFonts w:asciiTheme="minorHAnsi" w:hAnsiTheme="minorHAnsi"/>
        </w:rPr>
        <w:t xml:space="preserve">.  </w:t>
      </w:r>
      <w:r w:rsidR="00B1127B">
        <w:rPr>
          <w:rFonts w:asciiTheme="minorHAnsi" w:hAnsiTheme="minorHAnsi"/>
        </w:rPr>
        <w:t>The 2011 predicted estimates at a national level (although not regional level) are right on target, as expected given that the poverty lines for each index was set to make this so.</w:t>
      </w:r>
    </w:p>
    <w:p w:rsidR="00B1127B" w:rsidRDefault="00B1127B" w:rsidP="00194352">
      <w:pPr>
        <w:rPr>
          <w:rFonts w:asciiTheme="minorHAnsi" w:hAnsiTheme="minorHAnsi"/>
        </w:rPr>
      </w:pPr>
    </w:p>
    <w:p w:rsidR="006E25FD" w:rsidRDefault="00B1127B" w:rsidP="00194352">
      <w:pPr>
        <w:rPr>
          <w:rFonts w:asciiTheme="minorHAnsi" w:hAnsiTheme="minorHAnsi"/>
        </w:rPr>
      </w:pPr>
      <w:r>
        <w:rPr>
          <w:rFonts w:asciiTheme="minorHAnsi" w:hAnsiTheme="minorHAnsi"/>
        </w:rPr>
        <w:t>Viewing the 2009 and 2010 estimates, a</w:t>
      </w:r>
      <w:r w:rsidR="00973D4C">
        <w:rPr>
          <w:rFonts w:asciiTheme="minorHAnsi" w:hAnsiTheme="minorHAnsi"/>
        </w:rPr>
        <w:t xml:space="preserve">t the national level the PCA index does best at predicting poverty.  However the regression </w:t>
      </w:r>
      <w:r w:rsidR="006E25FD">
        <w:rPr>
          <w:rFonts w:asciiTheme="minorHAnsi" w:hAnsiTheme="minorHAnsi"/>
        </w:rPr>
        <w:t xml:space="preserve">and count indexes produce estimates that are not too far off from the actual prevalences (within </w:t>
      </w:r>
      <w:r w:rsidR="00E46237">
        <w:rPr>
          <w:rFonts w:asciiTheme="minorHAnsi" w:hAnsiTheme="minorHAnsi"/>
        </w:rPr>
        <w:t xml:space="preserve">or </w:t>
      </w:r>
      <w:r w:rsidR="006E25FD">
        <w:rPr>
          <w:rFonts w:asciiTheme="minorHAnsi" w:hAnsiTheme="minorHAnsi"/>
        </w:rPr>
        <w:t xml:space="preserve">near </w:t>
      </w:r>
      <w:r w:rsidR="00DF1F96">
        <w:rPr>
          <w:rFonts w:asciiTheme="minorHAnsi" w:hAnsiTheme="minorHAnsi"/>
        </w:rPr>
        <w:t xml:space="preserve">a </w:t>
      </w:r>
      <w:r w:rsidR="006E25FD">
        <w:rPr>
          <w:rFonts w:asciiTheme="minorHAnsi" w:hAnsiTheme="minorHAnsi"/>
        </w:rPr>
        <w:t>20 percent</w:t>
      </w:r>
      <w:r w:rsidR="00194352">
        <w:rPr>
          <w:rFonts w:asciiTheme="minorHAnsi" w:hAnsiTheme="minorHAnsi"/>
        </w:rPr>
        <w:t xml:space="preserve"> differen</w:t>
      </w:r>
      <w:r>
        <w:rPr>
          <w:rFonts w:asciiTheme="minorHAnsi" w:hAnsiTheme="minorHAnsi"/>
        </w:rPr>
        <w:t>ce</w:t>
      </w:r>
      <w:r w:rsidR="006E25FD">
        <w:rPr>
          <w:rFonts w:asciiTheme="minorHAnsi" w:hAnsiTheme="minorHAnsi"/>
        </w:rPr>
        <w:t>)</w:t>
      </w:r>
      <w:r w:rsidR="00194352">
        <w:rPr>
          <w:rFonts w:asciiTheme="minorHAnsi" w:hAnsiTheme="minorHAnsi"/>
        </w:rPr>
        <w:t xml:space="preserve">.   </w:t>
      </w:r>
      <w:r w:rsidR="006E25FD">
        <w:rPr>
          <w:rFonts w:asciiTheme="minorHAnsi" w:hAnsiTheme="minorHAnsi"/>
        </w:rPr>
        <w:t>For West Bank, the regression and count indexes produce the most accurate estimates</w:t>
      </w:r>
      <w:r w:rsidR="00194352">
        <w:rPr>
          <w:rFonts w:asciiTheme="minorHAnsi" w:hAnsiTheme="minorHAnsi"/>
        </w:rPr>
        <w:t>.   Finally, f</w:t>
      </w:r>
      <w:r w:rsidR="006E25FD">
        <w:rPr>
          <w:rFonts w:asciiTheme="minorHAnsi" w:hAnsiTheme="minorHAnsi"/>
        </w:rPr>
        <w:t xml:space="preserve">or Gaza, </w:t>
      </w:r>
      <w:r w:rsidR="00E46237">
        <w:rPr>
          <w:rFonts w:asciiTheme="minorHAnsi" w:hAnsiTheme="minorHAnsi"/>
        </w:rPr>
        <w:t xml:space="preserve">the </w:t>
      </w:r>
      <w:r w:rsidR="006E25FD">
        <w:rPr>
          <w:rFonts w:asciiTheme="minorHAnsi" w:hAnsiTheme="minorHAnsi"/>
        </w:rPr>
        <w:t xml:space="preserve">PCA </w:t>
      </w:r>
      <w:r w:rsidR="00E46237">
        <w:rPr>
          <w:rFonts w:asciiTheme="minorHAnsi" w:hAnsiTheme="minorHAnsi"/>
        </w:rPr>
        <w:t xml:space="preserve">index </w:t>
      </w:r>
      <w:r w:rsidR="006E25FD">
        <w:rPr>
          <w:rFonts w:asciiTheme="minorHAnsi" w:hAnsiTheme="minorHAnsi"/>
        </w:rPr>
        <w:t xml:space="preserve">does best overall, but the count estimates are reasonably in line with the actual estimates.  </w:t>
      </w:r>
      <w:r w:rsidR="00194352">
        <w:rPr>
          <w:rFonts w:asciiTheme="minorHAnsi" w:hAnsiTheme="minorHAnsi"/>
        </w:rPr>
        <w:t xml:space="preserve">Note that the </w:t>
      </w:r>
      <w:r w:rsidR="006E25FD">
        <w:rPr>
          <w:rFonts w:asciiTheme="minorHAnsi" w:hAnsiTheme="minorHAnsi"/>
        </w:rPr>
        <w:t xml:space="preserve">regression index quite seriously over-estimates poverty </w:t>
      </w:r>
      <w:r w:rsidR="002729EC">
        <w:rPr>
          <w:rFonts w:asciiTheme="minorHAnsi" w:hAnsiTheme="minorHAnsi"/>
        </w:rPr>
        <w:t xml:space="preserve">(national line) </w:t>
      </w:r>
      <w:r w:rsidR="006E25FD">
        <w:rPr>
          <w:rFonts w:asciiTheme="minorHAnsi" w:hAnsiTheme="minorHAnsi"/>
        </w:rPr>
        <w:t xml:space="preserve">in </w:t>
      </w:r>
      <w:r w:rsidR="00194352">
        <w:rPr>
          <w:rFonts w:asciiTheme="minorHAnsi" w:hAnsiTheme="minorHAnsi"/>
        </w:rPr>
        <w:t xml:space="preserve">Gaza in </w:t>
      </w:r>
      <w:r w:rsidR="006E25FD">
        <w:rPr>
          <w:rFonts w:asciiTheme="minorHAnsi" w:hAnsiTheme="minorHAnsi"/>
        </w:rPr>
        <w:t xml:space="preserve">2009, by 11.2 percentage points.  </w:t>
      </w:r>
    </w:p>
    <w:p w:rsidR="002729EC" w:rsidRDefault="002729EC" w:rsidP="00194352">
      <w:pPr>
        <w:rPr>
          <w:rFonts w:asciiTheme="minorHAnsi" w:hAnsiTheme="minorHAnsi"/>
        </w:rPr>
      </w:pPr>
    </w:p>
    <w:p w:rsidR="002729EC" w:rsidRPr="002E5725" w:rsidRDefault="002729EC" w:rsidP="00194352">
      <w:pPr>
        <w:rPr>
          <w:rFonts w:asciiTheme="minorHAnsi" w:hAnsiTheme="minorHAnsi"/>
        </w:rPr>
      </w:pPr>
      <w:r>
        <w:rPr>
          <w:rFonts w:asciiTheme="minorHAnsi" w:hAnsiTheme="minorHAnsi"/>
        </w:rPr>
        <w:t xml:space="preserve">With respect to trends, as noted in Section 2.2, there has been little change in either deep poverty or poverty (national line) over the three-year period.  There is also no noticeable upward or downward trend with the exception of a slight trend upward in poverty (national line) for Gaza.  By contrast, the asset-based poverty estimates at the national level do show a </w:t>
      </w:r>
      <w:r w:rsidRPr="002E5725">
        <w:rPr>
          <w:rFonts w:asciiTheme="minorHAnsi" w:hAnsiTheme="minorHAnsi"/>
        </w:rPr>
        <w:t>slight downward trend in poverty prevalence, but not a strong one.  Over such a short period of time it is difficult to evaluate whether the asset-based indexes will be able to pick up on trends in poverty.</w:t>
      </w:r>
    </w:p>
    <w:p w:rsidR="002729EC" w:rsidRPr="002E5725" w:rsidRDefault="002729EC" w:rsidP="00194352">
      <w:pPr>
        <w:rPr>
          <w:rFonts w:asciiTheme="minorHAnsi" w:hAnsiTheme="minorHAnsi"/>
        </w:rPr>
      </w:pPr>
    </w:p>
    <w:p w:rsidR="002E5725" w:rsidRPr="002E5725" w:rsidRDefault="002E5725" w:rsidP="002E5725">
      <w:pPr>
        <w:pStyle w:val="ListParagraph"/>
        <w:ind w:left="0"/>
        <w:contextualSpacing w:val="0"/>
        <w:rPr>
          <w:rStyle w:val="apple-converted-space"/>
          <w:rFonts w:asciiTheme="minorHAnsi" w:hAnsiTheme="minorHAnsi"/>
        </w:rPr>
      </w:pPr>
      <w:r>
        <w:rPr>
          <w:rFonts w:asciiTheme="minorHAnsi" w:hAnsiTheme="minorHAnsi"/>
        </w:rPr>
        <w:t>I</w:t>
      </w:r>
      <w:r w:rsidR="00874196">
        <w:rPr>
          <w:rFonts w:asciiTheme="minorHAnsi" w:hAnsiTheme="minorHAnsi"/>
        </w:rPr>
        <w:t>t is important to keep</w:t>
      </w:r>
      <w:r w:rsidR="002729EC" w:rsidRPr="002E5725">
        <w:rPr>
          <w:rFonts w:asciiTheme="minorHAnsi" w:hAnsiTheme="minorHAnsi"/>
        </w:rPr>
        <w:t xml:space="preserve"> in mind</w:t>
      </w:r>
      <w:r w:rsidRPr="002E5725">
        <w:rPr>
          <w:rFonts w:asciiTheme="minorHAnsi" w:hAnsiTheme="minorHAnsi"/>
        </w:rPr>
        <w:t xml:space="preserve"> that</w:t>
      </w:r>
      <w:r w:rsidR="002729EC" w:rsidRPr="002E5725">
        <w:rPr>
          <w:rFonts w:asciiTheme="minorHAnsi" w:hAnsiTheme="minorHAnsi"/>
        </w:rPr>
        <w:t xml:space="preserve"> </w:t>
      </w:r>
      <w:r w:rsidRPr="002E5725">
        <w:rPr>
          <w:rStyle w:val="apple-converted-space"/>
          <w:rFonts w:asciiTheme="minorHAnsi" w:hAnsiTheme="minorHAnsi"/>
        </w:rPr>
        <w:t xml:space="preserve">while it might be desirable for an asset-based measure of poverty to closely track </w:t>
      </w:r>
      <w:r>
        <w:rPr>
          <w:rStyle w:val="apple-converted-space"/>
          <w:rFonts w:asciiTheme="minorHAnsi" w:hAnsiTheme="minorHAnsi"/>
        </w:rPr>
        <w:t>levels and trends in expenditures poverty</w:t>
      </w:r>
      <w:r w:rsidRPr="002E5725">
        <w:rPr>
          <w:rStyle w:val="apple-converted-space"/>
          <w:rFonts w:asciiTheme="minorHAnsi" w:hAnsiTheme="minorHAnsi"/>
        </w:rPr>
        <w:t xml:space="preserve">, it does not have to do so with great accuracy to be a valid measure for classifying households into food insecurity groups.   As discussed in the Phase I report, asset ownership is a conceptually valid indicator of long-term wealth, which is closely related to living standards and thus poverty.   </w:t>
      </w:r>
      <w:r w:rsidR="00874196">
        <w:rPr>
          <w:rStyle w:val="apple-converted-space"/>
          <w:rFonts w:asciiTheme="minorHAnsi" w:hAnsiTheme="minorHAnsi"/>
        </w:rPr>
        <w:t xml:space="preserve">In the absence of other options, an asset-based measure of poverty </w:t>
      </w:r>
      <w:r w:rsidRPr="002E5725">
        <w:rPr>
          <w:rStyle w:val="apple-converted-space"/>
          <w:rFonts w:asciiTheme="minorHAnsi" w:hAnsiTheme="minorHAnsi"/>
        </w:rPr>
        <w:t>can thus serve as a valid, stand-alone measure</w:t>
      </w:r>
      <w:r w:rsidR="00BC7F1F">
        <w:rPr>
          <w:rStyle w:val="apple-converted-space"/>
          <w:rFonts w:asciiTheme="minorHAnsi" w:hAnsiTheme="minorHAnsi"/>
        </w:rPr>
        <w:t xml:space="preserve"> for the purposes of the SEFSec food insecurity analysis</w:t>
      </w:r>
      <w:r>
        <w:rPr>
          <w:rStyle w:val="apple-converted-space"/>
          <w:rFonts w:asciiTheme="minorHAnsi" w:hAnsiTheme="minorHAnsi"/>
        </w:rPr>
        <w:t>.</w:t>
      </w:r>
      <w:r w:rsidRPr="002E5725">
        <w:rPr>
          <w:rStyle w:val="apple-converted-space"/>
          <w:rFonts w:asciiTheme="minorHAnsi" w:hAnsiTheme="minorHAnsi"/>
        </w:rPr>
        <w:t xml:space="preserve"> </w:t>
      </w:r>
    </w:p>
    <w:p w:rsidR="002E5725" w:rsidRPr="002E5725" w:rsidRDefault="002E5725" w:rsidP="002E5725">
      <w:pPr>
        <w:rPr>
          <w:rFonts w:asciiTheme="minorHAnsi" w:hAnsiTheme="minorHAnsi"/>
        </w:rPr>
      </w:pPr>
    </w:p>
    <w:p w:rsidR="002729EC" w:rsidRPr="002E5725" w:rsidRDefault="002729EC" w:rsidP="00194352">
      <w:pPr>
        <w:rPr>
          <w:rFonts w:asciiTheme="minorHAnsi" w:hAnsiTheme="minorHAnsi"/>
        </w:rPr>
      </w:pPr>
    </w:p>
    <w:p w:rsidR="002E5725" w:rsidRPr="002E5725" w:rsidRDefault="002E5725" w:rsidP="00194352">
      <w:pPr>
        <w:rPr>
          <w:rFonts w:asciiTheme="minorHAnsi" w:hAnsiTheme="minorHAnsi"/>
        </w:rPr>
      </w:pPr>
    </w:p>
    <w:p w:rsidR="00E571E9" w:rsidRDefault="00E571E9">
      <w:pPr>
        <w:rPr>
          <w:rFonts w:asciiTheme="minorHAnsi" w:hAnsiTheme="minorHAnsi"/>
          <w:color w:val="365F91" w:themeColor="accent1" w:themeShade="BF"/>
          <w:sz w:val="28"/>
          <w:szCs w:val="28"/>
        </w:rPr>
      </w:pPr>
      <w:r>
        <w:rPr>
          <w:rFonts w:asciiTheme="minorHAnsi" w:hAnsiTheme="minorHAnsi"/>
          <w:color w:val="365F91" w:themeColor="accent1" w:themeShade="BF"/>
          <w:sz w:val="28"/>
          <w:szCs w:val="28"/>
        </w:rPr>
        <w:br w:type="page"/>
      </w:r>
    </w:p>
    <w:tbl>
      <w:tblPr>
        <w:tblW w:w="8815" w:type="dxa"/>
        <w:tblCellMar>
          <w:left w:w="0" w:type="dxa"/>
          <w:right w:w="0" w:type="dxa"/>
        </w:tblCellMar>
        <w:tblLook w:val="04A0" w:firstRow="1" w:lastRow="0" w:firstColumn="1" w:lastColumn="0" w:noHBand="0" w:noVBand="1"/>
      </w:tblPr>
      <w:tblGrid>
        <w:gridCol w:w="3186"/>
        <w:gridCol w:w="837"/>
        <w:gridCol w:w="1001"/>
        <w:gridCol w:w="146"/>
        <w:gridCol w:w="802"/>
        <w:gridCol w:w="1013"/>
        <w:gridCol w:w="144"/>
        <w:gridCol w:w="802"/>
        <w:gridCol w:w="935"/>
      </w:tblGrid>
      <w:tr w:rsidR="00E571E9" w:rsidTr="00E571E9">
        <w:trPr>
          <w:trHeight w:val="315"/>
        </w:trPr>
        <w:tc>
          <w:tcPr>
            <w:tcW w:w="7880" w:type="dxa"/>
            <w:gridSpan w:val="8"/>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b/>
                <w:bCs/>
                <w:color w:val="000000"/>
                <w:sz w:val="22"/>
                <w:szCs w:val="22"/>
              </w:rPr>
            </w:pPr>
            <w:r>
              <w:rPr>
                <w:rFonts w:ascii="Calibri" w:hAnsi="Calibri"/>
                <w:b/>
                <w:bCs/>
                <w:color w:val="000000"/>
                <w:sz w:val="22"/>
                <w:szCs w:val="22"/>
              </w:rPr>
              <w:lastRenderedPageBreak/>
              <w:t>Table 2.7   Actual and predicted poverty prevalences, PECS 2009, 2010 and 2011</w:t>
            </w:r>
          </w:p>
        </w:tc>
        <w:tc>
          <w:tcPr>
            <w:tcW w:w="935"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r>
      <w:tr w:rsidR="00E571E9" w:rsidTr="00E571E9">
        <w:trPr>
          <w:trHeight w:val="300"/>
        </w:trPr>
        <w:tc>
          <w:tcPr>
            <w:tcW w:w="3186" w:type="dxa"/>
            <w:tcBorders>
              <w:top w:val="single" w:sz="8" w:space="0" w:color="auto"/>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1838" w:type="dxa"/>
            <w:gridSpan w:val="2"/>
            <w:tcBorders>
              <w:top w:val="single" w:sz="8" w:space="0" w:color="auto"/>
              <w:left w:val="nil"/>
              <w:bottom w:val="single" w:sz="4" w:space="0" w:color="auto"/>
              <w:right w:val="nil"/>
            </w:tcBorders>
            <w:shd w:val="clear" w:color="000000" w:fill="C4BD97"/>
            <w:noWrap/>
            <w:tcMar>
              <w:top w:w="15" w:type="dxa"/>
              <w:left w:w="15" w:type="dxa"/>
              <w:bottom w:w="0" w:type="dxa"/>
              <w:right w:w="15" w:type="dxa"/>
            </w:tcMar>
            <w:vAlign w:val="bottom"/>
            <w:hideMark/>
          </w:tcPr>
          <w:p w:rsidR="00E571E9" w:rsidRDefault="00E571E9">
            <w:pPr>
              <w:jc w:val="center"/>
              <w:rPr>
                <w:rFonts w:ascii="Arial" w:hAnsi="Arial" w:cs="Arial"/>
                <w:b/>
                <w:bCs/>
                <w:sz w:val="20"/>
                <w:szCs w:val="20"/>
              </w:rPr>
            </w:pPr>
            <w:r>
              <w:rPr>
                <w:rFonts w:ascii="Arial" w:hAnsi="Arial" w:cs="Arial"/>
                <w:b/>
                <w:bCs/>
                <w:sz w:val="20"/>
                <w:szCs w:val="20"/>
              </w:rPr>
              <w:t>2009</w:t>
            </w:r>
          </w:p>
        </w:tc>
        <w:tc>
          <w:tcPr>
            <w:tcW w:w="146" w:type="dxa"/>
            <w:tcBorders>
              <w:top w:val="single" w:sz="8" w:space="0" w:color="auto"/>
              <w:left w:val="nil"/>
              <w:bottom w:val="single" w:sz="4" w:space="0" w:color="auto"/>
              <w:right w:val="nil"/>
            </w:tcBorders>
            <w:shd w:val="clear" w:color="000000" w:fill="C4BD97"/>
            <w:tcMar>
              <w:top w:w="15" w:type="dxa"/>
              <w:left w:w="15" w:type="dxa"/>
              <w:bottom w:w="0" w:type="dxa"/>
              <w:right w:w="15" w:type="dxa"/>
            </w:tcMar>
            <w:vAlign w:val="center"/>
            <w:hideMark/>
          </w:tcPr>
          <w:p w:rsidR="00E571E9" w:rsidRDefault="00E571E9">
            <w:pPr>
              <w:jc w:val="center"/>
              <w:rPr>
                <w:rFonts w:ascii="Arial" w:hAnsi="Arial" w:cs="Arial"/>
                <w:b/>
                <w:bCs/>
                <w:sz w:val="20"/>
                <w:szCs w:val="20"/>
              </w:rPr>
            </w:pPr>
            <w:r>
              <w:rPr>
                <w:rFonts w:ascii="Arial" w:hAnsi="Arial" w:cs="Arial"/>
                <w:b/>
                <w:bCs/>
                <w:sz w:val="20"/>
                <w:szCs w:val="20"/>
              </w:rPr>
              <w:t> </w:t>
            </w:r>
          </w:p>
        </w:tc>
        <w:tc>
          <w:tcPr>
            <w:tcW w:w="1815" w:type="dxa"/>
            <w:gridSpan w:val="2"/>
            <w:tcBorders>
              <w:top w:val="single" w:sz="8" w:space="0" w:color="auto"/>
              <w:left w:val="nil"/>
              <w:bottom w:val="single" w:sz="4" w:space="0" w:color="auto"/>
              <w:right w:val="nil"/>
            </w:tcBorders>
            <w:shd w:val="clear" w:color="000000" w:fill="C4BD97"/>
            <w:noWrap/>
            <w:tcMar>
              <w:top w:w="15" w:type="dxa"/>
              <w:left w:w="15" w:type="dxa"/>
              <w:bottom w:w="0" w:type="dxa"/>
              <w:right w:w="15" w:type="dxa"/>
            </w:tcMar>
            <w:vAlign w:val="bottom"/>
            <w:hideMark/>
          </w:tcPr>
          <w:p w:rsidR="00E571E9" w:rsidRDefault="00E571E9">
            <w:pPr>
              <w:jc w:val="center"/>
              <w:rPr>
                <w:rFonts w:ascii="Arial" w:hAnsi="Arial" w:cs="Arial"/>
                <w:b/>
                <w:bCs/>
                <w:sz w:val="20"/>
                <w:szCs w:val="20"/>
              </w:rPr>
            </w:pPr>
            <w:r>
              <w:rPr>
                <w:rFonts w:ascii="Arial" w:hAnsi="Arial" w:cs="Arial"/>
                <w:b/>
                <w:bCs/>
                <w:sz w:val="20"/>
                <w:szCs w:val="20"/>
              </w:rPr>
              <w:t>2010</w:t>
            </w:r>
          </w:p>
        </w:tc>
        <w:tc>
          <w:tcPr>
            <w:tcW w:w="93" w:type="dxa"/>
            <w:tcBorders>
              <w:top w:val="single" w:sz="8" w:space="0" w:color="auto"/>
              <w:left w:val="nil"/>
              <w:bottom w:val="single" w:sz="4" w:space="0" w:color="auto"/>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1737" w:type="dxa"/>
            <w:gridSpan w:val="2"/>
            <w:tcBorders>
              <w:top w:val="single" w:sz="8" w:space="0" w:color="auto"/>
              <w:left w:val="nil"/>
              <w:bottom w:val="single" w:sz="4" w:space="0" w:color="auto"/>
              <w:right w:val="nil"/>
            </w:tcBorders>
            <w:shd w:val="clear" w:color="000000" w:fill="C4BD97"/>
            <w:noWrap/>
            <w:tcMar>
              <w:top w:w="15" w:type="dxa"/>
              <w:left w:w="15" w:type="dxa"/>
              <w:bottom w:w="0" w:type="dxa"/>
              <w:right w:w="15" w:type="dxa"/>
            </w:tcMar>
            <w:vAlign w:val="bottom"/>
            <w:hideMark/>
          </w:tcPr>
          <w:p w:rsidR="00E571E9" w:rsidRDefault="00E571E9">
            <w:pPr>
              <w:jc w:val="center"/>
              <w:rPr>
                <w:rFonts w:ascii="Arial" w:hAnsi="Arial" w:cs="Arial"/>
                <w:b/>
                <w:bCs/>
                <w:sz w:val="20"/>
                <w:szCs w:val="20"/>
              </w:rPr>
            </w:pPr>
            <w:r>
              <w:rPr>
                <w:rFonts w:ascii="Arial" w:hAnsi="Arial" w:cs="Arial"/>
                <w:b/>
                <w:bCs/>
                <w:sz w:val="20"/>
                <w:szCs w:val="20"/>
              </w:rPr>
              <w:t>2011</w:t>
            </w:r>
          </w:p>
        </w:tc>
      </w:tr>
      <w:tr w:rsidR="00E571E9" w:rsidTr="00E571E9">
        <w:trPr>
          <w:trHeight w:val="300"/>
        </w:trPr>
        <w:tc>
          <w:tcPr>
            <w:tcW w:w="3186" w:type="dxa"/>
            <w:tcBorders>
              <w:top w:val="nil"/>
              <w:left w:val="nil"/>
              <w:bottom w:val="single" w:sz="4" w:space="0" w:color="auto"/>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37" w:type="dxa"/>
            <w:tcBorders>
              <w:top w:val="nil"/>
              <w:left w:val="nil"/>
              <w:bottom w:val="single" w:sz="4" w:space="0" w:color="auto"/>
              <w:right w:val="nil"/>
            </w:tcBorders>
            <w:shd w:val="clear" w:color="000000" w:fill="C4BD97"/>
            <w:tcMar>
              <w:top w:w="15" w:type="dxa"/>
              <w:left w:w="15" w:type="dxa"/>
              <w:bottom w:w="0" w:type="dxa"/>
              <w:right w:w="15" w:type="dxa"/>
            </w:tcMar>
            <w:vAlign w:val="center"/>
            <w:hideMark/>
          </w:tcPr>
          <w:p w:rsidR="00E571E9" w:rsidRDefault="00E571E9">
            <w:pPr>
              <w:jc w:val="center"/>
              <w:rPr>
                <w:rFonts w:ascii="Calibri" w:hAnsi="Calibri"/>
                <w:sz w:val="20"/>
                <w:szCs w:val="20"/>
              </w:rPr>
            </w:pPr>
            <w:r>
              <w:rPr>
                <w:rFonts w:ascii="Calibri" w:hAnsi="Calibri"/>
                <w:sz w:val="20"/>
                <w:szCs w:val="20"/>
              </w:rPr>
              <w:t>Actual</w:t>
            </w:r>
          </w:p>
        </w:tc>
        <w:tc>
          <w:tcPr>
            <w:tcW w:w="1001" w:type="dxa"/>
            <w:tcBorders>
              <w:top w:val="nil"/>
              <w:left w:val="nil"/>
              <w:bottom w:val="single" w:sz="4" w:space="0" w:color="auto"/>
              <w:right w:val="nil"/>
            </w:tcBorders>
            <w:shd w:val="clear" w:color="000000" w:fill="C4BD97"/>
            <w:tcMar>
              <w:top w:w="15" w:type="dxa"/>
              <w:left w:w="15" w:type="dxa"/>
              <w:bottom w:w="0" w:type="dxa"/>
              <w:right w:w="15" w:type="dxa"/>
            </w:tcMar>
            <w:vAlign w:val="center"/>
            <w:hideMark/>
          </w:tcPr>
          <w:p w:rsidR="00E571E9" w:rsidRDefault="00E571E9">
            <w:pPr>
              <w:jc w:val="center"/>
              <w:rPr>
                <w:rFonts w:ascii="Calibri" w:hAnsi="Calibri"/>
                <w:color w:val="000000"/>
                <w:sz w:val="20"/>
                <w:szCs w:val="20"/>
              </w:rPr>
            </w:pPr>
            <w:r>
              <w:rPr>
                <w:rFonts w:ascii="Calibri" w:hAnsi="Calibri"/>
                <w:color w:val="000000"/>
                <w:sz w:val="20"/>
                <w:szCs w:val="20"/>
              </w:rPr>
              <w:t>Predicted</w:t>
            </w:r>
          </w:p>
        </w:tc>
        <w:tc>
          <w:tcPr>
            <w:tcW w:w="146" w:type="dxa"/>
            <w:tcBorders>
              <w:top w:val="nil"/>
              <w:left w:val="nil"/>
              <w:bottom w:val="single" w:sz="4" w:space="0" w:color="auto"/>
              <w:right w:val="nil"/>
            </w:tcBorders>
            <w:shd w:val="clear" w:color="000000" w:fill="C4BD97"/>
            <w:tcMar>
              <w:top w:w="15" w:type="dxa"/>
              <w:left w:w="15" w:type="dxa"/>
              <w:bottom w:w="0" w:type="dxa"/>
              <w:right w:w="15" w:type="dxa"/>
            </w:tcMar>
            <w:vAlign w:val="center"/>
            <w:hideMark/>
          </w:tcPr>
          <w:p w:rsidR="00E571E9" w:rsidRDefault="00E571E9">
            <w:pPr>
              <w:jc w:val="center"/>
              <w:rPr>
                <w:rFonts w:ascii="Arial" w:hAnsi="Arial" w:cs="Arial"/>
                <w:b/>
                <w:bCs/>
                <w:sz w:val="20"/>
                <w:szCs w:val="20"/>
              </w:rPr>
            </w:pPr>
            <w:r>
              <w:rPr>
                <w:rFonts w:ascii="Arial" w:hAnsi="Arial" w:cs="Arial"/>
                <w:b/>
                <w:bCs/>
                <w:sz w:val="20"/>
                <w:szCs w:val="20"/>
              </w:rPr>
              <w:t> </w:t>
            </w:r>
          </w:p>
        </w:tc>
        <w:tc>
          <w:tcPr>
            <w:tcW w:w="802" w:type="dxa"/>
            <w:tcBorders>
              <w:top w:val="nil"/>
              <w:left w:val="nil"/>
              <w:bottom w:val="single" w:sz="4" w:space="0" w:color="auto"/>
              <w:right w:val="nil"/>
            </w:tcBorders>
            <w:shd w:val="clear" w:color="000000" w:fill="C4BD97"/>
            <w:tcMar>
              <w:top w:w="15" w:type="dxa"/>
              <w:left w:w="15" w:type="dxa"/>
              <w:bottom w:w="0" w:type="dxa"/>
              <w:right w:w="15" w:type="dxa"/>
            </w:tcMar>
            <w:vAlign w:val="center"/>
            <w:hideMark/>
          </w:tcPr>
          <w:p w:rsidR="00E571E9" w:rsidRDefault="00E571E9">
            <w:pPr>
              <w:jc w:val="center"/>
              <w:rPr>
                <w:rFonts w:ascii="Calibri" w:hAnsi="Calibri"/>
                <w:color w:val="000000"/>
                <w:sz w:val="20"/>
                <w:szCs w:val="20"/>
              </w:rPr>
            </w:pPr>
            <w:r>
              <w:rPr>
                <w:rFonts w:ascii="Calibri" w:hAnsi="Calibri"/>
                <w:color w:val="000000"/>
                <w:sz w:val="20"/>
                <w:szCs w:val="20"/>
              </w:rPr>
              <w:t>Actual</w:t>
            </w:r>
          </w:p>
        </w:tc>
        <w:tc>
          <w:tcPr>
            <w:tcW w:w="1013" w:type="dxa"/>
            <w:tcBorders>
              <w:top w:val="nil"/>
              <w:left w:val="nil"/>
              <w:bottom w:val="single" w:sz="4" w:space="0" w:color="auto"/>
              <w:right w:val="nil"/>
            </w:tcBorders>
            <w:shd w:val="clear" w:color="000000" w:fill="C4BD97"/>
            <w:tcMar>
              <w:top w:w="15" w:type="dxa"/>
              <w:left w:w="15" w:type="dxa"/>
              <w:bottom w:w="0" w:type="dxa"/>
              <w:right w:w="15" w:type="dxa"/>
            </w:tcMar>
            <w:vAlign w:val="center"/>
            <w:hideMark/>
          </w:tcPr>
          <w:p w:rsidR="00E571E9" w:rsidRDefault="00E571E9">
            <w:pPr>
              <w:jc w:val="center"/>
              <w:rPr>
                <w:rFonts w:ascii="Calibri" w:hAnsi="Calibri"/>
                <w:color w:val="000000"/>
                <w:sz w:val="20"/>
                <w:szCs w:val="20"/>
              </w:rPr>
            </w:pPr>
            <w:r>
              <w:rPr>
                <w:rFonts w:ascii="Calibri" w:hAnsi="Calibri"/>
                <w:color w:val="000000"/>
                <w:sz w:val="20"/>
                <w:szCs w:val="20"/>
              </w:rPr>
              <w:t>Predicted</w:t>
            </w:r>
          </w:p>
        </w:tc>
        <w:tc>
          <w:tcPr>
            <w:tcW w:w="93" w:type="dxa"/>
            <w:tcBorders>
              <w:top w:val="nil"/>
              <w:left w:val="nil"/>
              <w:bottom w:val="single" w:sz="4" w:space="0" w:color="auto"/>
              <w:right w:val="nil"/>
            </w:tcBorders>
            <w:shd w:val="clear" w:color="000000" w:fill="C4BD97"/>
            <w:noWrap/>
            <w:tcMar>
              <w:top w:w="15" w:type="dxa"/>
              <w:left w:w="15" w:type="dxa"/>
              <w:bottom w:w="0" w:type="dxa"/>
              <w:right w:w="15" w:type="dxa"/>
            </w:tcMar>
            <w:vAlign w:val="bottom"/>
            <w:hideMark/>
          </w:tcPr>
          <w:p w:rsidR="00E571E9" w:rsidRDefault="00E571E9">
            <w:pPr>
              <w:jc w:val="center"/>
              <w:rPr>
                <w:rFonts w:ascii="Calibri" w:hAnsi="Calibri"/>
                <w:color w:val="000000"/>
                <w:sz w:val="20"/>
                <w:szCs w:val="20"/>
              </w:rPr>
            </w:pPr>
            <w:r>
              <w:rPr>
                <w:rFonts w:ascii="Calibri" w:hAnsi="Calibri"/>
                <w:color w:val="000000"/>
                <w:sz w:val="20"/>
                <w:szCs w:val="20"/>
              </w:rPr>
              <w:t> </w:t>
            </w:r>
          </w:p>
        </w:tc>
        <w:tc>
          <w:tcPr>
            <w:tcW w:w="802" w:type="dxa"/>
            <w:tcBorders>
              <w:top w:val="nil"/>
              <w:left w:val="nil"/>
              <w:bottom w:val="single" w:sz="4" w:space="0" w:color="auto"/>
              <w:right w:val="nil"/>
            </w:tcBorders>
            <w:shd w:val="clear" w:color="000000" w:fill="C4BD97"/>
            <w:tcMar>
              <w:top w:w="15" w:type="dxa"/>
              <w:left w:w="15" w:type="dxa"/>
              <w:bottom w:w="0" w:type="dxa"/>
              <w:right w:w="15" w:type="dxa"/>
            </w:tcMar>
            <w:vAlign w:val="center"/>
            <w:hideMark/>
          </w:tcPr>
          <w:p w:rsidR="00E571E9" w:rsidRDefault="00E571E9">
            <w:pPr>
              <w:jc w:val="center"/>
              <w:rPr>
                <w:rFonts w:ascii="Calibri" w:hAnsi="Calibri"/>
                <w:color w:val="000000"/>
                <w:sz w:val="20"/>
                <w:szCs w:val="20"/>
              </w:rPr>
            </w:pPr>
            <w:r>
              <w:rPr>
                <w:rFonts w:ascii="Calibri" w:hAnsi="Calibri"/>
                <w:color w:val="000000"/>
                <w:sz w:val="20"/>
                <w:szCs w:val="20"/>
              </w:rPr>
              <w:t>Actual</w:t>
            </w:r>
          </w:p>
        </w:tc>
        <w:tc>
          <w:tcPr>
            <w:tcW w:w="935" w:type="dxa"/>
            <w:tcBorders>
              <w:top w:val="nil"/>
              <w:left w:val="nil"/>
              <w:bottom w:val="single" w:sz="4" w:space="0" w:color="auto"/>
              <w:right w:val="nil"/>
            </w:tcBorders>
            <w:shd w:val="clear" w:color="000000" w:fill="C4BD97"/>
            <w:tcMar>
              <w:top w:w="15" w:type="dxa"/>
              <w:left w:w="15" w:type="dxa"/>
              <w:bottom w:w="0" w:type="dxa"/>
              <w:right w:w="15" w:type="dxa"/>
            </w:tcMar>
            <w:vAlign w:val="center"/>
            <w:hideMark/>
          </w:tcPr>
          <w:p w:rsidR="00E571E9" w:rsidRDefault="00E571E9">
            <w:pPr>
              <w:jc w:val="center"/>
              <w:rPr>
                <w:rFonts w:ascii="Calibri" w:hAnsi="Calibri"/>
                <w:color w:val="000000"/>
                <w:sz w:val="20"/>
                <w:szCs w:val="20"/>
              </w:rPr>
            </w:pPr>
            <w:r>
              <w:rPr>
                <w:rFonts w:ascii="Calibri" w:hAnsi="Calibri"/>
                <w:color w:val="000000"/>
                <w:sz w:val="20"/>
                <w:szCs w:val="20"/>
              </w:rPr>
              <w:t>Predicted</w:t>
            </w:r>
          </w:p>
        </w:tc>
      </w:tr>
      <w:tr w:rsidR="00E571E9" w:rsidTr="00E571E9">
        <w:trPr>
          <w:trHeight w:val="300"/>
        </w:trPr>
        <w:tc>
          <w:tcPr>
            <w:tcW w:w="3186" w:type="dxa"/>
            <w:tcBorders>
              <w:top w:val="nil"/>
              <w:left w:val="nil"/>
              <w:bottom w:val="nil"/>
              <w:right w:val="nil"/>
            </w:tcBorders>
            <w:shd w:val="clear" w:color="000000" w:fill="B8CCE4"/>
            <w:noWrap/>
            <w:tcMar>
              <w:top w:w="15" w:type="dxa"/>
              <w:left w:w="15" w:type="dxa"/>
              <w:bottom w:w="0" w:type="dxa"/>
              <w:right w:w="15" w:type="dxa"/>
            </w:tcMar>
            <w:vAlign w:val="bottom"/>
            <w:hideMark/>
          </w:tcPr>
          <w:p w:rsidR="00E571E9" w:rsidRDefault="00E571E9">
            <w:pPr>
              <w:rPr>
                <w:rFonts w:ascii="Calibri" w:hAnsi="Calibri"/>
                <w:b/>
                <w:bCs/>
                <w:color w:val="000000"/>
                <w:sz w:val="22"/>
                <w:szCs w:val="22"/>
              </w:rPr>
            </w:pPr>
            <w:r>
              <w:rPr>
                <w:rFonts w:ascii="Calibri" w:hAnsi="Calibri"/>
                <w:b/>
                <w:bCs/>
                <w:color w:val="000000"/>
                <w:sz w:val="22"/>
                <w:szCs w:val="22"/>
              </w:rPr>
              <w:t>National</w:t>
            </w:r>
          </w:p>
        </w:tc>
        <w:tc>
          <w:tcPr>
            <w:tcW w:w="837" w:type="dxa"/>
            <w:tcBorders>
              <w:top w:val="nil"/>
              <w:left w:val="nil"/>
              <w:bottom w:val="nil"/>
              <w:right w:val="nil"/>
            </w:tcBorders>
            <w:shd w:val="clear" w:color="000000" w:fill="B8CCE4"/>
            <w:noWrap/>
            <w:tcMar>
              <w:top w:w="15" w:type="dxa"/>
              <w:left w:w="15" w:type="dxa"/>
              <w:bottom w:w="0" w:type="dxa"/>
              <w:right w:w="15" w:type="dxa"/>
            </w:tcMar>
            <w:vAlign w:val="center"/>
            <w:hideMark/>
          </w:tcPr>
          <w:p w:rsidR="00E571E9" w:rsidRDefault="00E571E9">
            <w:pPr>
              <w:jc w:val="center"/>
              <w:rPr>
                <w:rFonts w:ascii="Arial" w:hAnsi="Arial" w:cs="Arial"/>
                <w:sz w:val="20"/>
                <w:szCs w:val="20"/>
              </w:rPr>
            </w:pPr>
            <w:r>
              <w:rPr>
                <w:rFonts w:ascii="Arial" w:hAnsi="Arial" w:cs="Arial"/>
                <w:sz w:val="20"/>
                <w:szCs w:val="20"/>
              </w:rPr>
              <w:t> </w:t>
            </w:r>
          </w:p>
        </w:tc>
        <w:tc>
          <w:tcPr>
            <w:tcW w:w="1001" w:type="dxa"/>
            <w:tcBorders>
              <w:top w:val="nil"/>
              <w:left w:val="nil"/>
              <w:bottom w:val="nil"/>
              <w:right w:val="nil"/>
            </w:tcBorders>
            <w:shd w:val="clear" w:color="000000" w:fill="B8CCE4"/>
            <w:noWrap/>
            <w:tcMar>
              <w:top w:w="15" w:type="dxa"/>
              <w:left w:w="15" w:type="dxa"/>
              <w:bottom w:w="0" w:type="dxa"/>
              <w:right w:w="15" w:type="dxa"/>
            </w:tcMar>
            <w:vAlign w:val="center"/>
            <w:hideMark/>
          </w:tcPr>
          <w:p w:rsidR="00E571E9" w:rsidRDefault="00E571E9">
            <w:pPr>
              <w:jc w:val="center"/>
              <w:rPr>
                <w:rFonts w:ascii="Arial" w:hAnsi="Arial" w:cs="Arial"/>
                <w:sz w:val="20"/>
                <w:szCs w:val="20"/>
              </w:rPr>
            </w:pPr>
            <w:r>
              <w:rPr>
                <w:rFonts w:ascii="Arial" w:hAnsi="Arial" w:cs="Arial"/>
                <w:sz w:val="20"/>
                <w:szCs w:val="20"/>
              </w:rPr>
              <w:t> </w:t>
            </w:r>
          </w:p>
        </w:tc>
        <w:tc>
          <w:tcPr>
            <w:tcW w:w="146" w:type="dxa"/>
            <w:tcBorders>
              <w:top w:val="nil"/>
              <w:left w:val="nil"/>
              <w:bottom w:val="nil"/>
              <w:right w:val="nil"/>
            </w:tcBorders>
            <w:shd w:val="clear" w:color="000000" w:fill="C4BD97"/>
            <w:tcMar>
              <w:top w:w="15" w:type="dxa"/>
              <w:left w:w="15" w:type="dxa"/>
              <w:bottom w:w="0" w:type="dxa"/>
              <w:right w:w="15" w:type="dxa"/>
            </w:tcMar>
            <w:vAlign w:val="center"/>
            <w:hideMark/>
          </w:tcPr>
          <w:p w:rsidR="00E571E9" w:rsidRDefault="00E571E9">
            <w:pPr>
              <w:jc w:val="center"/>
              <w:rPr>
                <w:rFonts w:ascii="Arial" w:hAnsi="Arial" w:cs="Arial"/>
                <w:b/>
                <w:bCs/>
                <w:sz w:val="20"/>
                <w:szCs w:val="20"/>
              </w:rPr>
            </w:pPr>
            <w:r>
              <w:rPr>
                <w:rFonts w:ascii="Arial" w:hAnsi="Arial" w:cs="Arial"/>
                <w:b/>
                <w:bCs/>
                <w:sz w:val="20"/>
                <w:szCs w:val="20"/>
              </w:rPr>
              <w:t> </w:t>
            </w:r>
          </w:p>
        </w:tc>
        <w:tc>
          <w:tcPr>
            <w:tcW w:w="802" w:type="dxa"/>
            <w:tcBorders>
              <w:top w:val="nil"/>
              <w:left w:val="nil"/>
              <w:bottom w:val="nil"/>
              <w:right w:val="nil"/>
            </w:tcBorders>
            <w:shd w:val="clear" w:color="000000" w:fill="B8CCE4"/>
            <w:noWrap/>
            <w:tcMar>
              <w:top w:w="15" w:type="dxa"/>
              <w:left w:w="15" w:type="dxa"/>
              <w:bottom w:w="0" w:type="dxa"/>
              <w:right w:w="15" w:type="dxa"/>
            </w:tcMar>
            <w:vAlign w:val="bottom"/>
            <w:hideMark/>
          </w:tcPr>
          <w:p w:rsidR="00E571E9" w:rsidRDefault="00E571E9">
            <w:pPr>
              <w:jc w:val="center"/>
              <w:rPr>
                <w:rFonts w:ascii="Calibri" w:hAnsi="Calibri"/>
                <w:color w:val="000000"/>
                <w:sz w:val="22"/>
                <w:szCs w:val="22"/>
              </w:rPr>
            </w:pPr>
            <w:r>
              <w:rPr>
                <w:rFonts w:ascii="Calibri" w:hAnsi="Calibri"/>
                <w:color w:val="000000"/>
                <w:sz w:val="22"/>
                <w:szCs w:val="22"/>
              </w:rPr>
              <w:t> </w:t>
            </w:r>
          </w:p>
        </w:tc>
        <w:tc>
          <w:tcPr>
            <w:tcW w:w="1013" w:type="dxa"/>
            <w:tcBorders>
              <w:top w:val="nil"/>
              <w:left w:val="nil"/>
              <w:bottom w:val="nil"/>
              <w:right w:val="nil"/>
            </w:tcBorders>
            <w:shd w:val="clear" w:color="000000" w:fill="B8CCE4"/>
            <w:noWrap/>
            <w:tcMar>
              <w:top w:w="15" w:type="dxa"/>
              <w:left w:w="15" w:type="dxa"/>
              <w:bottom w:w="0" w:type="dxa"/>
              <w:right w:w="15" w:type="dxa"/>
            </w:tcMar>
            <w:vAlign w:val="bottom"/>
            <w:hideMark/>
          </w:tcPr>
          <w:p w:rsidR="00E571E9" w:rsidRDefault="00E571E9">
            <w:pPr>
              <w:jc w:val="center"/>
              <w:rPr>
                <w:rFonts w:ascii="Calibri" w:hAnsi="Calibri"/>
                <w:color w:val="000000"/>
                <w:sz w:val="22"/>
                <w:szCs w:val="22"/>
              </w:rPr>
            </w:pPr>
            <w:r>
              <w:rPr>
                <w:rFonts w:ascii="Calibri" w:hAnsi="Calibri"/>
                <w:color w:val="000000"/>
                <w:sz w:val="22"/>
                <w:szCs w:val="22"/>
              </w:rPr>
              <w:t> </w:t>
            </w:r>
          </w:p>
        </w:tc>
        <w:tc>
          <w:tcPr>
            <w:tcW w:w="93"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000000" w:fill="B8CCE4"/>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935" w:type="dxa"/>
            <w:tcBorders>
              <w:top w:val="nil"/>
              <w:left w:val="nil"/>
              <w:bottom w:val="nil"/>
              <w:right w:val="nil"/>
            </w:tcBorders>
            <w:shd w:val="clear" w:color="000000" w:fill="B8CCE4"/>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r>
      <w:tr w:rsidR="00E571E9" w:rsidTr="00E571E9">
        <w:trPr>
          <w:trHeight w:val="300"/>
        </w:trPr>
        <w:tc>
          <w:tcPr>
            <w:tcW w:w="3186" w:type="dxa"/>
            <w:tcBorders>
              <w:top w:val="nil"/>
              <w:left w:val="nil"/>
              <w:bottom w:val="nil"/>
              <w:right w:val="nil"/>
            </w:tcBorders>
            <w:shd w:val="clear" w:color="auto" w:fill="auto"/>
            <w:tcMar>
              <w:top w:w="15" w:type="dxa"/>
              <w:left w:w="15" w:type="dxa"/>
              <w:bottom w:w="0" w:type="dxa"/>
              <w:right w:w="15" w:type="dxa"/>
            </w:tcMar>
            <w:vAlign w:val="center"/>
            <w:hideMark/>
          </w:tcPr>
          <w:p w:rsidR="00E571E9" w:rsidRDefault="00E571E9">
            <w:pPr>
              <w:rPr>
                <w:rFonts w:ascii="Calibri" w:hAnsi="Calibri"/>
                <w:b/>
                <w:bCs/>
                <w:color w:val="E26B0A"/>
                <w:sz w:val="22"/>
                <w:szCs w:val="22"/>
              </w:rPr>
            </w:pPr>
            <w:r>
              <w:rPr>
                <w:rFonts w:ascii="Calibri" w:hAnsi="Calibri"/>
                <w:b/>
                <w:bCs/>
                <w:color w:val="E26B0A"/>
                <w:sz w:val="22"/>
                <w:szCs w:val="22"/>
              </w:rPr>
              <w:t>Deep poverty</w:t>
            </w:r>
          </w:p>
        </w:tc>
        <w:tc>
          <w:tcPr>
            <w:tcW w:w="837"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01"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46"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0"/>
                <w:szCs w:val="20"/>
              </w:rPr>
            </w:pPr>
            <w:r>
              <w:rPr>
                <w:rFonts w:ascii="Calibri" w:hAnsi="Calibri"/>
                <w:color w:val="000000"/>
                <w:sz w:val="20"/>
                <w:szCs w:val="20"/>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Arial" w:hAnsi="Arial" w:cs="Arial"/>
                <w:sz w:val="20"/>
                <w:szCs w:val="20"/>
              </w:rPr>
            </w:pPr>
          </w:p>
        </w:tc>
        <w:tc>
          <w:tcPr>
            <w:tcW w:w="1013"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93"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935"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r>
      <w:tr w:rsidR="00E571E9" w:rsidTr="00E571E9">
        <w:trPr>
          <w:trHeight w:val="300"/>
        </w:trPr>
        <w:tc>
          <w:tcPr>
            <w:tcW w:w="3186"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xml:space="preserve">  Principal components index</w:t>
            </w:r>
          </w:p>
        </w:tc>
        <w:tc>
          <w:tcPr>
            <w:tcW w:w="837"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9.8</w:t>
            </w:r>
          </w:p>
        </w:tc>
        <w:tc>
          <w:tcPr>
            <w:tcW w:w="1001"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12.0</w:t>
            </w:r>
          </w:p>
        </w:tc>
        <w:tc>
          <w:tcPr>
            <w:tcW w:w="146"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10.8</w:t>
            </w:r>
          </w:p>
        </w:tc>
        <w:tc>
          <w:tcPr>
            <w:tcW w:w="1013"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11.0</w:t>
            </w:r>
          </w:p>
        </w:tc>
        <w:tc>
          <w:tcPr>
            <w:tcW w:w="93"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9.8</w:t>
            </w:r>
          </w:p>
        </w:tc>
        <w:tc>
          <w:tcPr>
            <w:tcW w:w="935"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9.8</w:t>
            </w:r>
          </w:p>
        </w:tc>
      </w:tr>
      <w:tr w:rsidR="00E571E9" w:rsidTr="00E571E9">
        <w:trPr>
          <w:trHeight w:val="300"/>
        </w:trPr>
        <w:tc>
          <w:tcPr>
            <w:tcW w:w="3186"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xml:space="preserve">  Count index</w:t>
            </w:r>
          </w:p>
        </w:tc>
        <w:tc>
          <w:tcPr>
            <w:tcW w:w="837"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01"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13.0</w:t>
            </w:r>
          </w:p>
        </w:tc>
        <w:tc>
          <w:tcPr>
            <w:tcW w:w="146"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13"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11.0</w:t>
            </w:r>
          </w:p>
        </w:tc>
        <w:tc>
          <w:tcPr>
            <w:tcW w:w="93"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935"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9.7</w:t>
            </w:r>
          </w:p>
        </w:tc>
      </w:tr>
      <w:tr w:rsidR="00E571E9" w:rsidTr="00E571E9">
        <w:trPr>
          <w:trHeight w:val="300"/>
        </w:trPr>
        <w:tc>
          <w:tcPr>
            <w:tcW w:w="3186"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xml:space="preserve">  Regression-based index</w:t>
            </w:r>
          </w:p>
        </w:tc>
        <w:tc>
          <w:tcPr>
            <w:tcW w:w="837"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01"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12.2</w:t>
            </w:r>
          </w:p>
        </w:tc>
        <w:tc>
          <w:tcPr>
            <w:tcW w:w="146"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13"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10.8</w:t>
            </w:r>
          </w:p>
        </w:tc>
        <w:tc>
          <w:tcPr>
            <w:tcW w:w="93"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935"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10.3</w:t>
            </w:r>
          </w:p>
        </w:tc>
      </w:tr>
      <w:tr w:rsidR="00E571E9" w:rsidTr="00E571E9">
        <w:trPr>
          <w:trHeight w:val="199"/>
        </w:trPr>
        <w:tc>
          <w:tcPr>
            <w:tcW w:w="3186"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837"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01"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46"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13"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93"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935"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r>
      <w:tr w:rsidR="00E571E9" w:rsidTr="00E571E9">
        <w:trPr>
          <w:trHeight w:val="300"/>
        </w:trPr>
        <w:tc>
          <w:tcPr>
            <w:tcW w:w="3186" w:type="dxa"/>
            <w:tcBorders>
              <w:top w:val="nil"/>
              <w:left w:val="nil"/>
              <w:bottom w:val="nil"/>
              <w:right w:val="nil"/>
            </w:tcBorders>
            <w:shd w:val="clear" w:color="auto" w:fill="auto"/>
            <w:tcMar>
              <w:top w:w="15" w:type="dxa"/>
              <w:left w:w="15" w:type="dxa"/>
              <w:bottom w:w="0" w:type="dxa"/>
              <w:right w:w="15" w:type="dxa"/>
            </w:tcMar>
            <w:vAlign w:val="center"/>
            <w:hideMark/>
          </w:tcPr>
          <w:p w:rsidR="00E571E9" w:rsidRDefault="00E571E9">
            <w:pPr>
              <w:rPr>
                <w:rFonts w:ascii="Calibri" w:hAnsi="Calibri"/>
                <w:b/>
                <w:bCs/>
                <w:color w:val="E26B0A"/>
                <w:sz w:val="22"/>
                <w:szCs w:val="22"/>
              </w:rPr>
            </w:pPr>
            <w:r>
              <w:rPr>
                <w:rFonts w:ascii="Calibri" w:hAnsi="Calibri"/>
                <w:b/>
                <w:bCs/>
                <w:color w:val="E26B0A"/>
                <w:sz w:val="22"/>
                <w:szCs w:val="22"/>
              </w:rPr>
              <w:t>Poverty (National line)</w:t>
            </w:r>
          </w:p>
        </w:tc>
        <w:tc>
          <w:tcPr>
            <w:tcW w:w="837"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01"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46"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13"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93"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935"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r>
      <w:tr w:rsidR="00E571E9" w:rsidTr="00E571E9">
        <w:trPr>
          <w:trHeight w:val="300"/>
        </w:trPr>
        <w:tc>
          <w:tcPr>
            <w:tcW w:w="3186"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xml:space="preserve">  Principal components index</w:t>
            </w:r>
          </w:p>
        </w:tc>
        <w:tc>
          <w:tcPr>
            <w:tcW w:w="837"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19.3</w:t>
            </w:r>
          </w:p>
        </w:tc>
        <w:tc>
          <w:tcPr>
            <w:tcW w:w="1001"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21.5</w:t>
            </w:r>
          </w:p>
        </w:tc>
        <w:tc>
          <w:tcPr>
            <w:tcW w:w="146"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20.7</w:t>
            </w:r>
          </w:p>
        </w:tc>
        <w:tc>
          <w:tcPr>
            <w:tcW w:w="1013"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21.6</w:t>
            </w:r>
          </w:p>
        </w:tc>
        <w:tc>
          <w:tcPr>
            <w:tcW w:w="93"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20.3</w:t>
            </w:r>
          </w:p>
        </w:tc>
        <w:tc>
          <w:tcPr>
            <w:tcW w:w="935"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20.3</w:t>
            </w:r>
          </w:p>
        </w:tc>
      </w:tr>
      <w:tr w:rsidR="00E571E9" w:rsidTr="00E571E9">
        <w:trPr>
          <w:trHeight w:val="300"/>
        </w:trPr>
        <w:tc>
          <w:tcPr>
            <w:tcW w:w="3186"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xml:space="preserve">  Count index</w:t>
            </w:r>
          </w:p>
        </w:tc>
        <w:tc>
          <w:tcPr>
            <w:tcW w:w="837"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01"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23.1</w:t>
            </w:r>
          </w:p>
        </w:tc>
        <w:tc>
          <w:tcPr>
            <w:tcW w:w="146"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13"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20.0</w:t>
            </w:r>
          </w:p>
        </w:tc>
        <w:tc>
          <w:tcPr>
            <w:tcW w:w="93"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935"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19.6</w:t>
            </w:r>
          </w:p>
        </w:tc>
      </w:tr>
      <w:tr w:rsidR="00E571E9" w:rsidTr="00E571E9">
        <w:trPr>
          <w:trHeight w:val="300"/>
        </w:trPr>
        <w:tc>
          <w:tcPr>
            <w:tcW w:w="3186"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xml:space="preserve">  Regression-based index</w:t>
            </w:r>
          </w:p>
        </w:tc>
        <w:tc>
          <w:tcPr>
            <w:tcW w:w="837"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01"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24.6</w:t>
            </w:r>
          </w:p>
        </w:tc>
        <w:tc>
          <w:tcPr>
            <w:tcW w:w="146"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13"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21.2</w:t>
            </w:r>
          </w:p>
        </w:tc>
        <w:tc>
          <w:tcPr>
            <w:tcW w:w="144"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935"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20.5</w:t>
            </w:r>
          </w:p>
        </w:tc>
      </w:tr>
      <w:tr w:rsidR="00E571E9" w:rsidTr="00E571E9">
        <w:trPr>
          <w:trHeight w:val="195"/>
        </w:trPr>
        <w:tc>
          <w:tcPr>
            <w:tcW w:w="3186" w:type="dxa"/>
            <w:tcBorders>
              <w:top w:val="nil"/>
              <w:left w:val="nil"/>
              <w:bottom w:val="single" w:sz="8" w:space="0" w:color="auto"/>
              <w:right w:val="nil"/>
            </w:tcBorders>
            <w:shd w:val="clear" w:color="auto" w:fill="auto"/>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37"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1001"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146" w:type="dxa"/>
            <w:tcBorders>
              <w:top w:val="nil"/>
              <w:left w:val="nil"/>
              <w:bottom w:val="single" w:sz="8" w:space="0" w:color="auto"/>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1013"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44"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935"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r>
      <w:tr w:rsidR="00E571E9" w:rsidTr="00E571E9">
        <w:trPr>
          <w:trHeight w:val="300"/>
        </w:trPr>
        <w:tc>
          <w:tcPr>
            <w:tcW w:w="3186" w:type="dxa"/>
            <w:tcBorders>
              <w:top w:val="nil"/>
              <w:left w:val="nil"/>
              <w:bottom w:val="nil"/>
              <w:right w:val="nil"/>
            </w:tcBorders>
            <w:shd w:val="clear" w:color="000000" w:fill="B8CCE4"/>
            <w:noWrap/>
            <w:tcMar>
              <w:top w:w="15" w:type="dxa"/>
              <w:left w:w="15" w:type="dxa"/>
              <w:bottom w:w="0" w:type="dxa"/>
              <w:right w:w="15" w:type="dxa"/>
            </w:tcMar>
            <w:vAlign w:val="bottom"/>
            <w:hideMark/>
          </w:tcPr>
          <w:p w:rsidR="00E571E9" w:rsidRDefault="00E571E9">
            <w:pPr>
              <w:rPr>
                <w:rFonts w:ascii="Calibri" w:hAnsi="Calibri"/>
                <w:b/>
                <w:bCs/>
                <w:color w:val="000000"/>
                <w:sz w:val="22"/>
                <w:szCs w:val="22"/>
              </w:rPr>
            </w:pPr>
            <w:r>
              <w:rPr>
                <w:rFonts w:ascii="Calibri" w:hAnsi="Calibri"/>
                <w:b/>
                <w:bCs/>
                <w:color w:val="000000"/>
                <w:sz w:val="22"/>
                <w:szCs w:val="22"/>
              </w:rPr>
              <w:t>West Bank</w:t>
            </w:r>
          </w:p>
        </w:tc>
        <w:tc>
          <w:tcPr>
            <w:tcW w:w="837" w:type="dxa"/>
            <w:tcBorders>
              <w:top w:val="nil"/>
              <w:left w:val="nil"/>
              <w:bottom w:val="nil"/>
              <w:right w:val="nil"/>
            </w:tcBorders>
            <w:shd w:val="clear" w:color="000000" w:fill="B8CCE4"/>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1001" w:type="dxa"/>
            <w:tcBorders>
              <w:top w:val="nil"/>
              <w:left w:val="nil"/>
              <w:bottom w:val="nil"/>
              <w:right w:val="nil"/>
            </w:tcBorders>
            <w:shd w:val="clear" w:color="000000" w:fill="B8CCE4"/>
            <w:noWrap/>
            <w:tcMar>
              <w:top w:w="15" w:type="dxa"/>
              <w:left w:w="15" w:type="dxa"/>
              <w:bottom w:w="0" w:type="dxa"/>
              <w:right w:w="15" w:type="dxa"/>
            </w:tcMar>
            <w:vAlign w:val="bottom"/>
            <w:hideMark/>
          </w:tcPr>
          <w:p w:rsidR="00E571E9" w:rsidRDefault="00E571E9">
            <w:pPr>
              <w:rPr>
                <w:rFonts w:ascii="Calibri" w:hAnsi="Calibri"/>
                <w:color w:val="000000"/>
                <w:sz w:val="16"/>
                <w:szCs w:val="16"/>
              </w:rPr>
            </w:pPr>
            <w:r>
              <w:rPr>
                <w:rFonts w:ascii="Calibri" w:hAnsi="Calibri"/>
                <w:color w:val="000000"/>
                <w:sz w:val="16"/>
                <w:szCs w:val="16"/>
              </w:rPr>
              <w:t> </w:t>
            </w:r>
          </w:p>
        </w:tc>
        <w:tc>
          <w:tcPr>
            <w:tcW w:w="146"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16"/>
                <w:szCs w:val="16"/>
              </w:rPr>
            </w:pPr>
            <w:r>
              <w:rPr>
                <w:rFonts w:ascii="Calibri" w:hAnsi="Calibri"/>
                <w:color w:val="000000"/>
                <w:sz w:val="16"/>
                <w:szCs w:val="16"/>
              </w:rPr>
              <w:t> </w:t>
            </w:r>
          </w:p>
        </w:tc>
        <w:tc>
          <w:tcPr>
            <w:tcW w:w="802" w:type="dxa"/>
            <w:tcBorders>
              <w:top w:val="nil"/>
              <w:left w:val="nil"/>
              <w:bottom w:val="nil"/>
              <w:right w:val="nil"/>
            </w:tcBorders>
            <w:shd w:val="clear" w:color="000000" w:fill="B8CCE4"/>
            <w:noWrap/>
            <w:tcMar>
              <w:top w:w="15" w:type="dxa"/>
              <w:left w:w="15" w:type="dxa"/>
              <w:bottom w:w="0" w:type="dxa"/>
              <w:right w:w="15" w:type="dxa"/>
            </w:tcMar>
            <w:vAlign w:val="bottom"/>
            <w:hideMark/>
          </w:tcPr>
          <w:p w:rsidR="00E571E9" w:rsidRDefault="00E571E9">
            <w:pPr>
              <w:rPr>
                <w:rFonts w:ascii="Calibri" w:hAnsi="Calibri"/>
                <w:color w:val="000000"/>
                <w:sz w:val="16"/>
                <w:szCs w:val="16"/>
              </w:rPr>
            </w:pPr>
            <w:r>
              <w:rPr>
                <w:rFonts w:ascii="Calibri" w:hAnsi="Calibri"/>
                <w:color w:val="000000"/>
                <w:sz w:val="16"/>
                <w:szCs w:val="16"/>
              </w:rPr>
              <w:t> </w:t>
            </w:r>
          </w:p>
        </w:tc>
        <w:tc>
          <w:tcPr>
            <w:tcW w:w="1013" w:type="dxa"/>
            <w:tcBorders>
              <w:top w:val="single" w:sz="8" w:space="0" w:color="auto"/>
              <w:left w:val="nil"/>
              <w:bottom w:val="nil"/>
              <w:right w:val="nil"/>
            </w:tcBorders>
            <w:shd w:val="clear" w:color="000000" w:fill="B8CCE4"/>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144" w:type="dxa"/>
            <w:tcBorders>
              <w:top w:val="single" w:sz="8" w:space="0" w:color="auto"/>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single" w:sz="8" w:space="0" w:color="auto"/>
              <w:left w:val="nil"/>
              <w:bottom w:val="nil"/>
              <w:right w:val="nil"/>
            </w:tcBorders>
            <w:shd w:val="clear" w:color="000000" w:fill="B8CCE4"/>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935" w:type="dxa"/>
            <w:tcBorders>
              <w:top w:val="single" w:sz="8" w:space="0" w:color="auto"/>
              <w:left w:val="nil"/>
              <w:bottom w:val="nil"/>
              <w:right w:val="nil"/>
            </w:tcBorders>
            <w:shd w:val="clear" w:color="000000" w:fill="B8CCE4"/>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r>
      <w:tr w:rsidR="00E571E9" w:rsidTr="00E571E9">
        <w:trPr>
          <w:trHeight w:val="300"/>
        </w:trPr>
        <w:tc>
          <w:tcPr>
            <w:tcW w:w="3186" w:type="dxa"/>
            <w:tcBorders>
              <w:top w:val="nil"/>
              <w:left w:val="nil"/>
              <w:bottom w:val="nil"/>
              <w:right w:val="nil"/>
            </w:tcBorders>
            <w:shd w:val="clear" w:color="auto" w:fill="auto"/>
            <w:tcMar>
              <w:top w:w="15" w:type="dxa"/>
              <w:left w:w="15" w:type="dxa"/>
              <w:bottom w:w="0" w:type="dxa"/>
              <w:right w:w="15" w:type="dxa"/>
            </w:tcMar>
            <w:vAlign w:val="center"/>
            <w:hideMark/>
          </w:tcPr>
          <w:p w:rsidR="00E571E9" w:rsidRDefault="00E571E9">
            <w:pPr>
              <w:rPr>
                <w:rFonts w:ascii="Calibri" w:hAnsi="Calibri"/>
                <w:b/>
                <w:bCs/>
                <w:color w:val="E26B0A"/>
                <w:sz w:val="22"/>
                <w:szCs w:val="22"/>
              </w:rPr>
            </w:pPr>
            <w:r>
              <w:rPr>
                <w:rFonts w:ascii="Calibri" w:hAnsi="Calibri"/>
                <w:b/>
                <w:bCs/>
                <w:color w:val="E26B0A"/>
                <w:sz w:val="22"/>
                <w:szCs w:val="22"/>
              </w:rPr>
              <w:t>Deep poverty</w:t>
            </w:r>
          </w:p>
        </w:tc>
        <w:tc>
          <w:tcPr>
            <w:tcW w:w="837"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01"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46"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0"/>
                <w:szCs w:val="20"/>
              </w:rPr>
            </w:pPr>
            <w:r>
              <w:rPr>
                <w:rFonts w:ascii="Calibri" w:hAnsi="Calibri"/>
                <w:color w:val="000000"/>
                <w:sz w:val="20"/>
                <w:szCs w:val="20"/>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Arial" w:hAnsi="Arial" w:cs="Arial"/>
                <w:sz w:val="20"/>
                <w:szCs w:val="20"/>
              </w:rPr>
            </w:pPr>
          </w:p>
        </w:tc>
        <w:tc>
          <w:tcPr>
            <w:tcW w:w="1013"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44"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935"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r>
      <w:tr w:rsidR="00E571E9" w:rsidTr="00E571E9">
        <w:trPr>
          <w:trHeight w:val="300"/>
        </w:trPr>
        <w:tc>
          <w:tcPr>
            <w:tcW w:w="3186"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xml:space="preserve">  Principal components index</w:t>
            </w:r>
          </w:p>
        </w:tc>
        <w:tc>
          <w:tcPr>
            <w:tcW w:w="837"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6.7</w:t>
            </w:r>
          </w:p>
        </w:tc>
        <w:tc>
          <w:tcPr>
            <w:tcW w:w="1001"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10.3</w:t>
            </w:r>
          </w:p>
        </w:tc>
        <w:tc>
          <w:tcPr>
            <w:tcW w:w="146"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7.1</w:t>
            </w:r>
          </w:p>
        </w:tc>
        <w:tc>
          <w:tcPr>
            <w:tcW w:w="1013"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10.2</w:t>
            </w:r>
          </w:p>
        </w:tc>
        <w:tc>
          <w:tcPr>
            <w:tcW w:w="144"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5.9</w:t>
            </w:r>
          </w:p>
        </w:tc>
        <w:tc>
          <w:tcPr>
            <w:tcW w:w="935"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10.1</w:t>
            </w:r>
          </w:p>
        </w:tc>
      </w:tr>
      <w:tr w:rsidR="00E571E9" w:rsidTr="00E571E9">
        <w:trPr>
          <w:trHeight w:val="300"/>
        </w:trPr>
        <w:tc>
          <w:tcPr>
            <w:tcW w:w="3186"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xml:space="preserve">  Count index</w:t>
            </w:r>
          </w:p>
        </w:tc>
        <w:tc>
          <w:tcPr>
            <w:tcW w:w="837"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01"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10.5</w:t>
            </w:r>
          </w:p>
        </w:tc>
        <w:tc>
          <w:tcPr>
            <w:tcW w:w="146"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13"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7.6</w:t>
            </w:r>
          </w:p>
        </w:tc>
        <w:tc>
          <w:tcPr>
            <w:tcW w:w="144"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935"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6.8</w:t>
            </w:r>
          </w:p>
        </w:tc>
      </w:tr>
      <w:tr w:rsidR="00E571E9" w:rsidTr="00E571E9">
        <w:trPr>
          <w:trHeight w:val="300"/>
        </w:trPr>
        <w:tc>
          <w:tcPr>
            <w:tcW w:w="3186"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xml:space="preserve">  Regression-based index</w:t>
            </w:r>
          </w:p>
        </w:tc>
        <w:tc>
          <w:tcPr>
            <w:tcW w:w="837"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01"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8.0</w:t>
            </w:r>
          </w:p>
        </w:tc>
        <w:tc>
          <w:tcPr>
            <w:tcW w:w="146"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13"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5.8</w:t>
            </w:r>
          </w:p>
        </w:tc>
        <w:tc>
          <w:tcPr>
            <w:tcW w:w="144"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935"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4.5</w:t>
            </w:r>
          </w:p>
        </w:tc>
      </w:tr>
      <w:tr w:rsidR="00E571E9" w:rsidTr="00E571E9">
        <w:trPr>
          <w:trHeight w:val="199"/>
        </w:trPr>
        <w:tc>
          <w:tcPr>
            <w:tcW w:w="3186"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837"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01"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46"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13"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44"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935"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r>
      <w:tr w:rsidR="00E571E9" w:rsidTr="00E571E9">
        <w:trPr>
          <w:trHeight w:val="300"/>
        </w:trPr>
        <w:tc>
          <w:tcPr>
            <w:tcW w:w="3186" w:type="dxa"/>
            <w:tcBorders>
              <w:top w:val="nil"/>
              <w:left w:val="nil"/>
              <w:bottom w:val="nil"/>
              <w:right w:val="nil"/>
            </w:tcBorders>
            <w:shd w:val="clear" w:color="auto" w:fill="auto"/>
            <w:tcMar>
              <w:top w:w="15" w:type="dxa"/>
              <w:left w:w="15" w:type="dxa"/>
              <w:bottom w:w="0" w:type="dxa"/>
              <w:right w:w="15" w:type="dxa"/>
            </w:tcMar>
            <w:vAlign w:val="center"/>
            <w:hideMark/>
          </w:tcPr>
          <w:p w:rsidR="00E571E9" w:rsidRDefault="00E571E9">
            <w:pPr>
              <w:rPr>
                <w:rFonts w:ascii="Calibri" w:hAnsi="Calibri"/>
                <w:b/>
                <w:bCs/>
                <w:color w:val="E26B0A"/>
                <w:sz w:val="22"/>
                <w:szCs w:val="22"/>
              </w:rPr>
            </w:pPr>
            <w:r>
              <w:rPr>
                <w:rFonts w:ascii="Calibri" w:hAnsi="Calibri"/>
                <w:b/>
                <w:bCs/>
                <w:color w:val="E26B0A"/>
                <w:sz w:val="22"/>
                <w:szCs w:val="22"/>
              </w:rPr>
              <w:t>Poverty (National line)</w:t>
            </w:r>
          </w:p>
        </w:tc>
        <w:tc>
          <w:tcPr>
            <w:tcW w:w="837"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01"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46"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13"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44"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935"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r>
      <w:tr w:rsidR="00E571E9" w:rsidTr="00E571E9">
        <w:trPr>
          <w:trHeight w:val="300"/>
        </w:trPr>
        <w:tc>
          <w:tcPr>
            <w:tcW w:w="3186"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xml:space="preserve">  Principal components index</w:t>
            </w:r>
          </w:p>
        </w:tc>
        <w:tc>
          <w:tcPr>
            <w:tcW w:w="837"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14.6</w:t>
            </w:r>
          </w:p>
        </w:tc>
        <w:tc>
          <w:tcPr>
            <w:tcW w:w="1001"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17.1</w:t>
            </w:r>
          </w:p>
        </w:tc>
        <w:tc>
          <w:tcPr>
            <w:tcW w:w="146"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15.4</w:t>
            </w:r>
          </w:p>
        </w:tc>
        <w:tc>
          <w:tcPr>
            <w:tcW w:w="1013"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17.6</w:t>
            </w:r>
          </w:p>
        </w:tc>
        <w:tc>
          <w:tcPr>
            <w:tcW w:w="144"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14.1</w:t>
            </w:r>
          </w:p>
        </w:tc>
        <w:tc>
          <w:tcPr>
            <w:tcW w:w="935"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17.1</w:t>
            </w:r>
          </w:p>
        </w:tc>
      </w:tr>
      <w:tr w:rsidR="00E571E9" w:rsidTr="00E571E9">
        <w:trPr>
          <w:trHeight w:val="300"/>
        </w:trPr>
        <w:tc>
          <w:tcPr>
            <w:tcW w:w="3186"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xml:space="preserve">  Count index</w:t>
            </w:r>
          </w:p>
        </w:tc>
        <w:tc>
          <w:tcPr>
            <w:tcW w:w="837"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01"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17.6</w:t>
            </w:r>
          </w:p>
        </w:tc>
        <w:tc>
          <w:tcPr>
            <w:tcW w:w="146"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13"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13.7</w:t>
            </w:r>
          </w:p>
        </w:tc>
        <w:tc>
          <w:tcPr>
            <w:tcW w:w="144"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935"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13.4</w:t>
            </w:r>
          </w:p>
        </w:tc>
      </w:tr>
      <w:tr w:rsidR="00E571E9" w:rsidTr="00E571E9">
        <w:trPr>
          <w:trHeight w:val="300"/>
        </w:trPr>
        <w:tc>
          <w:tcPr>
            <w:tcW w:w="3186"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xml:space="preserve">  Regression-based index</w:t>
            </w:r>
          </w:p>
        </w:tc>
        <w:tc>
          <w:tcPr>
            <w:tcW w:w="837"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01"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16.8</w:t>
            </w:r>
          </w:p>
        </w:tc>
        <w:tc>
          <w:tcPr>
            <w:tcW w:w="146"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13"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13.0</w:t>
            </w:r>
          </w:p>
        </w:tc>
        <w:tc>
          <w:tcPr>
            <w:tcW w:w="144"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935"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11.2</w:t>
            </w:r>
          </w:p>
        </w:tc>
      </w:tr>
      <w:tr w:rsidR="00E571E9" w:rsidTr="00E571E9">
        <w:trPr>
          <w:trHeight w:val="300"/>
        </w:trPr>
        <w:tc>
          <w:tcPr>
            <w:tcW w:w="3186" w:type="dxa"/>
            <w:tcBorders>
              <w:top w:val="nil"/>
              <w:left w:val="nil"/>
              <w:bottom w:val="single" w:sz="8" w:space="0" w:color="auto"/>
              <w:right w:val="nil"/>
            </w:tcBorders>
            <w:shd w:val="clear" w:color="auto" w:fill="auto"/>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37"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1001"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146" w:type="dxa"/>
            <w:tcBorders>
              <w:top w:val="nil"/>
              <w:left w:val="nil"/>
              <w:bottom w:val="single" w:sz="8" w:space="0" w:color="auto"/>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1013"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144" w:type="dxa"/>
            <w:tcBorders>
              <w:top w:val="nil"/>
              <w:left w:val="nil"/>
              <w:bottom w:val="single" w:sz="8" w:space="0" w:color="auto"/>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93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r>
      <w:tr w:rsidR="00E571E9" w:rsidTr="00E571E9">
        <w:trPr>
          <w:trHeight w:val="300"/>
        </w:trPr>
        <w:tc>
          <w:tcPr>
            <w:tcW w:w="3186" w:type="dxa"/>
            <w:tcBorders>
              <w:top w:val="nil"/>
              <w:left w:val="nil"/>
              <w:bottom w:val="nil"/>
              <w:right w:val="nil"/>
            </w:tcBorders>
            <w:shd w:val="clear" w:color="000000" w:fill="B8CCE4"/>
            <w:noWrap/>
            <w:tcMar>
              <w:top w:w="15" w:type="dxa"/>
              <w:left w:w="15" w:type="dxa"/>
              <w:bottom w:w="0" w:type="dxa"/>
              <w:right w:w="15" w:type="dxa"/>
            </w:tcMar>
            <w:vAlign w:val="bottom"/>
            <w:hideMark/>
          </w:tcPr>
          <w:p w:rsidR="00E571E9" w:rsidRDefault="00E571E9">
            <w:pPr>
              <w:rPr>
                <w:rFonts w:ascii="Calibri" w:hAnsi="Calibri"/>
                <w:b/>
                <w:bCs/>
                <w:color w:val="000000"/>
                <w:sz w:val="22"/>
                <w:szCs w:val="22"/>
              </w:rPr>
            </w:pPr>
            <w:r>
              <w:rPr>
                <w:rFonts w:ascii="Calibri" w:hAnsi="Calibri"/>
                <w:b/>
                <w:bCs/>
                <w:color w:val="000000"/>
                <w:sz w:val="22"/>
                <w:szCs w:val="22"/>
              </w:rPr>
              <w:t>Gaza</w:t>
            </w:r>
          </w:p>
        </w:tc>
        <w:tc>
          <w:tcPr>
            <w:tcW w:w="837" w:type="dxa"/>
            <w:tcBorders>
              <w:top w:val="nil"/>
              <w:left w:val="nil"/>
              <w:bottom w:val="nil"/>
              <w:right w:val="nil"/>
            </w:tcBorders>
            <w:shd w:val="clear" w:color="000000" w:fill="B8CCE4"/>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1001" w:type="dxa"/>
            <w:tcBorders>
              <w:top w:val="nil"/>
              <w:left w:val="nil"/>
              <w:bottom w:val="nil"/>
              <w:right w:val="nil"/>
            </w:tcBorders>
            <w:shd w:val="clear" w:color="000000" w:fill="B8CCE4"/>
            <w:noWrap/>
            <w:tcMar>
              <w:top w:w="15" w:type="dxa"/>
              <w:left w:w="15" w:type="dxa"/>
              <w:bottom w:w="0" w:type="dxa"/>
              <w:right w:w="15" w:type="dxa"/>
            </w:tcMar>
            <w:vAlign w:val="bottom"/>
            <w:hideMark/>
          </w:tcPr>
          <w:p w:rsidR="00E571E9" w:rsidRDefault="00E571E9">
            <w:pPr>
              <w:rPr>
                <w:rFonts w:ascii="Calibri" w:hAnsi="Calibri"/>
                <w:color w:val="000000"/>
                <w:sz w:val="16"/>
                <w:szCs w:val="16"/>
              </w:rPr>
            </w:pPr>
            <w:r>
              <w:rPr>
                <w:rFonts w:ascii="Calibri" w:hAnsi="Calibri"/>
                <w:color w:val="000000"/>
                <w:sz w:val="16"/>
                <w:szCs w:val="16"/>
              </w:rPr>
              <w:t> </w:t>
            </w:r>
          </w:p>
        </w:tc>
        <w:tc>
          <w:tcPr>
            <w:tcW w:w="146"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16"/>
                <w:szCs w:val="16"/>
              </w:rPr>
            </w:pPr>
            <w:r>
              <w:rPr>
                <w:rFonts w:ascii="Calibri" w:hAnsi="Calibri"/>
                <w:color w:val="000000"/>
                <w:sz w:val="16"/>
                <w:szCs w:val="16"/>
              </w:rPr>
              <w:t> </w:t>
            </w:r>
          </w:p>
        </w:tc>
        <w:tc>
          <w:tcPr>
            <w:tcW w:w="802" w:type="dxa"/>
            <w:tcBorders>
              <w:top w:val="nil"/>
              <w:left w:val="nil"/>
              <w:bottom w:val="nil"/>
              <w:right w:val="nil"/>
            </w:tcBorders>
            <w:shd w:val="clear" w:color="000000" w:fill="B8CCE4"/>
            <w:noWrap/>
            <w:tcMar>
              <w:top w:w="15" w:type="dxa"/>
              <w:left w:w="15" w:type="dxa"/>
              <w:bottom w:w="0" w:type="dxa"/>
              <w:right w:w="15" w:type="dxa"/>
            </w:tcMar>
            <w:vAlign w:val="bottom"/>
            <w:hideMark/>
          </w:tcPr>
          <w:p w:rsidR="00E571E9" w:rsidRDefault="00E571E9">
            <w:pPr>
              <w:rPr>
                <w:rFonts w:ascii="Calibri" w:hAnsi="Calibri"/>
                <w:color w:val="000000"/>
                <w:sz w:val="16"/>
                <w:szCs w:val="16"/>
              </w:rPr>
            </w:pPr>
            <w:r>
              <w:rPr>
                <w:rFonts w:ascii="Calibri" w:hAnsi="Calibri"/>
                <w:color w:val="000000"/>
                <w:sz w:val="16"/>
                <w:szCs w:val="16"/>
              </w:rPr>
              <w:t> </w:t>
            </w:r>
          </w:p>
        </w:tc>
        <w:tc>
          <w:tcPr>
            <w:tcW w:w="1013" w:type="dxa"/>
            <w:tcBorders>
              <w:top w:val="nil"/>
              <w:left w:val="nil"/>
              <w:bottom w:val="nil"/>
              <w:right w:val="nil"/>
            </w:tcBorders>
            <w:shd w:val="clear" w:color="000000" w:fill="B8CCE4"/>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144"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000000" w:fill="B8CCE4"/>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935" w:type="dxa"/>
            <w:tcBorders>
              <w:top w:val="nil"/>
              <w:left w:val="nil"/>
              <w:bottom w:val="nil"/>
              <w:right w:val="nil"/>
            </w:tcBorders>
            <w:shd w:val="clear" w:color="000000" w:fill="B8CCE4"/>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r>
      <w:tr w:rsidR="00E571E9" w:rsidTr="00E571E9">
        <w:trPr>
          <w:trHeight w:val="300"/>
        </w:trPr>
        <w:tc>
          <w:tcPr>
            <w:tcW w:w="3186" w:type="dxa"/>
            <w:tcBorders>
              <w:top w:val="nil"/>
              <w:left w:val="nil"/>
              <w:bottom w:val="nil"/>
              <w:right w:val="nil"/>
            </w:tcBorders>
            <w:shd w:val="clear" w:color="auto" w:fill="auto"/>
            <w:tcMar>
              <w:top w:w="15" w:type="dxa"/>
              <w:left w:w="15" w:type="dxa"/>
              <w:bottom w:w="0" w:type="dxa"/>
              <w:right w:w="15" w:type="dxa"/>
            </w:tcMar>
            <w:vAlign w:val="center"/>
            <w:hideMark/>
          </w:tcPr>
          <w:p w:rsidR="00E571E9" w:rsidRDefault="00E571E9">
            <w:pPr>
              <w:rPr>
                <w:rFonts w:ascii="Calibri" w:hAnsi="Calibri"/>
                <w:b/>
                <w:bCs/>
                <w:color w:val="E26B0A"/>
                <w:sz w:val="22"/>
                <w:szCs w:val="22"/>
              </w:rPr>
            </w:pPr>
            <w:r>
              <w:rPr>
                <w:rFonts w:ascii="Calibri" w:hAnsi="Calibri"/>
                <w:b/>
                <w:bCs/>
                <w:color w:val="E26B0A"/>
                <w:sz w:val="22"/>
                <w:szCs w:val="22"/>
              </w:rPr>
              <w:t>Deep poverty</w:t>
            </w:r>
          </w:p>
        </w:tc>
        <w:tc>
          <w:tcPr>
            <w:tcW w:w="837"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01"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46"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0"/>
                <w:szCs w:val="20"/>
              </w:rPr>
            </w:pPr>
            <w:r>
              <w:rPr>
                <w:rFonts w:ascii="Calibri" w:hAnsi="Calibri"/>
                <w:color w:val="000000"/>
                <w:sz w:val="20"/>
                <w:szCs w:val="20"/>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Arial" w:hAnsi="Arial" w:cs="Arial"/>
                <w:sz w:val="20"/>
                <w:szCs w:val="20"/>
              </w:rPr>
            </w:pPr>
          </w:p>
        </w:tc>
        <w:tc>
          <w:tcPr>
            <w:tcW w:w="1013"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44"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935"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r>
      <w:tr w:rsidR="00E571E9" w:rsidTr="00E571E9">
        <w:trPr>
          <w:trHeight w:val="300"/>
        </w:trPr>
        <w:tc>
          <w:tcPr>
            <w:tcW w:w="3186"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xml:space="preserve">  Principal components index</w:t>
            </w:r>
          </w:p>
        </w:tc>
        <w:tc>
          <w:tcPr>
            <w:tcW w:w="837"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15.8</w:t>
            </w:r>
          </w:p>
        </w:tc>
        <w:tc>
          <w:tcPr>
            <w:tcW w:w="1001"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15.5</w:t>
            </w:r>
          </w:p>
        </w:tc>
        <w:tc>
          <w:tcPr>
            <w:tcW w:w="146"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18.0</w:t>
            </w:r>
          </w:p>
        </w:tc>
        <w:tc>
          <w:tcPr>
            <w:tcW w:w="1013"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12.5</w:t>
            </w:r>
          </w:p>
        </w:tc>
        <w:tc>
          <w:tcPr>
            <w:tcW w:w="144"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17.3</w:t>
            </w:r>
          </w:p>
        </w:tc>
        <w:tc>
          <w:tcPr>
            <w:tcW w:w="935"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9.2</w:t>
            </w:r>
          </w:p>
        </w:tc>
      </w:tr>
      <w:tr w:rsidR="00E571E9" w:rsidTr="00E571E9">
        <w:trPr>
          <w:trHeight w:val="300"/>
        </w:trPr>
        <w:tc>
          <w:tcPr>
            <w:tcW w:w="3186"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xml:space="preserve">  Count index</w:t>
            </w:r>
          </w:p>
        </w:tc>
        <w:tc>
          <w:tcPr>
            <w:tcW w:w="837"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01"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17.7</w:t>
            </w:r>
          </w:p>
        </w:tc>
        <w:tc>
          <w:tcPr>
            <w:tcW w:w="146"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13"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17.5</w:t>
            </w:r>
          </w:p>
        </w:tc>
        <w:tc>
          <w:tcPr>
            <w:tcW w:w="144"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935"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15.2</w:t>
            </w:r>
          </w:p>
        </w:tc>
      </w:tr>
      <w:tr w:rsidR="00E571E9" w:rsidTr="00E571E9">
        <w:trPr>
          <w:trHeight w:val="300"/>
        </w:trPr>
        <w:tc>
          <w:tcPr>
            <w:tcW w:w="3186"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xml:space="preserve">  Regression-based index</w:t>
            </w:r>
          </w:p>
        </w:tc>
        <w:tc>
          <w:tcPr>
            <w:tcW w:w="837"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01"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20.5</w:t>
            </w:r>
          </w:p>
        </w:tc>
        <w:tc>
          <w:tcPr>
            <w:tcW w:w="146"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13"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20.4</w:t>
            </w:r>
          </w:p>
        </w:tc>
        <w:tc>
          <w:tcPr>
            <w:tcW w:w="144"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935"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21.3</w:t>
            </w:r>
          </w:p>
        </w:tc>
      </w:tr>
      <w:tr w:rsidR="00E571E9" w:rsidTr="00E571E9">
        <w:trPr>
          <w:trHeight w:val="199"/>
        </w:trPr>
        <w:tc>
          <w:tcPr>
            <w:tcW w:w="3186"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837"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01"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46"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13"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44"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935"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r>
      <w:tr w:rsidR="00E571E9" w:rsidTr="00E571E9">
        <w:trPr>
          <w:trHeight w:val="300"/>
        </w:trPr>
        <w:tc>
          <w:tcPr>
            <w:tcW w:w="3186" w:type="dxa"/>
            <w:tcBorders>
              <w:top w:val="nil"/>
              <w:left w:val="nil"/>
              <w:bottom w:val="nil"/>
              <w:right w:val="nil"/>
            </w:tcBorders>
            <w:shd w:val="clear" w:color="auto" w:fill="auto"/>
            <w:tcMar>
              <w:top w:w="15" w:type="dxa"/>
              <w:left w:w="15" w:type="dxa"/>
              <w:bottom w:w="0" w:type="dxa"/>
              <w:right w:w="15" w:type="dxa"/>
            </w:tcMar>
            <w:vAlign w:val="center"/>
            <w:hideMark/>
          </w:tcPr>
          <w:p w:rsidR="00E571E9" w:rsidRDefault="00E571E9">
            <w:pPr>
              <w:rPr>
                <w:rFonts w:ascii="Calibri" w:hAnsi="Calibri"/>
                <w:b/>
                <w:bCs/>
                <w:color w:val="E26B0A"/>
                <w:sz w:val="22"/>
                <w:szCs w:val="22"/>
              </w:rPr>
            </w:pPr>
            <w:r>
              <w:rPr>
                <w:rFonts w:ascii="Calibri" w:hAnsi="Calibri"/>
                <w:b/>
                <w:bCs/>
                <w:color w:val="E26B0A"/>
                <w:sz w:val="22"/>
                <w:szCs w:val="22"/>
              </w:rPr>
              <w:t>Poverty (National line)</w:t>
            </w:r>
          </w:p>
        </w:tc>
        <w:tc>
          <w:tcPr>
            <w:tcW w:w="837"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01"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46"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13"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44"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935"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r>
      <w:tr w:rsidR="00E571E9" w:rsidTr="00E571E9">
        <w:trPr>
          <w:trHeight w:val="300"/>
        </w:trPr>
        <w:tc>
          <w:tcPr>
            <w:tcW w:w="3186"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xml:space="preserve">  Principal components index</w:t>
            </w:r>
          </w:p>
        </w:tc>
        <w:tc>
          <w:tcPr>
            <w:tcW w:w="837"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28.4</w:t>
            </w:r>
          </w:p>
        </w:tc>
        <w:tc>
          <w:tcPr>
            <w:tcW w:w="1001"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30.1</w:t>
            </w:r>
          </w:p>
        </w:tc>
        <w:tc>
          <w:tcPr>
            <w:tcW w:w="146"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30.9</w:t>
            </w:r>
          </w:p>
        </w:tc>
        <w:tc>
          <w:tcPr>
            <w:tcW w:w="1013"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29.1</w:t>
            </w:r>
          </w:p>
        </w:tc>
        <w:tc>
          <w:tcPr>
            <w:tcW w:w="144"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32.1</w:t>
            </w:r>
          </w:p>
        </w:tc>
        <w:tc>
          <w:tcPr>
            <w:tcW w:w="935"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26.4</w:t>
            </w:r>
          </w:p>
        </w:tc>
      </w:tr>
      <w:tr w:rsidR="00E571E9" w:rsidTr="00E571E9">
        <w:trPr>
          <w:trHeight w:val="300"/>
        </w:trPr>
        <w:tc>
          <w:tcPr>
            <w:tcW w:w="3186"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xml:space="preserve">  Count index</w:t>
            </w:r>
          </w:p>
        </w:tc>
        <w:tc>
          <w:tcPr>
            <w:tcW w:w="837"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01"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33.8</w:t>
            </w:r>
          </w:p>
        </w:tc>
        <w:tc>
          <w:tcPr>
            <w:tcW w:w="146"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13"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32.0</w:t>
            </w:r>
          </w:p>
        </w:tc>
        <w:tc>
          <w:tcPr>
            <w:tcW w:w="144"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935"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31.5</w:t>
            </w:r>
          </w:p>
        </w:tc>
      </w:tr>
      <w:tr w:rsidR="00E571E9" w:rsidTr="00E571E9">
        <w:trPr>
          <w:trHeight w:val="300"/>
        </w:trPr>
        <w:tc>
          <w:tcPr>
            <w:tcW w:w="3186"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xml:space="preserve">  Regression-based index</w:t>
            </w:r>
          </w:p>
        </w:tc>
        <w:tc>
          <w:tcPr>
            <w:tcW w:w="837"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01"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39.6</w:t>
            </w:r>
          </w:p>
        </w:tc>
        <w:tc>
          <w:tcPr>
            <w:tcW w:w="146"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1013"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36.8</w:t>
            </w:r>
          </w:p>
        </w:tc>
        <w:tc>
          <w:tcPr>
            <w:tcW w:w="144" w:type="dxa"/>
            <w:tcBorders>
              <w:top w:val="nil"/>
              <w:left w:val="nil"/>
              <w:bottom w:val="nil"/>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p>
        </w:tc>
        <w:tc>
          <w:tcPr>
            <w:tcW w:w="935" w:type="dxa"/>
            <w:tcBorders>
              <w:top w:val="nil"/>
              <w:left w:val="nil"/>
              <w:bottom w:val="nil"/>
              <w:right w:val="nil"/>
            </w:tcBorders>
            <w:shd w:val="clear" w:color="auto" w:fill="auto"/>
            <w:noWrap/>
            <w:tcMar>
              <w:top w:w="15" w:type="dxa"/>
              <w:left w:w="15" w:type="dxa"/>
              <w:bottom w:w="0" w:type="dxa"/>
              <w:right w:w="15" w:type="dxa"/>
            </w:tcMar>
            <w:vAlign w:val="bottom"/>
            <w:hideMark/>
          </w:tcPr>
          <w:p w:rsidR="00E571E9" w:rsidRDefault="00E571E9">
            <w:pPr>
              <w:jc w:val="right"/>
              <w:rPr>
                <w:rFonts w:ascii="Calibri" w:hAnsi="Calibri"/>
                <w:color w:val="000000"/>
                <w:sz w:val="22"/>
                <w:szCs w:val="22"/>
              </w:rPr>
            </w:pPr>
            <w:r>
              <w:rPr>
                <w:rFonts w:ascii="Calibri" w:hAnsi="Calibri"/>
                <w:color w:val="000000"/>
                <w:sz w:val="22"/>
                <w:szCs w:val="22"/>
              </w:rPr>
              <w:t>38.1</w:t>
            </w:r>
          </w:p>
        </w:tc>
      </w:tr>
      <w:tr w:rsidR="00E571E9" w:rsidTr="00E571E9">
        <w:trPr>
          <w:trHeight w:val="300"/>
        </w:trPr>
        <w:tc>
          <w:tcPr>
            <w:tcW w:w="3186" w:type="dxa"/>
            <w:tcBorders>
              <w:top w:val="nil"/>
              <w:left w:val="nil"/>
              <w:bottom w:val="single" w:sz="8" w:space="0" w:color="auto"/>
              <w:right w:val="nil"/>
            </w:tcBorders>
            <w:shd w:val="clear" w:color="auto" w:fill="auto"/>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37"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1001"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146" w:type="dxa"/>
            <w:tcBorders>
              <w:top w:val="nil"/>
              <w:left w:val="nil"/>
              <w:bottom w:val="single" w:sz="8" w:space="0" w:color="auto"/>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1013"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144" w:type="dxa"/>
            <w:tcBorders>
              <w:top w:val="nil"/>
              <w:left w:val="nil"/>
              <w:bottom w:val="single" w:sz="8" w:space="0" w:color="auto"/>
              <w:right w:val="nil"/>
            </w:tcBorders>
            <w:shd w:val="clear" w:color="000000" w:fill="C4BD97"/>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802"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c>
          <w:tcPr>
            <w:tcW w:w="93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E571E9" w:rsidRDefault="00E571E9">
            <w:pPr>
              <w:rPr>
                <w:rFonts w:ascii="Calibri" w:hAnsi="Calibri"/>
                <w:color w:val="000000"/>
                <w:sz w:val="22"/>
                <w:szCs w:val="22"/>
              </w:rPr>
            </w:pPr>
            <w:r>
              <w:rPr>
                <w:rFonts w:ascii="Calibri" w:hAnsi="Calibri"/>
                <w:color w:val="000000"/>
                <w:sz w:val="22"/>
                <w:szCs w:val="22"/>
              </w:rPr>
              <w:t> </w:t>
            </w:r>
          </w:p>
        </w:tc>
      </w:tr>
    </w:tbl>
    <w:p w:rsidR="00A043E7" w:rsidRDefault="00E571E9" w:rsidP="00E571E9">
      <w:pPr>
        <w:rPr>
          <w:rFonts w:asciiTheme="minorHAnsi" w:eastAsiaTheme="majorEastAsia" w:hAnsiTheme="minorHAnsi" w:cstheme="majorBidi"/>
          <w:b/>
          <w:color w:val="365F91" w:themeColor="accent1" w:themeShade="BF"/>
          <w:sz w:val="28"/>
          <w:szCs w:val="28"/>
          <w:lang w:val="en-GB"/>
        </w:rPr>
      </w:pPr>
      <w:r>
        <w:rPr>
          <w:rFonts w:asciiTheme="minorHAnsi" w:hAnsiTheme="minorHAnsi"/>
          <w:color w:val="365F91" w:themeColor="accent1" w:themeShade="BF"/>
          <w:sz w:val="28"/>
          <w:szCs w:val="28"/>
        </w:rPr>
        <w:t xml:space="preserve"> </w:t>
      </w:r>
    </w:p>
    <w:p w:rsidR="00E571E9" w:rsidRDefault="00E571E9">
      <w:pPr>
        <w:rPr>
          <w:rFonts w:asciiTheme="minorHAnsi" w:eastAsiaTheme="majorEastAsia" w:hAnsiTheme="minorHAnsi" w:cstheme="majorBidi"/>
          <w:b/>
          <w:color w:val="365F91" w:themeColor="accent1" w:themeShade="BF"/>
          <w:sz w:val="28"/>
          <w:szCs w:val="28"/>
          <w:lang w:val="en-GB"/>
        </w:rPr>
      </w:pPr>
      <w:r>
        <w:rPr>
          <w:rFonts w:asciiTheme="minorHAnsi" w:hAnsiTheme="minorHAnsi"/>
          <w:color w:val="365F91" w:themeColor="accent1" w:themeShade="BF"/>
          <w:sz w:val="28"/>
          <w:szCs w:val="28"/>
        </w:rPr>
        <w:br w:type="page"/>
      </w:r>
    </w:p>
    <w:p w:rsidR="00872919" w:rsidRPr="00613506" w:rsidRDefault="005E4ABB" w:rsidP="0098190D">
      <w:pPr>
        <w:pStyle w:val="Heading1"/>
        <w:rPr>
          <w:rFonts w:asciiTheme="minorHAnsi" w:hAnsiTheme="minorHAnsi"/>
        </w:rPr>
      </w:pPr>
      <w:bookmarkStart w:id="25" w:name="_Toc395979707"/>
      <w:r w:rsidRPr="00613506">
        <w:rPr>
          <w:rFonts w:asciiTheme="minorHAnsi" w:hAnsiTheme="minorHAnsi"/>
        </w:rPr>
        <w:lastRenderedPageBreak/>
        <w:t>3</w:t>
      </w:r>
      <w:r w:rsidR="00872919" w:rsidRPr="00613506">
        <w:rPr>
          <w:rFonts w:asciiTheme="minorHAnsi" w:hAnsiTheme="minorHAnsi"/>
        </w:rPr>
        <w:t>.  Combining information from the HFIAS and FCS to classify households into food consumption groups</w:t>
      </w:r>
      <w:bookmarkEnd w:id="25"/>
    </w:p>
    <w:p w:rsidR="00872919" w:rsidRDefault="00872919" w:rsidP="00872919">
      <w:pPr>
        <w:rPr>
          <w:rFonts w:asciiTheme="minorHAnsi" w:hAnsiTheme="minorHAnsi"/>
          <w:b/>
        </w:rPr>
      </w:pPr>
    </w:p>
    <w:p w:rsidR="00872919" w:rsidRDefault="00872919" w:rsidP="00872919">
      <w:pPr>
        <w:rPr>
          <w:rFonts w:asciiTheme="minorHAnsi" w:hAnsiTheme="minorHAnsi"/>
        </w:rPr>
      </w:pPr>
      <w:r>
        <w:rPr>
          <w:rFonts w:asciiTheme="minorHAnsi" w:hAnsiTheme="minorHAnsi"/>
        </w:rPr>
        <w:t>The Phase I report verified that both insufficient dietary quantity (the amount of food people eat) and inadequate dietary quality are important food security problems in Palestine.  Thus both must be taken into account in measuring the “food consumption” aspect of food insecurity in the country.    The data currently collected in the SEFSec surveys allow calculation of the following two food consumption indicators that have been well-defined in previous measurement guidelines:</w:t>
      </w:r>
      <w:r w:rsidRPr="00872919">
        <w:rPr>
          <w:rFonts w:asciiTheme="minorHAnsi" w:hAnsiTheme="minorHAnsi"/>
        </w:rPr>
        <w:t xml:space="preserve"> </w:t>
      </w:r>
    </w:p>
    <w:p w:rsidR="00872919" w:rsidRPr="00A753E8" w:rsidRDefault="00872919" w:rsidP="00872919">
      <w:pPr>
        <w:rPr>
          <w:rFonts w:asciiTheme="minorHAnsi" w:hAnsiTheme="minorHAnsi"/>
        </w:rPr>
      </w:pPr>
    </w:p>
    <w:p w:rsidR="00872919" w:rsidRDefault="00872919" w:rsidP="00872919">
      <w:pPr>
        <w:pStyle w:val="ListParagraph"/>
        <w:numPr>
          <w:ilvl w:val="0"/>
          <w:numId w:val="5"/>
        </w:numPr>
        <w:rPr>
          <w:rFonts w:asciiTheme="minorHAnsi" w:hAnsiTheme="minorHAnsi"/>
        </w:rPr>
      </w:pPr>
      <w:r>
        <w:rPr>
          <w:rFonts w:asciiTheme="minorHAnsi" w:hAnsiTheme="minorHAnsi"/>
        </w:rPr>
        <w:t>The h</w:t>
      </w:r>
      <w:r w:rsidRPr="00A753E8">
        <w:rPr>
          <w:rFonts w:asciiTheme="minorHAnsi" w:hAnsiTheme="minorHAnsi"/>
        </w:rPr>
        <w:t>ousehold food insecurity access scale (HFIAS)</w:t>
      </w:r>
      <w:r>
        <w:rPr>
          <w:rFonts w:asciiTheme="minorHAnsi" w:hAnsiTheme="minorHAnsi"/>
        </w:rPr>
        <w:t xml:space="preserve"> (Coates, Swindale and Bilinsky 2007)</w:t>
      </w:r>
      <w:r w:rsidR="00223B74">
        <w:rPr>
          <w:rFonts w:asciiTheme="minorHAnsi" w:hAnsiTheme="minorHAnsi"/>
        </w:rPr>
        <w:t xml:space="preserve">, which </w:t>
      </w:r>
      <w:r>
        <w:rPr>
          <w:rFonts w:asciiTheme="minorHAnsi" w:hAnsiTheme="minorHAnsi"/>
        </w:rPr>
        <w:t>is an experiential indicator based on people’s perceptions of their situation and self-reports of their behaviors</w:t>
      </w:r>
      <w:r w:rsidRPr="00A753E8">
        <w:rPr>
          <w:rFonts w:asciiTheme="minorHAnsi" w:hAnsiTheme="minorHAnsi"/>
        </w:rPr>
        <w:t>;</w:t>
      </w:r>
      <w:r>
        <w:rPr>
          <w:rFonts w:asciiTheme="minorHAnsi" w:hAnsiTheme="minorHAnsi"/>
        </w:rPr>
        <w:t xml:space="preserve"> and</w:t>
      </w:r>
    </w:p>
    <w:p w:rsidR="00872919" w:rsidRPr="00A753E8" w:rsidRDefault="00872919" w:rsidP="00872919">
      <w:pPr>
        <w:pStyle w:val="ListParagraph"/>
        <w:rPr>
          <w:rFonts w:asciiTheme="minorHAnsi" w:hAnsiTheme="minorHAnsi"/>
        </w:rPr>
      </w:pPr>
    </w:p>
    <w:p w:rsidR="00872919" w:rsidRDefault="00872919" w:rsidP="00872919">
      <w:pPr>
        <w:pStyle w:val="ListParagraph"/>
        <w:numPr>
          <w:ilvl w:val="0"/>
          <w:numId w:val="5"/>
        </w:numPr>
        <w:rPr>
          <w:rFonts w:asciiTheme="minorHAnsi" w:hAnsiTheme="minorHAnsi"/>
        </w:rPr>
      </w:pPr>
      <w:r>
        <w:rPr>
          <w:rFonts w:asciiTheme="minorHAnsi" w:hAnsiTheme="minorHAnsi"/>
        </w:rPr>
        <w:t>The f</w:t>
      </w:r>
      <w:r w:rsidRPr="002B3AD3">
        <w:rPr>
          <w:rFonts w:asciiTheme="minorHAnsi" w:hAnsiTheme="minorHAnsi"/>
        </w:rPr>
        <w:t>ood consumption score</w:t>
      </w:r>
      <w:r>
        <w:rPr>
          <w:rFonts w:asciiTheme="minorHAnsi" w:hAnsiTheme="minorHAnsi"/>
        </w:rPr>
        <w:t xml:space="preserve"> (FCS) (WFP 2008), which is a non-experiential indicator based on more objective data, that is, </w:t>
      </w:r>
      <w:r w:rsidR="005800DD">
        <w:rPr>
          <w:rFonts w:asciiTheme="minorHAnsi" w:hAnsiTheme="minorHAnsi"/>
        </w:rPr>
        <w:t xml:space="preserve">self-reports of </w:t>
      </w:r>
      <w:r>
        <w:rPr>
          <w:rFonts w:asciiTheme="minorHAnsi" w:hAnsiTheme="minorHAnsi"/>
        </w:rPr>
        <w:t>the frequency with which households ate foods from nine food groups over the previous week.</w:t>
      </w:r>
    </w:p>
    <w:p w:rsidR="00872919" w:rsidRDefault="00872919" w:rsidP="00872919">
      <w:pPr>
        <w:rPr>
          <w:rFonts w:asciiTheme="minorHAnsi" w:hAnsiTheme="minorHAnsi"/>
        </w:rPr>
      </w:pPr>
    </w:p>
    <w:p w:rsidR="00872919" w:rsidRDefault="00872919" w:rsidP="00872919">
      <w:pPr>
        <w:rPr>
          <w:rFonts w:asciiTheme="minorHAnsi" w:hAnsiTheme="minorHAnsi"/>
        </w:rPr>
      </w:pPr>
      <w:r>
        <w:rPr>
          <w:rFonts w:asciiTheme="minorHAnsi" w:hAnsiTheme="minorHAnsi"/>
        </w:rPr>
        <w:t>The Phase I report found that while the HFIAS is able to adequately capture the dietary quantity situation in Palestine, the dietary quality information in it is not comparable across West Bank and Gaza.   Further, it found that while the FCS is able to capture the dietary quality situation, it does not fully capture the dietary quantity situation.</w:t>
      </w:r>
    </w:p>
    <w:p w:rsidR="00872919" w:rsidRDefault="00872919" w:rsidP="00872919">
      <w:pPr>
        <w:rPr>
          <w:rFonts w:asciiTheme="minorHAnsi" w:hAnsiTheme="minorHAnsi"/>
        </w:rPr>
      </w:pPr>
    </w:p>
    <w:p w:rsidR="00872919" w:rsidRDefault="00872919" w:rsidP="00872919">
      <w:pPr>
        <w:rPr>
          <w:rFonts w:asciiTheme="minorHAnsi" w:hAnsiTheme="minorHAnsi"/>
        </w:rPr>
      </w:pPr>
      <w:r>
        <w:rPr>
          <w:rFonts w:asciiTheme="minorHAnsi" w:hAnsiTheme="minorHAnsi"/>
        </w:rPr>
        <w:t xml:space="preserve">In this section the possibility of using a combination of the dietary quantity information contained in the HFIAS and the dietary quality information contained in the FCS to formulate food consumption groups as an input into the SEFSEC food security classification scheme is </w:t>
      </w:r>
      <w:r w:rsidR="005800DD">
        <w:rPr>
          <w:rFonts w:asciiTheme="minorHAnsi" w:hAnsiTheme="minorHAnsi"/>
        </w:rPr>
        <w:t>explored.</w:t>
      </w:r>
      <w:r w:rsidR="00DA5CAC">
        <w:rPr>
          <w:rFonts w:asciiTheme="minorHAnsi" w:hAnsiTheme="minorHAnsi"/>
        </w:rPr>
        <w:t xml:space="preserve">  Section 3.1 addresses measurement of dietary quantity and Section 3.2 measurement of dietary quality.   Finally, Section 3.3 provides a recommended method for classifying households into food consumption groups using the SEFSec data.</w:t>
      </w:r>
    </w:p>
    <w:p w:rsidR="00601D4E" w:rsidRDefault="00601D4E" w:rsidP="00872919">
      <w:pPr>
        <w:rPr>
          <w:rFonts w:asciiTheme="minorHAnsi" w:hAnsiTheme="minorHAnsi"/>
        </w:rPr>
      </w:pPr>
    </w:p>
    <w:p w:rsidR="00601D4E" w:rsidRDefault="00601D4E" w:rsidP="00601D4E">
      <w:pPr>
        <w:pStyle w:val="Heading3"/>
        <w:numPr>
          <w:ilvl w:val="0"/>
          <w:numId w:val="0"/>
        </w:numPr>
        <w:ind w:left="432"/>
        <w:rPr>
          <w:rFonts w:asciiTheme="minorHAnsi" w:hAnsiTheme="minorHAnsi"/>
          <w:color w:val="365F91" w:themeColor="accent1" w:themeShade="BF"/>
          <w:sz w:val="28"/>
          <w:szCs w:val="28"/>
        </w:rPr>
      </w:pPr>
      <w:bookmarkStart w:id="26" w:name="_Toc395979708"/>
      <w:r>
        <w:rPr>
          <w:rFonts w:asciiTheme="minorHAnsi" w:hAnsiTheme="minorHAnsi"/>
          <w:color w:val="365F91" w:themeColor="accent1" w:themeShade="BF"/>
          <w:sz w:val="28"/>
          <w:szCs w:val="28"/>
        </w:rPr>
        <w:t>3</w:t>
      </w:r>
      <w:r w:rsidRPr="00B30983">
        <w:rPr>
          <w:rFonts w:asciiTheme="minorHAnsi" w:hAnsiTheme="minorHAnsi"/>
          <w:color w:val="365F91" w:themeColor="accent1" w:themeShade="BF"/>
          <w:sz w:val="28"/>
          <w:szCs w:val="28"/>
        </w:rPr>
        <w:t>.</w:t>
      </w:r>
      <w:r>
        <w:rPr>
          <w:rFonts w:asciiTheme="minorHAnsi" w:hAnsiTheme="minorHAnsi"/>
          <w:color w:val="365F91" w:themeColor="accent1" w:themeShade="BF"/>
          <w:sz w:val="28"/>
          <w:szCs w:val="28"/>
        </w:rPr>
        <w:t>1</w:t>
      </w:r>
      <w:r w:rsidRPr="00B30983">
        <w:rPr>
          <w:rFonts w:asciiTheme="minorHAnsi" w:hAnsiTheme="minorHAnsi"/>
          <w:color w:val="365F91" w:themeColor="accent1" w:themeShade="BF"/>
          <w:sz w:val="28"/>
          <w:szCs w:val="28"/>
        </w:rPr>
        <w:t xml:space="preserve"> </w:t>
      </w:r>
      <w:r>
        <w:rPr>
          <w:rFonts w:asciiTheme="minorHAnsi" w:hAnsiTheme="minorHAnsi"/>
          <w:color w:val="365F91" w:themeColor="accent1" w:themeShade="BF"/>
          <w:sz w:val="28"/>
          <w:szCs w:val="28"/>
        </w:rPr>
        <w:t xml:space="preserve">   Measure of insufficient </w:t>
      </w:r>
      <w:r w:rsidR="005800DD">
        <w:rPr>
          <w:rFonts w:asciiTheme="minorHAnsi" w:hAnsiTheme="minorHAnsi"/>
          <w:color w:val="365F91" w:themeColor="accent1" w:themeShade="BF"/>
          <w:sz w:val="28"/>
          <w:szCs w:val="28"/>
        </w:rPr>
        <w:t>dietary quantity</w:t>
      </w:r>
      <w:bookmarkEnd w:id="26"/>
      <w:r>
        <w:rPr>
          <w:rFonts w:asciiTheme="minorHAnsi" w:hAnsiTheme="minorHAnsi"/>
          <w:color w:val="365F91" w:themeColor="accent1" w:themeShade="BF"/>
          <w:sz w:val="28"/>
          <w:szCs w:val="28"/>
        </w:rPr>
        <w:t xml:space="preserve"> </w:t>
      </w:r>
    </w:p>
    <w:p w:rsidR="002B4732" w:rsidRDefault="002B4732" w:rsidP="002B4732">
      <w:pPr>
        <w:rPr>
          <w:lang w:val="en-GB"/>
        </w:rPr>
      </w:pPr>
    </w:p>
    <w:p w:rsidR="002B4732" w:rsidRDefault="002B4732" w:rsidP="002B4732">
      <w:pPr>
        <w:rPr>
          <w:rFonts w:asciiTheme="minorHAnsi" w:hAnsiTheme="minorHAnsi"/>
        </w:rPr>
      </w:pPr>
      <w:r>
        <w:rPr>
          <w:rFonts w:asciiTheme="minorHAnsi" w:hAnsiTheme="minorHAnsi"/>
        </w:rPr>
        <w:t xml:space="preserve">The HFIAS is constructed from the responses to nine questions.  </w:t>
      </w:r>
      <w:r w:rsidR="005800DD">
        <w:rPr>
          <w:rFonts w:asciiTheme="minorHAnsi" w:hAnsiTheme="minorHAnsi"/>
        </w:rPr>
        <w:t>F</w:t>
      </w:r>
      <w:r>
        <w:rPr>
          <w:rFonts w:asciiTheme="minorHAnsi" w:hAnsiTheme="minorHAnsi"/>
        </w:rPr>
        <w:t xml:space="preserve">ive </w:t>
      </w:r>
      <w:r w:rsidR="005800DD">
        <w:rPr>
          <w:rFonts w:asciiTheme="minorHAnsi" w:hAnsiTheme="minorHAnsi"/>
        </w:rPr>
        <w:t xml:space="preserve">of the questions </w:t>
      </w:r>
      <w:r>
        <w:rPr>
          <w:rFonts w:asciiTheme="minorHAnsi" w:hAnsiTheme="minorHAnsi"/>
        </w:rPr>
        <w:t xml:space="preserve">pertain to the domain of food insecurity called “Insufficient food intake and its physical consequences” (Coates, Swindale and Bilinsky 2007): </w:t>
      </w:r>
    </w:p>
    <w:p w:rsidR="002B4732" w:rsidRDefault="002B4732" w:rsidP="002B4732">
      <w:pPr>
        <w:rPr>
          <w:rFonts w:asciiTheme="minorHAnsi" w:hAnsiTheme="minorHAnsi"/>
        </w:rPr>
      </w:pPr>
    </w:p>
    <w:tbl>
      <w:tblPr>
        <w:tblW w:w="4480" w:type="dxa"/>
        <w:tblInd w:w="738" w:type="dxa"/>
        <w:tblLook w:val="04A0" w:firstRow="1" w:lastRow="0" w:firstColumn="1" w:lastColumn="0" w:noHBand="0" w:noVBand="1"/>
      </w:tblPr>
      <w:tblGrid>
        <w:gridCol w:w="4480"/>
      </w:tblGrid>
      <w:tr w:rsidR="002B4732" w:rsidRPr="002B4732" w:rsidTr="002B4732">
        <w:trPr>
          <w:trHeight w:val="510"/>
        </w:trPr>
        <w:tc>
          <w:tcPr>
            <w:tcW w:w="4480" w:type="dxa"/>
            <w:tcBorders>
              <w:top w:val="nil"/>
              <w:left w:val="nil"/>
              <w:bottom w:val="nil"/>
              <w:right w:val="nil"/>
            </w:tcBorders>
            <w:shd w:val="clear" w:color="auto" w:fill="auto"/>
            <w:vAlign w:val="bottom"/>
            <w:hideMark/>
          </w:tcPr>
          <w:p w:rsidR="002B4732" w:rsidRPr="002B4732" w:rsidRDefault="005800DD" w:rsidP="002B4732">
            <w:pPr>
              <w:rPr>
                <w:rFonts w:ascii="Calibri" w:eastAsia="Times New Roman" w:hAnsi="Calibri"/>
                <w:color w:val="000000"/>
                <w:sz w:val="16"/>
                <w:szCs w:val="16"/>
              </w:rPr>
            </w:pPr>
            <w:r>
              <w:rPr>
                <w:rFonts w:ascii="Calibri" w:eastAsia="Times New Roman" w:hAnsi="Calibri"/>
                <w:color w:val="000000"/>
                <w:sz w:val="16"/>
                <w:szCs w:val="16"/>
              </w:rPr>
              <w:t xml:space="preserve">1.  </w:t>
            </w:r>
            <w:r w:rsidR="002B4732" w:rsidRPr="002B4732">
              <w:rPr>
                <w:rFonts w:ascii="Calibri" w:eastAsia="Times New Roman" w:hAnsi="Calibri"/>
                <w:color w:val="000000"/>
                <w:sz w:val="16"/>
                <w:szCs w:val="16"/>
              </w:rPr>
              <w:t>Did you or any household member eat a smaller meal than you felt you needed because there was not enough food?</w:t>
            </w:r>
          </w:p>
        </w:tc>
      </w:tr>
      <w:tr w:rsidR="002B4732" w:rsidRPr="002B4732" w:rsidTr="002B4732">
        <w:trPr>
          <w:trHeight w:val="465"/>
        </w:trPr>
        <w:tc>
          <w:tcPr>
            <w:tcW w:w="4480" w:type="dxa"/>
            <w:tcBorders>
              <w:top w:val="nil"/>
              <w:left w:val="nil"/>
              <w:bottom w:val="nil"/>
              <w:right w:val="nil"/>
            </w:tcBorders>
            <w:shd w:val="clear" w:color="auto" w:fill="auto"/>
            <w:vAlign w:val="bottom"/>
            <w:hideMark/>
          </w:tcPr>
          <w:p w:rsidR="002B4732" w:rsidRPr="002B4732" w:rsidRDefault="005800DD" w:rsidP="002B4732">
            <w:pPr>
              <w:rPr>
                <w:rFonts w:ascii="Calibri" w:eastAsia="Times New Roman" w:hAnsi="Calibri"/>
                <w:color w:val="000000"/>
                <w:sz w:val="16"/>
                <w:szCs w:val="16"/>
              </w:rPr>
            </w:pPr>
            <w:r>
              <w:rPr>
                <w:rFonts w:ascii="Calibri" w:eastAsia="Times New Roman" w:hAnsi="Calibri"/>
                <w:color w:val="000000"/>
                <w:sz w:val="16"/>
                <w:szCs w:val="16"/>
              </w:rPr>
              <w:t xml:space="preserve">2.  </w:t>
            </w:r>
            <w:r w:rsidR="002B4732" w:rsidRPr="002B4732">
              <w:rPr>
                <w:rFonts w:ascii="Calibri" w:eastAsia="Times New Roman" w:hAnsi="Calibri"/>
                <w:color w:val="000000"/>
                <w:sz w:val="16"/>
                <w:szCs w:val="16"/>
              </w:rPr>
              <w:t>Did you or any other household member eat fewer meals in a day because there was not enough food?</w:t>
            </w:r>
          </w:p>
        </w:tc>
      </w:tr>
      <w:tr w:rsidR="002B4732" w:rsidRPr="002B4732" w:rsidTr="002B4732">
        <w:trPr>
          <w:trHeight w:val="465"/>
        </w:trPr>
        <w:tc>
          <w:tcPr>
            <w:tcW w:w="4480" w:type="dxa"/>
            <w:tcBorders>
              <w:top w:val="nil"/>
              <w:left w:val="nil"/>
              <w:bottom w:val="nil"/>
              <w:right w:val="nil"/>
            </w:tcBorders>
            <w:shd w:val="clear" w:color="auto" w:fill="auto"/>
            <w:vAlign w:val="bottom"/>
            <w:hideMark/>
          </w:tcPr>
          <w:p w:rsidR="002B4732" w:rsidRPr="002B4732" w:rsidRDefault="005800DD" w:rsidP="002B4732">
            <w:pPr>
              <w:rPr>
                <w:rFonts w:ascii="Calibri" w:eastAsia="Times New Roman" w:hAnsi="Calibri"/>
                <w:color w:val="000000"/>
                <w:sz w:val="16"/>
                <w:szCs w:val="16"/>
              </w:rPr>
            </w:pPr>
            <w:r>
              <w:rPr>
                <w:rFonts w:ascii="Calibri" w:eastAsia="Times New Roman" w:hAnsi="Calibri"/>
                <w:color w:val="000000"/>
                <w:sz w:val="16"/>
                <w:szCs w:val="16"/>
              </w:rPr>
              <w:t xml:space="preserve">3.  </w:t>
            </w:r>
            <w:r w:rsidR="002B4732" w:rsidRPr="002B4732">
              <w:rPr>
                <w:rFonts w:ascii="Calibri" w:eastAsia="Times New Roman" w:hAnsi="Calibri"/>
                <w:color w:val="000000"/>
                <w:sz w:val="16"/>
                <w:szCs w:val="16"/>
              </w:rPr>
              <w:t>Was there ever no food at all in your household because there were not resources to get more?</w:t>
            </w:r>
          </w:p>
        </w:tc>
      </w:tr>
      <w:tr w:rsidR="002B4732" w:rsidRPr="002B4732" w:rsidTr="002B4732">
        <w:trPr>
          <w:trHeight w:val="465"/>
        </w:trPr>
        <w:tc>
          <w:tcPr>
            <w:tcW w:w="4480" w:type="dxa"/>
            <w:tcBorders>
              <w:top w:val="nil"/>
              <w:left w:val="nil"/>
              <w:bottom w:val="nil"/>
              <w:right w:val="nil"/>
            </w:tcBorders>
            <w:shd w:val="clear" w:color="auto" w:fill="auto"/>
            <w:vAlign w:val="bottom"/>
            <w:hideMark/>
          </w:tcPr>
          <w:p w:rsidR="002B4732" w:rsidRPr="002B4732" w:rsidRDefault="005800DD" w:rsidP="002B4732">
            <w:pPr>
              <w:rPr>
                <w:rFonts w:ascii="Calibri" w:eastAsia="Times New Roman" w:hAnsi="Calibri"/>
                <w:color w:val="000000"/>
                <w:sz w:val="16"/>
                <w:szCs w:val="16"/>
              </w:rPr>
            </w:pPr>
            <w:r>
              <w:rPr>
                <w:rFonts w:ascii="Calibri" w:eastAsia="Times New Roman" w:hAnsi="Calibri"/>
                <w:color w:val="000000"/>
                <w:sz w:val="16"/>
                <w:szCs w:val="16"/>
              </w:rPr>
              <w:t xml:space="preserve">4.  </w:t>
            </w:r>
            <w:r w:rsidR="002B4732" w:rsidRPr="002B4732">
              <w:rPr>
                <w:rFonts w:ascii="Calibri" w:eastAsia="Times New Roman" w:hAnsi="Calibri"/>
                <w:color w:val="000000"/>
                <w:sz w:val="16"/>
                <w:szCs w:val="16"/>
              </w:rPr>
              <w:t>Did you or any household member go to sleep at night hungry because there was not enough food?</w:t>
            </w:r>
          </w:p>
        </w:tc>
      </w:tr>
      <w:tr w:rsidR="002B4732" w:rsidRPr="002B4732" w:rsidTr="002B4732">
        <w:trPr>
          <w:trHeight w:val="495"/>
        </w:trPr>
        <w:tc>
          <w:tcPr>
            <w:tcW w:w="4480" w:type="dxa"/>
            <w:tcBorders>
              <w:top w:val="nil"/>
              <w:left w:val="nil"/>
              <w:bottom w:val="nil"/>
              <w:right w:val="nil"/>
            </w:tcBorders>
            <w:shd w:val="clear" w:color="auto" w:fill="auto"/>
            <w:vAlign w:val="bottom"/>
            <w:hideMark/>
          </w:tcPr>
          <w:p w:rsidR="002B4732" w:rsidRPr="002B4732" w:rsidRDefault="005800DD" w:rsidP="002B4732">
            <w:pPr>
              <w:rPr>
                <w:rFonts w:ascii="Calibri" w:eastAsia="Times New Roman" w:hAnsi="Calibri"/>
                <w:color w:val="000000"/>
                <w:sz w:val="16"/>
                <w:szCs w:val="16"/>
              </w:rPr>
            </w:pPr>
            <w:r>
              <w:rPr>
                <w:rFonts w:ascii="Calibri" w:eastAsia="Times New Roman" w:hAnsi="Calibri"/>
                <w:color w:val="000000"/>
                <w:sz w:val="16"/>
                <w:szCs w:val="16"/>
              </w:rPr>
              <w:lastRenderedPageBreak/>
              <w:t xml:space="preserve">5.  </w:t>
            </w:r>
            <w:r w:rsidR="002B4732" w:rsidRPr="002B4732">
              <w:rPr>
                <w:rFonts w:ascii="Calibri" w:eastAsia="Times New Roman" w:hAnsi="Calibri"/>
                <w:color w:val="000000"/>
                <w:sz w:val="16"/>
                <w:szCs w:val="16"/>
              </w:rPr>
              <w:t>Did you or any household member go a whole day and night without eating anything because there was not enough food?</w:t>
            </w:r>
          </w:p>
        </w:tc>
      </w:tr>
    </w:tbl>
    <w:p w:rsidR="002B4732" w:rsidRDefault="002B4732" w:rsidP="002B4732">
      <w:pPr>
        <w:rPr>
          <w:lang w:val="en-GB"/>
        </w:rPr>
      </w:pPr>
    </w:p>
    <w:p w:rsidR="00601D4E" w:rsidRDefault="002B4732" w:rsidP="00601D4E">
      <w:pPr>
        <w:rPr>
          <w:rFonts w:asciiTheme="minorHAnsi" w:hAnsiTheme="minorHAnsi"/>
        </w:rPr>
      </w:pPr>
      <w:r>
        <w:rPr>
          <w:rFonts w:asciiTheme="minorHAnsi" w:hAnsiTheme="minorHAnsi"/>
        </w:rPr>
        <w:t>The answers to these questions can be used to construct a dummy variable that is equal to 1 if the answer to any of the questions is “yes” and 0 if the answers to all the questions are “no”.    Figure 3.1 shows the percent of households that are considered to have insufficient dietary quantity according to this measure for Palestine as a whole, West Bank, and Gaza</w:t>
      </w:r>
      <w:r w:rsidR="00DA5CAC">
        <w:rPr>
          <w:rFonts w:asciiTheme="minorHAnsi" w:hAnsiTheme="minorHAnsi"/>
        </w:rPr>
        <w:t xml:space="preserve"> as calculated using SEFSec 2011 data</w:t>
      </w:r>
      <w:r>
        <w:rPr>
          <w:rFonts w:asciiTheme="minorHAnsi" w:hAnsiTheme="minorHAnsi"/>
        </w:rPr>
        <w:t xml:space="preserve">. </w:t>
      </w:r>
      <w:r w:rsidR="005800DD">
        <w:rPr>
          <w:rFonts w:asciiTheme="minorHAnsi" w:hAnsiTheme="minorHAnsi"/>
        </w:rPr>
        <w:t xml:space="preserve">  Nearly one-quarter of all households in Palestine are experiencing problems of accessing sufficient food for all of their members.  Consistent with the poverty data, the percent is markedly higher in Gaza than West Bank.  </w:t>
      </w:r>
    </w:p>
    <w:p w:rsidR="00601D4E" w:rsidRDefault="00601D4E" w:rsidP="00601D4E">
      <w:pPr>
        <w:rPr>
          <w:lang w:val="en-GB"/>
        </w:rPr>
      </w:pPr>
    </w:p>
    <w:p w:rsidR="00AB3DB6" w:rsidRDefault="00AB3DB6" w:rsidP="00601D4E">
      <w:pPr>
        <w:rPr>
          <w:lang w:val="en-GB"/>
        </w:rPr>
      </w:pPr>
    </w:p>
    <w:p w:rsidR="00AB3DB6" w:rsidRPr="00AB3DB6" w:rsidRDefault="00AB3DB6" w:rsidP="00601D4E">
      <w:pPr>
        <w:rPr>
          <w:rFonts w:asciiTheme="minorHAnsi" w:hAnsiTheme="minorHAnsi"/>
          <w:b/>
          <w:lang w:val="en-GB"/>
        </w:rPr>
      </w:pPr>
      <w:r w:rsidRPr="00AB3DB6">
        <w:rPr>
          <w:rFonts w:asciiTheme="minorHAnsi" w:hAnsiTheme="minorHAnsi"/>
          <w:b/>
          <w:lang w:val="en-GB"/>
        </w:rPr>
        <w:t>Figure 3.1   Percent of households with insufficient dietary quantity (2011)</w:t>
      </w:r>
    </w:p>
    <w:tbl>
      <w:tblPr>
        <w:tblW w:w="9168" w:type="dxa"/>
        <w:tblInd w:w="108" w:type="dxa"/>
        <w:tblLook w:val="04A0" w:firstRow="1" w:lastRow="0" w:firstColumn="1" w:lastColumn="0" w:noHBand="0" w:noVBand="1"/>
      </w:tblPr>
      <w:tblGrid>
        <w:gridCol w:w="1360"/>
        <w:gridCol w:w="976"/>
        <w:gridCol w:w="976"/>
        <w:gridCol w:w="976"/>
        <w:gridCol w:w="976"/>
        <w:gridCol w:w="976"/>
        <w:gridCol w:w="976"/>
        <w:gridCol w:w="976"/>
        <w:gridCol w:w="976"/>
      </w:tblGrid>
      <w:tr w:rsidR="00AB3DB6" w:rsidRPr="00AB3DB6" w:rsidTr="00AB3DB6">
        <w:trPr>
          <w:trHeight w:val="345"/>
        </w:trPr>
        <w:tc>
          <w:tcPr>
            <w:tcW w:w="1360" w:type="dxa"/>
            <w:tcBorders>
              <w:top w:val="nil"/>
              <w:left w:val="nil"/>
              <w:bottom w:val="nil"/>
              <w:right w:val="nil"/>
            </w:tcBorders>
            <w:shd w:val="clear" w:color="auto" w:fill="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960"/>
            </w:tblGrid>
            <w:tr w:rsidR="00AB3DB6" w:rsidRPr="00AB3DB6" w:rsidTr="00AB3DB6">
              <w:trPr>
                <w:trHeight w:val="345"/>
                <w:tblCellSpacing w:w="0" w:type="dxa"/>
              </w:trPr>
              <w:tc>
                <w:tcPr>
                  <w:tcW w:w="960" w:type="dxa"/>
                  <w:tcBorders>
                    <w:top w:val="nil"/>
                    <w:left w:val="nil"/>
                    <w:bottom w:val="nil"/>
                    <w:right w:val="nil"/>
                  </w:tcBorders>
                  <w:shd w:val="clear" w:color="auto" w:fill="auto"/>
                  <w:noWrap/>
                  <w:vAlign w:val="bottom"/>
                </w:tcPr>
                <w:p w:rsidR="00AB3DB6" w:rsidRPr="00AB3DB6" w:rsidRDefault="00AB3DB6" w:rsidP="00AB3DB6">
                  <w:pPr>
                    <w:rPr>
                      <w:rFonts w:ascii="Gill Sans MT" w:eastAsia="Times New Roman" w:hAnsi="Gill Sans MT"/>
                      <w:b/>
                      <w:bCs/>
                      <w:color w:val="000000"/>
                      <w:sz w:val="22"/>
                      <w:szCs w:val="22"/>
                    </w:rPr>
                  </w:pPr>
                  <w:r>
                    <w:rPr>
                      <w:rFonts w:ascii="Calibri" w:eastAsia="Times New Roman" w:hAnsi="Calibri"/>
                      <w:noProof/>
                      <w:color w:val="000000"/>
                      <w:sz w:val="22"/>
                      <w:szCs w:val="22"/>
                    </w:rPr>
                    <w:drawing>
                      <wp:anchor distT="0" distB="0" distL="114300" distR="114300" simplePos="0" relativeHeight="251658240" behindDoc="0" locked="0" layoutInCell="1" allowOverlap="1" wp14:anchorId="14E0592E" wp14:editId="7DC9ED2F">
                        <wp:simplePos x="0" y="0"/>
                        <wp:positionH relativeFrom="column">
                          <wp:posOffset>-76200</wp:posOffset>
                        </wp:positionH>
                        <wp:positionV relativeFrom="paragraph">
                          <wp:posOffset>259715</wp:posOffset>
                        </wp:positionV>
                        <wp:extent cx="4154805" cy="3020695"/>
                        <wp:effectExtent l="0" t="0" r="0" b="0"/>
                        <wp:wrapNone/>
                        <wp:docPr id="4"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tc>
            </w:tr>
          </w:tbl>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r>
      <w:tr w:rsidR="00AB3DB6" w:rsidRPr="00AB3DB6" w:rsidTr="00AB3DB6">
        <w:trPr>
          <w:trHeight w:val="300"/>
        </w:trPr>
        <w:tc>
          <w:tcPr>
            <w:tcW w:w="1360"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r>
      <w:tr w:rsidR="00AB3DB6" w:rsidRPr="00AB3DB6" w:rsidTr="00AB3DB6">
        <w:trPr>
          <w:trHeight w:val="300"/>
        </w:trPr>
        <w:tc>
          <w:tcPr>
            <w:tcW w:w="1360"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r>
      <w:tr w:rsidR="00AB3DB6" w:rsidRPr="00AB3DB6" w:rsidTr="00AB3DB6">
        <w:trPr>
          <w:trHeight w:val="300"/>
        </w:trPr>
        <w:tc>
          <w:tcPr>
            <w:tcW w:w="1360"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r>
      <w:tr w:rsidR="00AB3DB6" w:rsidRPr="00AB3DB6" w:rsidTr="00AB3DB6">
        <w:trPr>
          <w:trHeight w:val="300"/>
        </w:trPr>
        <w:tc>
          <w:tcPr>
            <w:tcW w:w="1360"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r>
      <w:tr w:rsidR="00AB3DB6" w:rsidRPr="00AB3DB6" w:rsidTr="00AB3DB6">
        <w:trPr>
          <w:trHeight w:val="300"/>
        </w:trPr>
        <w:tc>
          <w:tcPr>
            <w:tcW w:w="1360"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r>
      <w:tr w:rsidR="00AB3DB6" w:rsidRPr="00AB3DB6" w:rsidTr="00AB3DB6">
        <w:trPr>
          <w:trHeight w:val="300"/>
        </w:trPr>
        <w:tc>
          <w:tcPr>
            <w:tcW w:w="1360"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r>
      <w:tr w:rsidR="00AB3DB6" w:rsidRPr="00AB3DB6" w:rsidTr="00AB3DB6">
        <w:trPr>
          <w:trHeight w:val="300"/>
        </w:trPr>
        <w:tc>
          <w:tcPr>
            <w:tcW w:w="1360"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r>
      <w:tr w:rsidR="00AB3DB6" w:rsidRPr="00AB3DB6" w:rsidTr="00AB3DB6">
        <w:trPr>
          <w:trHeight w:val="300"/>
        </w:trPr>
        <w:tc>
          <w:tcPr>
            <w:tcW w:w="1360"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r>
      <w:tr w:rsidR="00AB3DB6" w:rsidRPr="00AB3DB6" w:rsidTr="00AB3DB6">
        <w:trPr>
          <w:trHeight w:val="300"/>
        </w:trPr>
        <w:tc>
          <w:tcPr>
            <w:tcW w:w="1360"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r>
      <w:tr w:rsidR="00AB3DB6" w:rsidRPr="00AB3DB6" w:rsidTr="00AB3DB6">
        <w:trPr>
          <w:trHeight w:val="300"/>
        </w:trPr>
        <w:tc>
          <w:tcPr>
            <w:tcW w:w="1360"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r>
      <w:tr w:rsidR="00AB3DB6" w:rsidRPr="00AB3DB6" w:rsidTr="00AB3DB6">
        <w:trPr>
          <w:trHeight w:val="300"/>
        </w:trPr>
        <w:tc>
          <w:tcPr>
            <w:tcW w:w="1360"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r>
      <w:tr w:rsidR="00AB3DB6" w:rsidRPr="00AB3DB6" w:rsidTr="00AB3DB6">
        <w:trPr>
          <w:trHeight w:val="300"/>
        </w:trPr>
        <w:tc>
          <w:tcPr>
            <w:tcW w:w="4288" w:type="dxa"/>
            <w:gridSpan w:val="4"/>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0"/>
                <w:szCs w:val="20"/>
              </w:rPr>
            </w:pPr>
            <w:r w:rsidRPr="00AB3DB6">
              <w:rPr>
                <w:rFonts w:ascii="Calibri" w:eastAsia="Times New Roman" w:hAnsi="Calibri"/>
                <w:color w:val="000000"/>
                <w:sz w:val="20"/>
                <w:szCs w:val="20"/>
              </w:rPr>
              <w:t>Note:  Calculated using SEFSec data.</w:t>
            </w: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c>
          <w:tcPr>
            <w:tcW w:w="976" w:type="dxa"/>
            <w:tcBorders>
              <w:top w:val="nil"/>
              <w:left w:val="nil"/>
              <w:bottom w:val="nil"/>
              <w:right w:val="nil"/>
            </w:tcBorders>
            <w:shd w:val="clear" w:color="auto" w:fill="auto"/>
            <w:noWrap/>
            <w:vAlign w:val="bottom"/>
            <w:hideMark/>
          </w:tcPr>
          <w:p w:rsidR="00AB3DB6" w:rsidRPr="00AB3DB6" w:rsidRDefault="00AB3DB6" w:rsidP="00AB3DB6">
            <w:pPr>
              <w:rPr>
                <w:rFonts w:ascii="Calibri" w:eastAsia="Times New Roman" w:hAnsi="Calibri"/>
                <w:color w:val="000000"/>
                <w:sz w:val="22"/>
                <w:szCs w:val="22"/>
              </w:rPr>
            </w:pPr>
          </w:p>
        </w:tc>
      </w:tr>
    </w:tbl>
    <w:p w:rsidR="00AB3DB6" w:rsidRPr="00601D4E" w:rsidRDefault="00AB3DB6" w:rsidP="00601D4E">
      <w:pPr>
        <w:rPr>
          <w:lang w:val="en-GB"/>
        </w:rPr>
      </w:pPr>
    </w:p>
    <w:p w:rsidR="00601D4E" w:rsidRDefault="00601D4E" w:rsidP="00601D4E">
      <w:pPr>
        <w:pStyle w:val="Heading3"/>
        <w:numPr>
          <w:ilvl w:val="0"/>
          <w:numId w:val="0"/>
        </w:numPr>
        <w:ind w:left="432"/>
        <w:rPr>
          <w:rFonts w:asciiTheme="minorHAnsi" w:hAnsiTheme="minorHAnsi"/>
          <w:color w:val="365F91" w:themeColor="accent1" w:themeShade="BF"/>
          <w:sz w:val="28"/>
          <w:szCs w:val="28"/>
        </w:rPr>
      </w:pPr>
      <w:bookmarkStart w:id="27" w:name="_Toc395979709"/>
      <w:r>
        <w:rPr>
          <w:rFonts w:asciiTheme="minorHAnsi" w:hAnsiTheme="minorHAnsi"/>
          <w:color w:val="365F91" w:themeColor="accent1" w:themeShade="BF"/>
          <w:sz w:val="28"/>
          <w:szCs w:val="28"/>
        </w:rPr>
        <w:t>3</w:t>
      </w:r>
      <w:r w:rsidRPr="00B30983">
        <w:rPr>
          <w:rFonts w:asciiTheme="minorHAnsi" w:hAnsiTheme="minorHAnsi"/>
          <w:color w:val="365F91" w:themeColor="accent1" w:themeShade="BF"/>
          <w:sz w:val="28"/>
          <w:szCs w:val="28"/>
        </w:rPr>
        <w:t>.</w:t>
      </w:r>
      <w:r>
        <w:rPr>
          <w:rFonts w:asciiTheme="minorHAnsi" w:hAnsiTheme="minorHAnsi"/>
          <w:color w:val="365F91" w:themeColor="accent1" w:themeShade="BF"/>
          <w:sz w:val="28"/>
          <w:szCs w:val="28"/>
        </w:rPr>
        <w:t>2</w:t>
      </w:r>
      <w:r w:rsidRPr="00B30983">
        <w:rPr>
          <w:rFonts w:asciiTheme="minorHAnsi" w:hAnsiTheme="minorHAnsi"/>
          <w:color w:val="365F91" w:themeColor="accent1" w:themeShade="BF"/>
          <w:sz w:val="28"/>
          <w:szCs w:val="28"/>
        </w:rPr>
        <w:t xml:space="preserve"> </w:t>
      </w:r>
      <w:r>
        <w:rPr>
          <w:rFonts w:asciiTheme="minorHAnsi" w:hAnsiTheme="minorHAnsi"/>
          <w:color w:val="365F91" w:themeColor="accent1" w:themeShade="BF"/>
          <w:sz w:val="28"/>
          <w:szCs w:val="28"/>
        </w:rPr>
        <w:t xml:space="preserve">   Measure of inadequate dietary quality</w:t>
      </w:r>
      <w:bookmarkEnd w:id="27"/>
      <w:r>
        <w:rPr>
          <w:rFonts w:asciiTheme="minorHAnsi" w:hAnsiTheme="minorHAnsi"/>
          <w:color w:val="365F91" w:themeColor="accent1" w:themeShade="BF"/>
          <w:sz w:val="28"/>
          <w:szCs w:val="28"/>
        </w:rPr>
        <w:t xml:space="preserve"> </w:t>
      </w:r>
    </w:p>
    <w:p w:rsidR="00872919" w:rsidRDefault="00872919" w:rsidP="00872919">
      <w:pPr>
        <w:rPr>
          <w:rFonts w:asciiTheme="minorHAnsi" w:hAnsiTheme="minorHAnsi"/>
        </w:rPr>
      </w:pPr>
    </w:p>
    <w:p w:rsidR="00AB3DB6" w:rsidRDefault="00AB3DB6" w:rsidP="00872919">
      <w:pPr>
        <w:rPr>
          <w:rFonts w:asciiTheme="minorHAnsi" w:hAnsiTheme="minorHAnsi"/>
          <w:sz w:val="20"/>
          <w:szCs w:val="20"/>
        </w:rPr>
      </w:pPr>
    </w:p>
    <w:p w:rsidR="00AB3DB6" w:rsidRPr="00AB3DB6" w:rsidRDefault="00AB3DB6" w:rsidP="00872919">
      <w:pPr>
        <w:rPr>
          <w:rFonts w:asciiTheme="minorHAnsi" w:hAnsiTheme="minorHAnsi"/>
          <w:sz w:val="20"/>
          <w:szCs w:val="20"/>
        </w:rPr>
      </w:pPr>
      <w:r>
        <w:rPr>
          <w:rFonts w:asciiTheme="minorHAnsi" w:hAnsiTheme="minorHAnsi"/>
          <w:sz w:val="20"/>
          <w:szCs w:val="20"/>
        </w:rPr>
        <w:t>N</w:t>
      </w:r>
      <w:r w:rsidRPr="00AB3DB6">
        <w:rPr>
          <w:rFonts w:asciiTheme="minorHAnsi" w:hAnsiTheme="minorHAnsi"/>
          <w:sz w:val="20"/>
          <w:szCs w:val="20"/>
        </w:rPr>
        <w:t>ote:  Calculated using SEFSec data.</w:t>
      </w:r>
    </w:p>
    <w:p w:rsidR="00AB3DB6" w:rsidRDefault="00AB3DB6" w:rsidP="00872919">
      <w:pPr>
        <w:rPr>
          <w:rFonts w:asciiTheme="minorHAnsi" w:hAnsiTheme="minorHAnsi"/>
        </w:rPr>
      </w:pPr>
    </w:p>
    <w:p w:rsidR="00223B74" w:rsidRDefault="00223B74" w:rsidP="00223B74">
      <w:pPr>
        <w:pStyle w:val="Heading3"/>
        <w:numPr>
          <w:ilvl w:val="0"/>
          <w:numId w:val="0"/>
        </w:numPr>
        <w:ind w:left="432"/>
        <w:rPr>
          <w:rFonts w:asciiTheme="minorHAnsi" w:hAnsiTheme="minorHAnsi"/>
          <w:color w:val="365F91" w:themeColor="accent1" w:themeShade="BF"/>
          <w:sz w:val="28"/>
          <w:szCs w:val="28"/>
        </w:rPr>
      </w:pPr>
      <w:bookmarkStart w:id="28" w:name="_Toc395979710"/>
      <w:r>
        <w:rPr>
          <w:rFonts w:asciiTheme="minorHAnsi" w:hAnsiTheme="minorHAnsi"/>
          <w:color w:val="365F91" w:themeColor="accent1" w:themeShade="BF"/>
          <w:sz w:val="28"/>
          <w:szCs w:val="28"/>
        </w:rPr>
        <w:t>3</w:t>
      </w:r>
      <w:r w:rsidRPr="00B30983">
        <w:rPr>
          <w:rFonts w:asciiTheme="minorHAnsi" w:hAnsiTheme="minorHAnsi"/>
          <w:color w:val="365F91" w:themeColor="accent1" w:themeShade="BF"/>
          <w:sz w:val="28"/>
          <w:szCs w:val="28"/>
        </w:rPr>
        <w:t>.</w:t>
      </w:r>
      <w:r>
        <w:rPr>
          <w:rFonts w:asciiTheme="minorHAnsi" w:hAnsiTheme="minorHAnsi"/>
          <w:color w:val="365F91" w:themeColor="accent1" w:themeShade="BF"/>
          <w:sz w:val="28"/>
          <w:szCs w:val="28"/>
        </w:rPr>
        <w:t>2</w:t>
      </w:r>
      <w:r w:rsidRPr="00B30983">
        <w:rPr>
          <w:rFonts w:asciiTheme="minorHAnsi" w:hAnsiTheme="minorHAnsi"/>
          <w:color w:val="365F91" w:themeColor="accent1" w:themeShade="BF"/>
          <w:sz w:val="28"/>
          <w:szCs w:val="28"/>
        </w:rPr>
        <w:t xml:space="preserve"> </w:t>
      </w:r>
      <w:r>
        <w:rPr>
          <w:rFonts w:asciiTheme="minorHAnsi" w:hAnsiTheme="minorHAnsi"/>
          <w:color w:val="365F91" w:themeColor="accent1" w:themeShade="BF"/>
          <w:sz w:val="28"/>
          <w:szCs w:val="28"/>
        </w:rPr>
        <w:t xml:space="preserve">   Measure of insufficient dietary quality</w:t>
      </w:r>
      <w:bookmarkEnd w:id="28"/>
      <w:r>
        <w:rPr>
          <w:rFonts w:asciiTheme="minorHAnsi" w:hAnsiTheme="minorHAnsi"/>
          <w:color w:val="365F91" w:themeColor="accent1" w:themeShade="BF"/>
          <w:sz w:val="28"/>
          <w:szCs w:val="28"/>
        </w:rPr>
        <w:t xml:space="preserve"> </w:t>
      </w:r>
    </w:p>
    <w:p w:rsidR="00AB3DB6" w:rsidRDefault="00AB3DB6" w:rsidP="00872919">
      <w:pPr>
        <w:rPr>
          <w:rFonts w:asciiTheme="minorHAnsi" w:hAnsiTheme="minorHAnsi"/>
        </w:rPr>
      </w:pPr>
    </w:p>
    <w:p w:rsidR="00DA5CAC" w:rsidRDefault="005800DD" w:rsidP="00DA5CAC">
      <w:pPr>
        <w:rPr>
          <w:rFonts w:asciiTheme="minorHAnsi" w:hAnsiTheme="minorHAnsi"/>
        </w:rPr>
      </w:pPr>
      <w:r>
        <w:rPr>
          <w:rFonts w:asciiTheme="minorHAnsi" w:hAnsiTheme="minorHAnsi"/>
        </w:rPr>
        <w:t>The FCS can be used to categorize households into three groups:  poor food consumption, borderline food consumption and acceptable food consumption.   The Phase I report determined the appropriate cut-offs for these groups for Palestine (see Appendix 1).   Here we classify households that are in the poor and borderline groups as having inadequate dietary quality and those in the acceptable group as having adequate dietary quality.   Figure 3.2</w:t>
      </w:r>
      <w:r w:rsidR="00DA5CAC">
        <w:rPr>
          <w:rFonts w:asciiTheme="minorHAnsi" w:hAnsiTheme="minorHAnsi"/>
        </w:rPr>
        <w:t xml:space="preserve"> reports the percent of households with insufficient dietary quantity by this measure for Palestine as a whole, West Bank, and Gaza.   Just under twenty percent of all households </w:t>
      </w:r>
      <w:r w:rsidR="00DA5CAC">
        <w:rPr>
          <w:rFonts w:asciiTheme="minorHAnsi" w:hAnsiTheme="minorHAnsi"/>
        </w:rPr>
        <w:lastRenderedPageBreak/>
        <w:t xml:space="preserve">nation-wide are experiencing problems of inadequate dietary quality.  Again, consistent with the poverty data, the percent is higher in Gaza than West Bank.  </w:t>
      </w:r>
    </w:p>
    <w:p w:rsidR="00AB3DB6" w:rsidRDefault="00AB3DB6">
      <w:pPr>
        <w:rPr>
          <w:rFonts w:asciiTheme="minorHAnsi" w:hAnsiTheme="minorHAnsi"/>
        </w:rPr>
      </w:pPr>
    </w:p>
    <w:p w:rsidR="00AB3DB6" w:rsidRPr="00AB3DB6" w:rsidRDefault="00AB3DB6" w:rsidP="00AB3DB6">
      <w:pPr>
        <w:rPr>
          <w:rFonts w:asciiTheme="minorHAnsi" w:hAnsiTheme="minorHAnsi"/>
          <w:b/>
          <w:lang w:val="en-GB"/>
        </w:rPr>
      </w:pPr>
      <w:r w:rsidRPr="00AB3DB6">
        <w:rPr>
          <w:rFonts w:asciiTheme="minorHAnsi" w:hAnsiTheme="minorHAnsi"/>
          <w:b/>
          <w:lang w:val="en-GB"/>
        </w:rPr>
        <w:t>Figure 3.</w:t>
      </w:r>
      <w:r>
        <w:rPr>
          <w:rFonts w:asciiTheme="minorHAnsi" w:hAnsiTheme="minorHAnsi"/>
          <w:b/>
          <w:lang w:val="en-GB"/>
        </w:rPr>
        <w:t>2</w:t>
      </w:r>
      <w:r w:rsidRPr="00AB3DB6">
        <w:rPr>
          <w:rFonts w:asciiTheme="minorHAnsi" w:hAnsiTheme="minorHAnsi"/>
          <w:b/>
          <w:lang w:val="en-GB"/>
        </w:rPr>
        <w:t xml:space="preserve">   Percent of households with insufficient dietary qua</w:t>
      </w:r>
      <w:r>
        <w:rPr>
          <w:rFonts w:asciiTheme="minorHAnsi" w:hAnsiTheme="minorHAnsi"/>
          <w:b/>
          <w:lang w:val="en-GB"/>
        </w:rPr>
        <w:t>lity</w:t>
      </w:r>
      <w:r w:rsidRPr="00AB3DB6">
        <w:rPr>
          <w:rFonts w:asciiTheme="minorHAnsi" w:hAnsiTheme="minorHAnsi"/>
          <w:b/>
          <w:lang w:val="en-GB"/>
        </w:rPr>
        <w:t xml:space="preserve"> (2011)</w:t>
      </w:r>
    </w:p>
    <w:p w:rsidR="00601D4E" w:rsidRDefault="00AB3DB6" w:rsidP="00872919">
      <w:pPr>
        <w:rPr>
          <w:rFonts w:asciiTheme="minorHAnsi" w:hAnsiTheme="minorHAnsi"/>
        </w:rPr>
      </w:pPr>
      <w:r>
        <w:rPr>
          <w:noProof/>
        </w:rPr>
        <w:drawing>
          <wp:inline distT="0" distB="0" distL="0" distR="0" wp14:anchorId="469D1C1C" wp14:editId="144C3790">
            <wp:extent cx="4176979" cy="2984602"/>
            <wp:effectExtent l="0" t="0" r="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23B74" w:rsidRDefault="00223B74" w:rsidP="00872919">
      <w:pPr>
        <w:rPr>
          <w:rFonts w:asciiTheme="minorHAnsi" w:hAnsiTheme="minorHAnsi"/>
        </w:rPr>
      </w:pPr>
    </w:p>
    <w:p w:rsidR="00AB3DB6" w:rsidRPr="00AB3DB6" w:rsidRDefault="00AB3DB6" w:rsidP="00AB3DB6">
      <w:pPr>
        <w:rPr>
          <w:rFonts w:asciiTheme="minorHAnsi" w:hAnsiTheme="minorHAnsi"/>
          <w:sz w:val="20"/>
          <w:szCs w:val="20"/>
        </w:rPr>
      </w:pPr>
      <w:r>
        <w:rPr>
          <w:rFonts w:asciiTheme="minorHAnsi" w:hAnsiTheme="minorHAnsi"/>
          <w:sz w:val="20"/>
          <w:szCs w:val="20"/>
        </w:rPr>
        <w:t>N</w:t>
      </w:r>
      <w:r w:rsidRPr="00AB3DB6">
        <w:rPr>
          <w:rFonts w:asciiTheme="minorHAnsi" w:hAnsiTheme="minorHAnsi"/>
          <w:sz w:val="20"/>
          <w:szCs w:val="20"/>
        </w:rPr>
        <w:t>ote:  Calculated using SEFSec data.</w:t>
      </w:r>
    </w:p>
    <w:p w:rsidR="00AB3DB6" w:rsidRDefault="00AB3DB6" w:rsidP="00872919">
      <w:pPr>
        <w:rPr>
          <w:rFonts w:asciiTheme="minorHAnsi" w:hAnsiTheme="minorHAnsi"/>
        </w:rPr>
      </w:pPr>
    </w:p>
    <w:p w:rsidR="00DA5CAC" w:rsidRDefault="00DA5CAC" w:rsidP="00DA5CAC">
      <w:pPr>
        <w:pStyle w:val="Heading3"/>
        <w:numPr>
          <w:ilvl w:val="0"/>
          <w:numId w:val="0"/>
        </w:numPr>
        <w:ind w:left="432"/>
        <w:rPr>
          <w:rFonts w:asciiTheme="minorHAnsi" w:hAnsiTheme="minorHAnsi"/>
          <w:color w:val="365F91" w:themeColor="accent1" w:themeShade="BF"/>
          <w:sz w:val="28"/>
          <w:szCs w:val="28"/>
        </w:rPr>
      </w:pPr>
      <w:bookmarkStart w:id="29" w:name="_Toc395979711"/>
      <w:r>
        <w:rPr>
          <w:rFonts w:asciiTheme="minorHAnsi" w:hAnsiTheme="minorHAnsi"/>
          <w:color w:val="365F91" w:themeColor="accent1" w:themeShade="BF"/>
          <w:sz w:val="28"/>
          <w:szCs w:val="28"/>
        </w:rPr>
        <w:t>3</w:t>
      </w:r>
      <w:r w:rsidRPr="00B30983">
        <w:rPr>
          <w:rFonts w:asciiTheme="minorHAnsi" w:hAnsiTheme="minorHAnsi"/>
          <w:color w:val="365F91" w:themeColor="accent1" w:themeShade="BF"/>
          <w:sz w:val="28"/>
          <w:szCs w:val="28"/>
        </w:rPr>
        <w:t>.</w:t>
      </w:r>
      <w:r>
        <w:rPr>
          <w:rFonts w:asciiTheme="minorHAnsi" w:hAnsiTheme="minorHAnsi"/>
          <w:color w:val="365F91" w:themeColor="accent1" w:themeShade="BF"/>
          <w:sz w:val="28"/>
          <w:szCs w:val="28"/>
        </w:rPr>
        <w:t>3</w:t>
      </w:r>
      <w:r w:rsidRPr="00B30983">
        <w:rPr>
          <w:rFonts w:asciiTheme="minorHAnsi" w:hAnsiTheme="minorHAnsi"/>
          <w:color w:val="365F91" w:themeColor="accent1" w:themeShade="BF"/>
          <w:sz w:val="28"/>
          <w:szCs w:val="28"/>
        </w:rPr>
        <w:t xml:space="preserve"> </w:t>
      </w:r>
      <w:r>
        <w:rPr>
          <w:rFonts w:asciiTheme="minorHAnsi" w:hAnsiTheme="minorHAnsi"/>
          <w:color w:val="365F91" w:themeColor="accent1" w:themeShade="BF"/>
          <w:sz w:val="28"/>
          <w:szCs w:val="28"/>
        </w:rPr>
        <w:t xml:space="preserve">   Recommended method for classifying households into food consumption groups</w:t>
      </w:r>
      <w:bookmarkEnd w:id="29"/>
    </w:p>
    <w:p w:rsidR="00601D4E" w:rsidRDefault="00601D4E" w:rsidP="00872919">
      <w:pPr>
        <w:rPr>
          <w:rFonts w:asciiTheme="minorHAnsi" w:hAnsiTheme="minorHAnsi"/>
        </w:rPr>
      </w:pPr>
    </w:p>
    <w:p w:rsidR="00DA5CAC" w:rsidRDefault="00DA5CAC" w:rsidP="00DA5CAC">
      <w:pPr>
        <w:rPr>
          <w:rFonts w:asciiTheme="minorHAnsi" w:hAnsiTheme="minorHAnsi"/>
        </w:rPr>
      </w:pPr>
      <w:r>
        <w:rPr>
          <w:rFonts w:asciiTheme="minorHAnsi" w:hAnsiTheme="minorHAnsi"/>
        </w:rPr>
        <w:t>The recommended method for classifying households into food consumption groups is to use the indicators of insufficient dietary quantity and quality to classify households into the following three</w:t>
      </w:r>
      <w:r w:rsidR="00223B74">
        <w:rPr>
          <w:rFonts w:asciiTheme="minorHAnsi" w:hAnsiTheme="minorHAnsi"/>
        </w:rPr>
        <w:t xml:space="preserve"> </w:t>
      </w:r>
      <w:r w:rsidR="0029134E">
        <w:rPr>
          <w:rFonts w:asciiTheme="minorHAnsi" w:hAnsiTheme="minorHAnsi"/>
        </w:rPr>
        <w:t xml:space="preserve">“food deprivation” </w:t>
      </w:r>
      <w:r w:rsidR="00223B74">
        <w:rPr>
          <w:rFonts w:asciiTheme="minorHAnsi" w:hAnsiTheme="minorHAnsi"/>
        </w:rPr>
        <w:t>categories</w:t>
      </w:r>
      <w:r>
        <w:rPr>
          <w:rFonts w:asciiTheme="minorHAnsi" w:hAnsiTheme="minorHAnsi"/>
        </w:rPr>
        <w:t>:</w:t>
      </w:r>
    </w:p>
    <w:p w:rsidR="00DA5CAC" w:rsidRDefault="00DA5CAC" w:rsidP="00DA5CAC">
      <w:pPr>
        <w:rPr>
          <w:rFonts w:asciiTheme="minorHAnsi" w:hAnsiTheme="minorHAnsi"/>
        </w:rPr>
      </w:pPr>
    </w:p>
    <w:p w:rsidR="00DA5CAC" w:rsidRDefault="00DA5CAC" w:rsidP="00DA5CAC">
      <w:pPr>
        <w:rPr>
          <w:rFonts w:asciiTheme="minorHAnsi" w:hAnsiTheme="minorHAnsi"/>
        </w:rPr>
      </w:pPr>
      <w:r>
        <w:rPr>
          <w:rFonts w:asciiTheme="minorHAnsi" w:hAnsiTheme="minorHAnsi"/>
        </w:rPr>
        <w:tab/>
        <w:t xml:space="preserve">1.   Severely food deprived:  </w:t>
      </w:r>
    </w:p>
    <w:p w:rsidR="00DA5CAC" w:rsidRDefault="00DA5CAC" w:rsidP="00DA5CAC">
      <w:pPr>
        <w:rPr>
          <w:rFonts w:asciiTheme="minorHAnsi" w:hAnsiTheme="minorHAnsi"/>
        </w:rPr>
      </w:pPr>
      <w:r>
        <w:rPr>
          <w:rFonts w:asciiTheme="minorHAnsi" w:hAnsiTheme="minorHAnsi"/>
        </w:rPr>
        <w:tab/>
      </w:r>
      <w:r>
        <w:rPr>
          <w:rFonts w:asciiTheme="minorHAnsi" w:hAnsiTheme="minorHAnsi"/>
        </w:rPr>
        <w:tab/>
        <w:t xml:space="preserve">Household is experiencing both insufficient dietary quantity and inadequate </w:t>
      </w:r>
      <w:r>
        <w:rPr>
          <w:rFonts w:asciiTheme="minorHAnsi" w:hAnsiTheme="minorHAnsi"/>
        </w:rPr>
        <w:tab/>
      </w:r>
      <w:r>
        <w:rPr>
          <w:rFonts w:asciiTheme="minorHAnsi" w:hAnsiTheme="minorHAnsi"/>
        </w:rPr>
        <w:tab/>
      </w:r>
      <w:r>
        <w:rPr>
          <w:rFonts w:asciiTheme="minorHAnsi" w:hAnsiTheme="minorHAnsi"/>
        </w:rPr>
        <w:tab/>
        <w:t>dietary quality;</w:t>
      </w:r>
    </w:p>
    <w:p w:rsidR="00DA5CAC" w:rsidRDefault="00DA5CAC" w:rsidP="00DA5CAC">
      <w:pPr>
        <w:rPr>
          <w:rFonts w:asciiTheme="minorHAnsi" w:hAnsiTheme="minorHAnsi"/>
        </w:rPr>
      </w:pPr>
    </w:p>
    <w:p w:rsidR="00DA5CAC" w:rsidRDefault="00DA5CAC" w:rsidP="00DA5CAC">
      <w:pPr>
        <w:rPr>
          <w:rFonts w:asciiTheme="minorHAnsi" w:hAnsiTheme="minorHAnsi"/>
        </w:rPr>
      </w:pPr>
      <w:r>
        <w:rPr>
          <w:rFonts w:asciiTheme="minorHAnsi" w:hAnsiTheme="minorHAnsi"/>
        </w:rPr>
        <w:tab/>
        <w:t xml:space="preserve">2.  Moderately food deprived:  </w:t>
      </w:r>
    </w:p>
    <w:p w:rsidR="00DA5CAC" w:rsidRDefault="00DA5CAC" w:rsidP="00DA5CAC">
      <w:pPr>
        <w:rPr>
          <w:rFonts w:asciiTheme="minorHAnsi" w:hAnsiTheme="minorHAnsi"/>
        </w:rPr>
      </w:pPr>
      <w:r>
        <w:rPr>
          <w:rFonts w:asciiTheme="minorHAnsi" w:hAnsiTheme="minorHAnsi"/>
        </w:rPr>
        <w:tab/>
      </w:r>
      <w:r>
        <w:rPr>
          <w:rFonts w:asciiTheme="minorHAnsi" w:hAnsiTheme="minorHAnsi"/>
        </w:rPr>
        <w:tab/>
        <w:t xml:space="preserve">Household is experiencing either insufficient dietary quantity or inadequate </w:t>
      </w:r>
      <w:r>
        <w:rPr>
          <w:rFonts w:asciiTheme="minorHAnsi" w:hAnsiTheme="minorHAnsi"/>
        </w:rPr>
        <w:tab/>
      </w:r>
      <w:r>
        <w:rPr>
          <w:rFonts w:asciiTheme="minorHAnsi" w:hAnsiTheme="minorHAnsi"/>
        </w:rPr>
        <w:tab/>
      </w:r>
      <w:r>
        <w:rPr>
          <w:rFonts w:asciiTheme="minorHAnsi" w:hAnsiTheme="minorHAnsi"/>
        </w:rPr>
        <w:tab/>
        <w:t>dietary quantity, but not both;</w:t>
      </w:r>
    </w:p>
    <w:p w:rsidR="00DA5CAC" w:rsidRDefault="00DA5CAC" w:rsidP="00DA5CAC">
      <w:pPr>
        <w:rPr>
          <w:rFonts w:asciiTheme="minorHAnsi" w:hAnsiTheme="minorHAnsi"/>
        </w:rPr>
      </w:pPr>
    </w:p>
    <w:p w:rsidR="00DA5CAC" w:rsidRDefault="00DA5CAC" w:rsidP="00DA5CAC">
      <w:pPr>
        <w:rPr>
          <w:rFonts w:asciiTheme="minorHAnsi" w:hAnsiTheme="minorHAnsi"/>
        </w:rPr>
      </w:pPr>
      <w:r>
        <w:rPr>
          <w:rFonts w:asciiTheme="minorHAnsi" w:hAnsiTheme="minorHAnsi"/>
        </w:rPr>
        <w:tab/>
        <w:t>3.  Not food deprived:</w:t>
      </w:r>
    </w:p>
    <w:p w:rsidR="00DA5CAC" w:rsidRDefault="00DA5CAC" w:rsidP="00DA5CAC">
      <w:pPr>
        <w:rPr>
          <w:rFonts w:asciiTheme="minorHAnsi" w:hAnsiTheme="minorHAnsi"/>
        </w:rPr>
      </w:pPr>
      <w:r>
        <w:rPr>
          <w:rFonts w:asciiTheme="minorHAnsi" w:hAnsiTheme="minorHAnsi"/>
        </w:rPr>
        <w:tab/>
      </w:r>
      <w:r>
        <w:rPr>
          <w:rFonts w:asciiTheme="minorHAnsi" w:hAnsiTheme="minorHAnsi"/>
        </w:rPr>
        <w:tab/>
        <w:t xml:space="preserve">Household is experiencing neither insufficient dietary quantity nor inadequate </w:t>
      </w:r>
      <w:r>
        <w:rPr>
          <w:rFonts w:asciiTheme="minorHAnsi" w:hAnsiTheme="minorHAnsi"/>
        </w:rPr>
        <w:tab/>
      </w:r>
      <w:r>
        <w:rPr>
          <w:rFonts w:asciiTheme="minorHAnsi" w:hAnsiTheme="minorHAnsi"/>
        </w:rPr>
        <w:tab/>
      </w:r>
      <w:r>
        <w:rPr>
          <w:rFonts w:asciiTheme="minorHAnsi" w:hAnsiTheme="minorHAnsi"/>
        </w:rPr>
        <w:tab/>
        <w:t>dietary quality.</w:t>
      </w:r>
    </w:p>
    <w:p w:rsidR="00DA5CAC" w:rsidRDefault="00DA5CAC" w:rsidP="00DA5CAC">
      <w:pPr>
        <w:rPr>
          <w:rFonts w:asciiTheme="minorHAnsi" w:hAnsiTheme="minorHAnsi"/>
        </w:rPr>
      </w:pPr>
    </w:p>
    <w:p w:rsidR="0029134E" w:rsidRDefault="0029134E" w:rsidP="00872919">
      <w:pPr>
        <w:rPr>
          <w:rFonts w:asciiTheme="minorHAnsi" w:hAnsiTheme="minorHAnsi"/>
        </w:rPr>
      </w:pPr>
    </w:p>
    <w:p w:rsidR="0029134E" w:rsidRDefault="0029134E" w:rsidP="00872919">
      <w:pPr>
        <w:rPr>
          <w:rFonts w:asciiTheme="minorHAnsi" w:hAnsiTheme="minorHAnsi"/>
        </w:rPr>
      </w:pPr>
    </w:p>
    <w:p w:rsidR="00601D4E" w:rsidRDefault="00DA5CAC" w:rsidP="00872919">
      <w:pPr>
        <w:rPr>
          <w:rFonts w:asciiTheme="minorHAnsi" w:hAnsiTheme="minorHAnsi"/>
        </w:rPr>
      </w:pPr>
      <w:r>
        <w:rPr>
          <w:rFonts w:asciiTheme="minorHAnsi" w:hAnsiTheme="minorHAnsi"/>
        </w:rPr>
        <w:t>The resulting breakdown of households</w:t>
      </w:r>
      <w:r w:rsidR="00AB3DB6">
        <w:rPr>
          <w:rFonts w:asciiTheme="minorHAnsi" w:hAnsiTheme="minorHAnsi"/>
        </w:rPr>
        <w:t xml:space="preserve"> is reported in Figure 3.2</w:t>
      </w:r>
      <w:r w:rsidR="00223B74">
        <w:rPr>
          <w:rFonts w:asciiTheme="minorHAnsi" w:hAnsiTheme="minorHAnsi"/>
        </w:rPr>
        <w:t>.</w:t>
      </w:r>
    </w:p>
    <w:p w:rsidR="0029134E" w:rsidRDefault="0029134E" w:rsidP="00872919">
      <w:pPr>
        <w:rPr>
          <w:rFonts w:asciiTheme="minorHAnsi" w:hAnsiTheme="minorHAnsi"/>
        </w:rPr>
      </w:pPr>
    </w:p>
    <w:p w:rsidR="00AB3DB6" w:rsidRPr="00AB3DB6" w:rsidRDefault="00AB3DB6" w:rsidP="00AB3DB6">
      <w:pPr>
        <w:rPr>
          <w:rFonts w:ascii="Gill Sans MT" w:eastAsia="Times New Roman" w:hAnsi="Gill Sans MT"/>
          <w:b/>
          <w:bCs/>
          <w:color w:val="000000"/>
          <w:sz w:val="22"/>
          <w:szCs w:val="22"/>
        </w:rPr>
      </w:pPr>
      <w:r w:rsidRPr="00AB3DB6">
        <w:rPr>
          <w:rFonts w:ascii="Gill Sans MT" w:eastAsia="Times New Roman" w:hAnsi="Gill Sans MT"/>
          <w:b/>
          <w:bCs/>
          <w:color w:val="000000"/>
          <w:sz w:val="22"/>
          <w:szCs w:val="22"/>
        </w:rPr>
        <w:t>Figure 3.3   Percent of households falling into food consumption groups (2011)</w:t>
      </w:r>
    </w:p>
    <w:p w:rsidR="00AB3DB6" w:rsidRDefault="00AB3DB6" w:rsidP="00872919">
      <w:pPr>
        <w:rPr>
          <w:rFonts w:asciiTheme="minorHAnsi" w:hAnsiTheme="minorHAnsi"/>
        </w:rPr>
      </w:pPr>
      <w:r>
        <w:rPr>
          <w:noProof/>
        </w:rPr>
        <w:drawing>
          <wp:inline distT="0" distB="0" distL="0" distR="0" wp14:anchorId="4AFC5D8A" wp14:editId="4E9D42E2">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B3DB6" w:rsidRPr="00AB3DB6" w:rsidRDefault="00AB3DB6" w:rsidP="00AB3DB6">
      <w:pPr>
        <w:rPr>
          <w:rFonts w:asciiTheme="minorHAnsi" w:hAnsiTheme="minorHAnsi"/>
          <w:sz w:val="20"/>
          <w:szCs w:val="20"/>
        </w:rPr>
      </w:pPr>
      <w:r>
        <w:rPr>
          <w:rFonts w:asciiTheme="minorHAnsi" w:hAnsiTheme="minorHAnsi"/>
          <w:sz w:val="20"/>
          <w:szCs w:val="20"/>
        </w:rPr>
        <w:t>N</w:t>
      </w:r>
      <w:r w:rsidRPr="00AB3DB6">
        <w:rPr>
          <w:rFonts w:asciiTheme="minorHAnsi" w:hAnsiTheme="minorHAnsi"/>
          <w:sz w:val="20"/>
          <w:szCs w:val="20"/>
        </w:rPr>
        <w:t>ote:  Calculated using SEFSec data.</w:t>
      </w:r>
    </w:p>
    <w:p w:rsidR="00AB3DB6" w:rsidRDefault="00AB3DB6" w:rsidP="00872919">
      <w:pPr>
        <w:rPr>
          <w:rFonts w:asciiTheme="minorHAnsi" w:hAnsiTheme="minorHAnsi"/>
        </w:rPr>
      </w:pPr>
    </w:p>
    <w:p w:rsidR="0098190D" w:rsidRDefault="0098190D">
      <w:pPr>
        <w:rPr>
          <w:rFonts w:asciiTheme="minorHAnsi" w:eastAsiaTheme="majorEastAsia" w:hAnsiTheme="minorHAnsi" w:cstheme="majorBidi"/>
          <w:b/>
          <w:bCs/>
          <w:color w:val="365F91" w:themeColor="accent1" w:themeShade="BF"/>
          <w:sz w:val="28"/>
          <w:szCs w:val="28"/>
          <w:lang w:eastAsia="ja-JP"/>
        </w:rPr>
      </w:pPr>
      <w:r>
        <w:rPr>
          <w:rFonts w:asciiTheme="minorHAnsi" w:hAnsiTheme="minorHAnsi"/>
        </w:rPr>
        <w:br w:type="page"/>
      </w:r>
    </w:p>
    <w:p w:rsidR="005E4ABB" w:rsidRPr="00613506" w:rsidRDefault="005E4ABB" w:rsidP="0098190D">
      <w:pPr>
        <w:pStyle w:val="Heading1"/>
        <w:rPr>
          <w:rFonts w:asciiTheme="minorHAnsi" w:hAnsiTheme="minorHAnsi"/>
        </w:rPr>
      </w:pPr>
      <w:bookmarkStart w:id="30" w:name="_Toc395979712"/>
      <w:r w:rsidRPr="00613506">
        <w:rPr>
          <w:rFonts w:asciiTheme="minorHAnsi" w:hAnsiTheme="minorHAnsi"/>
        </w:rPr>
        <w:lastRenderedPageBreak/>
        <w:t xml:space="preserve">4.  </w:t>
      </w:r>
      <w:r w:rsidR="00CB791A" w:rsidRPr="00613506">
        <w:rPr>
          <w:rFonts w:asciiTheme="minorHAnsi" w:hAnsiTheme="minorHAnsi"/>
        </w:rPr>
        <w:t>I</w:t>
      </w:r>
      <w:r w:rsidRPr="00613506">
        <w:rPr>
          <w:rFonts w:asciiTheme="minorHAnsi" w:hAnsiTheme="minorHAnsi"/>
        </w:rPr>
        <w:t>mproved measure of resilience</w:t>
      </w:r>
      <w:bookmarkEnd w:id="30"/>
      <w:r w:rsidRPr="00613506">
        <w:rPr>
          <w:rFonts w:asciiTheme="minorHAnsi" w:hAnsiTheme="minorHAnsi"/>
        </w:rPr>
        <w:t xml:space="preserve"> </w:t>
      </w:r>
    </w:p>
    <w:p w:rsidR="00872919" w:rsidRDefault="00872919" w:rsidP="00872919">
      <w:pPr>
        <w:rPr>
          <w:rFonts w:asciiTheme="minorHAnsi" w:hAnsiTheme="minorHAnsi"/>
        </w:rPr>
      </w:pPr>
    </w:p>
    <w:p w:rsidR="00CB791A" w:rsidRDefault="00CB791A" w:rsidP="00872919">
      <w:pPr>
        <w:rPr>
          <w:rFonts w:asciiTheme="minorHAnsi" w:hAnsiTheme="minorHAnsi"/>
        </w:rPr>
      </w:pPr>
      <w:r>
        <w:rPr>
          <w:rFonts w:asciiTheme="minorHAnsi" w:hAnsiTheme="minorHAnsi"/>
        </w:rPr>
        <w:t>Resilience is households’ expected ability to recover from shocks.  The measure of resilience proposed in the Phase I report was based on the following underlying variables</w:t>
      </w:r>
      <w:r w:rsidR="002E19A9">
        <w:rPr>
          <w:rFonts w:asciiTheme="minorHAnsi" w:hAnsiTheme="minorHAnsi"/>
        </w:rPr>
        <w:t>:</w:t>
      </w:r>
    </w:p>
    <w:p w:rsidR="002E19A9" w:rsidRDefault="002E19A9" w:rsidP="00872919">
      <w:pPr>
        <w:rPr>
          <w:rFonts w:asciiTheme="minorHAnsi" w:hAnsiTheme="minorHAnsi"/>
        </w:rPr>
      </w:pPr>
    </w:p>
    <w:p w:rsidR="002E19A9" w:rsidRPr="00184A5E" w:rsidRDefault="002E19A9" w:rsidP="002E19A9">
      <w:pPr>
        <w:pStyle w:val="ListParagraph"/>
        <w:numPr>
          <w:ilvl w:val="0"/>
          <w:numId w:val="7"/>
        </w:numPr>
        <w:spacing w:after="200"/>
        <w:ind w:left="1260"/>
        <w:rPr>
          <w:rFonts w:asciiTheme="minorHAnsi" w:hAnsiTheme="minorHAnsi"/>
        </w:rPr>
      </w:pPr>
      <w:r w:rsidRPr="002E19A9">
        <w:rPr>
          <w:rFonts w:asciiTheme="minorHAnsi" w:hAnsiTheme="minorHAnsi"/>
          <w:b/>
        </w:rPr>
        <w:t>E</w:t>
      </w:r>
      <w:r w:rsidRPr="00184A5E">
        <w:rPr>
          <w:rFonts w:asciiTheme="minorHAnsi" w:hAnsiTheme="minorHAnsi"/>
          <w:b/>
        </w:rPr>
        <w:t xml:space="preserve">mployment ratio: </w:t>
      </w:r>
      <w:r w:rsidRPr="00184A5E">
        <w:rPr>
          <w:rFonts w:asciiTheme="minorHAnsi" w:hAnsiTheme="minorHAnsi"/>
        </w:rPr>
        <w:t>Percent of working-age individuals in the household that are employed;</w:t>
      </w:r>
    </w:p>
    <w:p w:rsidR="002E19A9" w:rsidRPr="00184A5E" w:rsidRDefault="002E19A9" w:rsidP="002E19A9">
      <w:pPr>
        <w:pStyle w:val="ListParagraph"/>
        <w:numPr>
          <w:ilvl w:val="0"/>
          <w:numId w:val="7"/>
        </w:numPr>
        <w:spacing w:after="200"/>
        <w:ind w:left="1260"/>
        <w:rPr>
          <w:rFonts w:asciiTheme="minorHAnsi" w:hAnsiTheme="minorHAnsi"/>
        </w:rPr>
      </w:pPr>
      <w:r w:rsidRPr="00184A5E">
        <w:rPr>
          <w:rFonts w:asciiTheme="minorHAnsi" w:hAnsiTheme="minorHAnsi"/>
          <w:b/>
        </w:rPr>
        <w:t>Full-time employment:</w:t>
      </w:r>
      <w:r w:rsidRPr="00184A5E">
        <w:rPr>
          <w:rFonts w:asciiTheme="minorHAnsi" w:hAnsiTheme="minorHAnsi"/>
        </w:rPr>
        <w:t xml:space="preserve"> Number of individuals in household with full time employment (&gt;35 hours/week);</w:t>
      </w:r>
    </w:p>
    <w:p w:rsidR="002E19A9" w:rsidRPr="00184A5E" w:rsidRDefault="002E19A9" w:rsidP="002E19A9">
      <w:pPr>
        <w:pStyle w:val="ListParagraph"/>
        <w:numPr>
          <w:ilvl w:val="0"/>
          <w:numId w:val="7"/>
        </w:numPr>
        <w:spacing w:after="200"/>
        <w:ind w:left="1260"/>
        <w:rPr>
          <w:rFonts w:asciiTheme="minorHAnsi" w:hAnsiTheme="minorHAnsi"/>
        </w:rPr>
      </w:pPr>
      <w:r w:rsidRPr="00184A5E">
        <w:rPr>
          <w:rFonts w:asciiTheme="minorHAnsi" w:hAnsiTheme="minorHAnsi"/>
          <w:b/>
        </w:rPr>
        <w:t>Employment diversity:</w:t>
      </w:r>
      <w:r w:rsidRPr="00184A5E">
        <w:rPr>
          <w:rFonts w:asciiTheme="minorHAnsi" w:hAnsiTheme="minorHAnsi"/>
        </w:rPr>
        <w:t xml:space="preserve">  Number of different sectors (out of a possible 17 sectors) that household members are employed in; and</w:t>
      </w:r>
    </w:p>
    <w:p w:rsidR="002E19A9" w:rsidRDefault="002E19A9" w:rsidP="002E19A9">
      <w:pPr>
        <w:pStyle w:val="ListParagraph"/>
        <w:numPr>
          <w:ilvl w:val="0"/>
          <w:numId w:val="7"/>
        </w:numPr>
        <w:spacing w:after="200"/>
        <w:ind w:left="1260"/>
        <w:rPr>
          <w:rFonts w:asciiTheme="minorHAnsi" w:hAnsiTheme="minorHAnsi"/>
        </w:rPr>
      </w:pPr>
      <w:r w:rsidRPr="00184A5E">
        <w:rPr>
          <w:rFonts w:asciiTheme="minorHAnsi" w:hAnsiTheme="minorHAnsi"/>
          <w:b/>
        </w:rPr>
        <w:t>Education:</w:t>
      </w:r>
      <w:r w:rsidRPr="00184A5E">
        <w:rPr>
          <w:rFonts w:asciiTheme="minorHAnsi" w:hAnsiTheme="minorHAnsi"/>
        </w:rPr>
        <w:t xml:space="preserve"> </w:t>
      </w:r>
      <w:r>
        <w:rPr>
          <w:rFonts w:asciiTheme="minorHAnsi" w:hAnsiTheme="minorHAnsi"/>
        </w:rPr>
        <w:t>N</w:t>
      </w:r>
      <w:r w:rsidRPr="00184A5E">
        <w:rPr>
          <w:rFonts w:asciiTheme="minorHAnsi" w:hAnsiTheme="minorHAnsi"/>
        </w:rPr>
        <w:t>umber of adults in the household that have completed secondary education or greater</w:t>
      </w:r>
      <w:r>
        <w:rPr>
          <w:rFonts w:asciiTheme="minorHAnsi" w:hAnsiTheme="minorHAnsi"/>
        </w:rPr>
        <w:t>;</w:t>
      </w:r>
    </w:p>
    <w:p w:rsidR="002E19A9" w:rsidRPr="002E19A9" w:rsidRDefault="002E19A9" w:rsidP="002E19A9">
      <w:pPr>
        <w:pStyle w:val="ListParagraph"/>
        <w:numPr>
          <w:ilvl w:val="0"/>
          <w:numId w:val="7"/>
        </w:numPr>
        <w:spacing w:after="200"/>
        <w:ind w:left="1260"/>
        <w:rPr>
          <w:rFonts w:asciiTheme="minorHAnsi" w:hAnsiTheme="minorHAnsi"/>
          <w:b/>
        </w:rPr>
      </w:pPr>
      <w:r w:rsidRPr="002E19A9">
        <w:rPr>
          <w:rFonts w:asciiTheme="minorHAnsi" w:hAnsiTheme="minorHAnsi"/>
          <w:b/>
        </w:rPr>
        <w:t>Index of household asset ownership</w:t>
      </w:r>
      <w:r>
        <w:rPr>
          <w:rFonts w:asciiTheme="minorHAnsi" w:hAnsiTheme="minorHAnsi"/>
          <w:b/>
        </w:rPr>
        <w:t xml:space="preserve">.  </w:t>
      </w:r>
      <w:r>
        <w:rPr>
          <w:rFonts w:asciiTheme="minorHAnsi" w:hAnsiTheme="minorHAnsi"/>
        </w:rPr>
        <w:t>A PCA index based on the 22 (out of 25) consumer durable assets for which data are collected in the SEFSec surveys that have a positive factor loading.</w:t>
      </w:r>
    </w:p>
    <w:p w:rsidR="00236F24" w:rsidRPr="00236F24" w:rsidRDefault="002E19A9" w:rsidP="002E19A9">
      <w:pPr>
        <w:pStyle w:val="ListParagraph"/>
        <w:numPr>
          <w:ilvl w:val="0"/>
          <w:numId w:val="7"/>
        </w:numPr>
        <w:spacing w:after="200"/>
        <w:ind w:left="1260"/>
        <w:rPr>
          <w:rFonts w:asciiTheme="minorHAnsi" w:hAnsiTheme="minorHAnsi"/>
          <w:b/>
        </w:rPr>
      </w:pPr>
      <w:r w:rsidRPr="002E19A9">
        <w:rPr>
          <w:rFonts w:asciiTheme="minorHAnsi" w:hAnsiTheme="minorHAnsi"/>
          <w:b/>
        </w:rPr>
        <w:t>Index of household access to public services.</w:t>
      </w:r>
      <w:r>
        <w:rPr>
          <w:rFonts w:asciiTheme="minorHAnsi" w:hAnsiTheme="minorHAnsi"/>
          <w:b/>
        </w:rPr>
        <w:t xml:space="preserve">  </w:t>
      </w:r>
      <w:r>
        <w:rPr>
          <w:rFonts w:asciiTheme="minorHAnsi" w:hAnsiTheme="minorHAnsi"/>
        </w:rPr>
        <w:t xml:space="preserve">A PCA </w:t>
      </w:r>
      <w:r w:rsidRPr="00184A5E">
        <w:rPr>
          <w:rFonts w:asciiTheme="minorHAnsi" w:hAnsiTheme="minorHAnsi"/>
        </w:rPr>
        <w:t>index based on the following: connection to water line, connection to sewer, connection to electricity line, remoteness to key locations (public transport, health facilities, school, shopping center), access to different types of health insurance, general restrictions on movements, and ease to reach key locations (workplace, farm land, school, health facility)</w:t>
      </w:r>
      <w:r w:rsidR="00236F24">
        <w:rPr>
          <w:rFonts w:asciiTheme="minorHAnsi" w:hAnsiTheme="minorHAnsi"/>
        </w:rPr>
        <w:t>.</w:t>
      </w:r>
    </w:p>
    <w:p w:rsidR="00236F24" w:rsidRPr="00236F24" w:rsidRDefault="00236F24" w:rsidP="00236F24">
      <w:pPr>
        <w:spacing w:after="200"/>
        <w:rPr>
          <w:rFonts w:asciiTheme="minorHAnsi" w:hAnsiTheme="minorHAnsi"/>
        </w:rPr>
      </w:pPr>
      <w:r>
        <w:rPr>
          <w:rFonts w:asciiTheme="minorHAnsi" w:hAnsiTheme="minorHAnsi"/>
        </w:rPr>
        <w:t xml:space="preserve">The indicators are combined into an index using PCA.  Following, cluster analysis is used to break households into three groups representing low, medium and high “resilience capacity”. </w:t>
      </w:r>
    </w:p>
    <w:p w:rsidR="00CB791A" w:rsidRDefault="00CB791A" w:rsidP="00CB791A">
      <w:pPr>
        <w:pStyle w:val="Heading3"/>
        <w:numPr>
          <w:ilvl w:val="0"/>
          <w:numId w:val="0"/>
        </w:numPr>
        <w:ind w:left="432"/>
        <w:rPr>
          <w:rFonts w:asciiTheme="minorHAnsi" w:hAnsiTheme="minorHAnsi"/>
        </w:rPr>
      </w:pPr>
      <w:bookmarkStart w:id="31" w:name="_Toc395979713"/>
      <w:r>
        <w:rPr>
          <w:rFonts w:asciiTheme="minorHAnsi" w:hAnsiTheme="minorHAnsi"/>
          <w:color w:val="365F91" w:themeColor="accent1" w:themeShade="BF"/>
          <w:sz w:val="28"/>
          <w:szCs w:val="28"/>
        </w:rPr>
        <w:t>4</w:t>
      </w:r>
      <w:r w:rsidRPr="00B30983">
        <w:rPr>
          <w:rFonts w:asciiTheme="minorHAnsi" w:hAnsiTheme="minorHAnsi"/>
          <w:color w:val="365F91" w:themeColor="accent1" w:themeShade="BF"/>
          <w:sz w:val="28"/>
          <w:szCs w:val="28"/>
        </w:rPr>
        <w:t>.</w:t>
      </w:r>
      <w:r>
        <w:rPr>
          <w:rFonts w:asciiTheme="minorHAnsi" w:hAnsiTheme="minorHAnsi"/>
          <w:color w:val="365F91" w:themeColor="accent1" w:themeShade="BF"/>
          <w:sz w:val="28"/>
          <w:szCs w:val="28"/>
        </w:rPr>
        <w:t>1</w:t>
      </w:r>
      <w:r w:rsidRPr="00B30983">
        <w:rPr>
          <w:rFonts w:asciiTheme="minorHAnsi" w:hAnsiTheme="minorHAnsi"/>
          <w:color w:val="365F91" w:themeColor="accent1" w:themeShade="BF"/>
          <w:sz w:val="28"/>
          <w:szCs w:val="28"/>
        </w:rPr>
        <w:t xml:space="preserve"> </w:t>
      </w:r>
      <w:r>
        <w:rPr>
          <w:rFonts w:asciiTheme="minorHAnsi" w:hAnsiTheme="minorHAnsi"/>
          <w:color w:val="365F91" w:themeColor="accent1" w:themeShade="BF"/>
          <w:sz w:val="28"/>
          <w:szCs w:val="28"/>
        </w:rPr>
        <w:t xml:space="preserve">  Proposed new measure of resilience</w:t>
      </w:r>
      <w:bookmarkEnd w:id="31"/>
    </w:p>
    <w:p w:rsidR="005E4ABB" w:rsidRDefault="005E4ABB" w:rsidP="00872919">
      <w:pPr>
        <w:rPr>
          <w:rFonts w:asciiTheme="minorHAnsi" w:hAnsiTheme="minorHAnsi"/>
        </w:rPr>
      </w:pPr>
    </w:p>
    <w:p w:rsidR="00236F24" w:rsidRDefault="002E19A9" w:rsidP="00236F24">
      <w:pPr>
        <w:ind w:firstLine="720"/>
        <w:rPr>
          <w:rFonts w:asciiTheme="minorHAnsi" w:hAnsiTheme="minorHAnsi"/>
        </w:rPr>
      </w:pPr>
      <w:r>
        <w:rPr>
          <w:rFonts w:asciiTheme="minorHAnsi" w:hAnsiTheme="minorHAnsi"/>
        </w:rPr>
        <w:t>Three “capacities” are critical for building resilience:  Absorptive capacity, adaptive capacity and transformative capacity.</w:t>
      </w:r>
      <w:r w:rsidR="00236F24">
        <w:rPr>
          <w:rStyle w:val="FootnoteReference"/>
          <w:rFonts w:asciiTheme="minorHAnsi" w:hAnsiTheme="minorHAnsi"/>
        </w:rPr>
        <w:footnoteReference w:id="6"/>
      </w:r>
      <w:r>
        <w:rPr>
          <w:rFonts w:asciiTheme="minorHAnsi" w:hAnsiTheme="minorHAnsi"/>
        </w:rPr>
        <w:t xml:space="preserve">   The proposed new measure of resilience is based </w:t>
      </w:r>
      <w:r w:rsidR="00236F24">
        <w:rPr>
          <w:rFonts w:asciiTheme="minorHAnsi" w:hAnsiTheme="minorHAnsi"/>
        </w:rPr>
        <w:t xml:space="preserve">fully </w:t>
      </w:r>
      <w:r>
        <w:rPr>
          <w:rFonts w:asciiTheme="minorHAnsi" w:hAnsiTheme="minorHAnsi"/>
        </w:rPr>
        <w:t xml:space="preserve">on the indicators of </w:t>
      </w:r>
      <w:r w:rsidRPr="002E19A9">
        <w:rPr>
          <w:rFonts w:asciiTheme="minorHAnsi" w:hAnsiTheme="minorHAnsi"/>
          <w:i/>
        </w:rPr>
        <w:t>adaptive capacity</w:t>
      </w:r>
      <w:r>
        <w:rPr>
          <w:rFonts w:asciiTheme="minorHAnsi" w:hAnsiTheme="minorHAnsi"/>
        </w:rPr>
        <w:t xml:space="preserve"> that are available from the SEFSec survey</w:t>
      </w:r>
      <w:r w:rsidR="00223B74">
        <w:rPr>
          <w:rFonts w:asciiTheme="minorHAnsi" w:hAnsiTheme="minorHAnsi"/>
        </w:rPr>
        <w:t xml:space="preserve"> data</w:t>
      </w:r>
      <w:r>
        <w:rPr>
          <w:rFonts w:asciiTheme="minorHAnsi" w:hAnsiTheme="minorHAnsi"/>
        </w:rPr>
        <w:t>.  Adaptive capacity is defined as follows:</w:t>
      </w:r>
    </w:p>
    <w:p w:rsidR="00236F24" w:rsidRPr="00236F24" w:rsidRDefault="00236F24" w:rsidP="00236F24">
      <w:pPr>
        <w:ind w:firstLine="720"/>
        <w:rPr>
          <w:rFonts w:asciiTheme="minorHAnsi" w:hAnsiTheme="minorHAnsi"/>
          <w:i/>
        </w:rPr>
      </w:pPr>
    </w:p>
    <w:p w:rsidR="002E19A9" w:rsidRPr="00874196" w:rsidRDefault="00236F24" w:rsidP="00236F24">
      <w:pPr>
        <w:ind w:left="720" w:right="540"/>
        <w:jc w:val="both"/>
        <w:rPr>
          <w:rFonts w:asciiTheme="minorHAnsi" w:hAnsiTheme="minorHAnsi"/>
        </w:rPr>
      </w:pPr>
      <w:r w:rsidRPr="00874196">
        <w:rPr>
          <w:rFonts w:asciiTheme="minorHAnsi" w:hAnsiTheme="minorHAnsi"/>
          <w:lang w:val="en-GB"/>
        </w:rPr>
        <w:t xml:space="preserve">Adaptive capacity </w:t>
      </w:r>
      <w:r w:rsidRPr="00874196">
        <w:rPr>
          <w:rFonts w:asciiTheme="minorHAnsi" w:hAnsiTheme="minorHAnsi"/>
        </w:rPr>
        <w:t xml:space="preserve">involves making proactive and informed choices about alternative livelihood strategies based on changing conditions. </w:t>
      </w:r>
      <w:r w:rsidRPr="00874196">
        <w:rPr>
          <w:rFonts w:asciiTheme="minorHAnsi" w:hAnsiTheme="minorHAnsi"/>
          <w:lang w:val="en-GB"/>
        </w:rPr>
        <w:t>Interventions to improve adaptive capacity are aimed at improving the flexibility of households and communities to respond to longer-term social, economic, and environmental change. This necessarily entails promoting livelihood diversification, supporting asset accumulation, and improving the social and human capital available to vulnerable populations.</w:t>
      </w:r>
      <w:r w:rsidRPr="00874196">
        <w:rPr>
          <w:rStyle w:val="FootnoteReference"/>
          <w:rFonts w:asciiTheme="minorHAnsi" w:hAnsiTheme="minorHAnsi"/>
          <w:lang w:val="en-GB"/>
        </w:rPr>
        <w:footnoteReference w:id="7"/>
      </w:r>
      <w:r w:rsidRPr="00874196">
        <w:rPr>
          <w:rFonts w:asciiTheme="minorHAnsi" w:hAnsiTheme="minorHAnsi"/>
          <w:lang w:val="en-GB"/>
        </w:rPr>
        <w:t xml:space="preserve"> </w:t>
      </w:r>
      <w:r w:rsidR="002E19A9" w:rsidRPr="00874196">
        <w:rPr>
          <w:rFonts w:asciiTheme="minorHAnsi" w:hAnsiTheme="minorHAnsi"/>
        </w:rPr>
        <w:t xml:space="preserve">  </w:t>
      </w:r>
    </w:p>
    <w:p w:rsidR="00872919" w:rsidRPr="00236F24" w:rsidRDefault="00872919" w:rsidP="00236F24">
      <w:pPr>
        <w:pStyle w:val="ListParagraph"/>
        <w:ind w:firstLine="720"/>
        <w:rPr>
          <w:rFonts w:asciiTheme="minorHAnsi" w:hAnsiTheme="minorHAnsi"/>
          <w:i/>
        </w:rPr>
      </w:pPr>
    </w:p>
    <w:p w:rsidR="00236F24" w:rsidRDefault="00236F24" w:rsidP="00236F24">
      <w:pPr>
        <w:rPr>
          <w:rFonts w:asciiTheme="minorHAnsi" w:hAnsiTheme="minorHAnsi"/>
        </w:rPr>
      </w:pPr>
      <w:r>
        <w:rPr>
          <w:rFonts w:asciiTheme="minorHAnsi" w:hAnsiTheme="minorHAnsi"/>
        </w:rPr>
        <w:t xml:space="preserve">The indicators for which </w:t>
      </w:r>
      <w:r w:rsidR="00223B74">
        <w:rPr>
          <w:rFonts w:asciiTheme="minorHAnsi" w:hAnsiTheme="minorHAnsi"/>
        </w:rPr>
        <w:t xml:space="preserve">SEFSec </w:t>
      </w:r>
      <w:r>
        <w:rPr>
          <w:rFonts w:asciiTheme="minorHAnsi" w:hAnsiTheme="minorHAnsi"/>
        </w:rPr>
        <w:t>data are availabl</w:t>
      </w:r>
      <w:r w:rsidR="00E17DE6">
        <w:rPr>
          <w:rFonts w:asciiTheme="minorHAnsi" w:hAnsiTheme="minorHAnsi"/>
        </w:rPr>
        <w:t>e</w:t>
      </w:r>
      <w:r>
        <w:rPr>
          <w:rFonts w:asciiTheme="minorHAnsi" w:hAnsiTheme="minorHAnsi"/>
        </w:rPr>
        <w:t xml:space="preserve"> for measuring this concept are:</w:t>
      </w:r>
    </w:p>
    <w:p w:rsidR="00E17DE6" w:rsidRDefault="00E17DE6" w:rsidP="00236F24">
      <w:pPr>
        <w:rPr>
          <w:rFonts w:asciiTheme="minorHAnsi" w:hAnsiTheme="minorHAnsi"/>
        </w:rPr>
      </w:pPr>
    </w:p>
    <w:p w:rsidR="00E17DE6" w:rsidRDefault="00E17DE6" w:rsidP="00236F24">
      <w:pPr>
        <w:rPr>
          <w:rFonts w:asciiTheme="minorHAnsi" w:hAnsiTheme="minorHAnsi"/>
        </w:rPr>
      </w:pPr>
      <w:r>
        <w:rPr>
          <w:rFonts w:asciiTheme="minorHAnsi" w:hAnsiTheme="minorHAnsi"/>
        </w:rPr>
        <w:t xml:space="preserve">     Human capital:</w:t>
      </w:r>
    </w:p>
    <w:p w:rsidR="00E17DE6" w:rsidRDefault="00E17DE6" w:rsidP="00236F24">
      <w:pPr>
        <w:pStyle w:val="ListParagraph"/>
        <w:numPr>
          <w:ilvl w:val="0"/>
          <w:numId w:val="7"/>
        </w:numPr>
        <w:spacing w:after="200"/>
        <w:ind w:left="1260"/>
        <w:rPr>
          <w:rFonts w:asciiTheme="minorHAnsi" w:hAnsiTheme="minorHAnsi"/>
        </w:rPr>
      </w:pPr>
      <w:r w:rsidRPr="00E17DE6">
        <w:rPr>
          <w:rFonts w:asciiTheme="minorHAnsi" w:hAnsiTheme="minorHAnsi"/>
          <w:b/>
        </w:rPr>
        <w:t>Education:</w:t>
      </w:r>
      <w:r>
        <w:rPr>
          <w:rFonts w:asciiTheme="minorHAnsi" w:hAnsiTheme="minorHAnsi"/>
        </w:rPr>
        <w:t xml:space="preserve">  Whether any adult household member has completed a secondary education or higher;</w:t>
      </w:r>
    </w:p>
    <w:p w:rsidR="00E17DE6" w:rsidRDefault="00E17DE6" w:rsidP="00236F24">
      <w:pPr>
        <w:pStyle w:val="ListParagraph"/>
        <w:numPr>
          <w:ilvl w:val="0"/>
          <w:numId w:val="7"/>
        </w:numPr>
        <w:spacing w:after="200"/>
        <w:ind w:left="1260"/>
        <w:rPr>
          <w:rFonts w:asciiTheme="minorHAnsi" w:hAnsiTheme="minorHAnsi"/>
        </w:rPr>
      </w:pPr>
      <w:r w:rsidRPr="00E17DE6">
        <w:rPr>
          <w:rFonts w:asciiTheme="minorHAnsi" w:hAnsiTheme="minorHAnsi"/>
          <w:b/>
        </w:rPr>
        <w:t>Disability status:</w:t>
      </w:r>
      <w:r>
        <w:rPr>
          <w:rFonts w:asciiTheme="minorHAnsi" w:hAnsiTheme="minorHAnsi"/>
        </w:rPr>
        <w:t xml:space="preserve">  Whether no household member is disabled;</w:t>
      </w:r>
    </w:p>
    <w:p w:rsidR="00E17DE6" w:rsidRDefault="00810968" w:rsidP="00236F24">
      <w:pPr>
        <w:pStyle w:val="ListParagraph"/>
        <w:numPr>
          <w:ilvl w:val="0"/>
          <w:numId w:val="7"/>
        </w:numPr>
        <w:spacing w:after="200"/>
        <w:ind w:left="1260"/>
        <w:rPr>
          <w:rFonts w:asciiTheme="minorHAnsi" w:hAnsiTheme="minorHAnsi"/>
        </w:rPr>
      </w:pPr>
      <w:r w:rsidRPr="00810968">
        <w:rPr>
          <w:rFonts w:asciiTheme="minorHAnsi" w:hAnsiTheme="minorHAnsi"/>
          <w:b/>
        </w:rPr>
        <w:t>Percent of working-age members:</w:t>
      </w:r>
      <w:r>
        <w:rPr>
          <w:rFonts w:asciiTheme="minorHAnsi" w:hAnsiTheme="minorHAnsi"/>
        </w:rPr>
        <w:t xml:space="preserve">  </w:t>
      </w:r>
      <w:r w:rsidR="00E17DE6">
        <w:rPr>
          <w:rFonts w:asciiTheme="minorHAnsi" w:hAnsiTheme="minorHAnsi"/>
        </w:rPr>
        <w:t xml:space="preserve">Percent of household members who are </w:t>
      </w:r>
      <w:r>
        <w:rPr>
          <w:rFonts w:asciiTheme="minorHAnsi" w:hAnsiTheme="minorHAnsi"/>
        </w:rPr>
        <w:t xml:space="preserve">in the </w:t>
      </w:r>
      <w:r w:rsidR="00E17DE6">
        <w:rPr>
          <w:rFonts w:asciiTheme="minorHAnsi" w:hAnsiTheme="minorHAnsi"/>
        </w:rPr>
        <w:t>15-64 year</w:t>
      </w:r>
      <w:r>
        <w:rPr>
          <w:rFonts w:asciiTheme="minorHAnsi" w:hAnsiTheme="minorHAnsi"/>
        </w:rPr>
        <w:t xml:space="preserve"> age group</w:t>
      </w:r>
      <w:r w:rsidR="00E17DE6">
        <w:rPr>
          <w:rFonts w:asciiTheme="minorHAnsi" w:hAnsiTheme="minorHAnsi"/>
        </w:rPr>
        <w:t>;</w:t>
      </w:r>
    </w:p>
    <w:p w:rsidR="00E17DE6" w:rsidRDefault="00E17DE6" w:rsidP="00E17DE6">
      <w:pPr>
        <w:spacing w:after="200"/>
        <w:rPr>
          <w:rFonts w:asciiTheme="minorHAnsi" w:hAnsiTheme="minorHAnsi"/>
        </w:rPr>
      </w:pPr>
      <w:r>
        <w:rPr>
          <w:rFonts w:asciiTheme="minorHAnsi" w:hAnsiTheme="minorHAnsi"/>
        </w:rPr>
        <w:t xml:space="preserve">     Employment</w:t>
      </w:r>
    </w:p>
    <w:p w:rsidR="00236F24" w:rsidRPr="00184A5E" w:rsidRDefault="00236F24" w:rsidP="00236F24">
      <w:pPr>
        <w:pStyle w:val="ListParagraph"/>
        <w:numPr>
          <w:ilvl w:val="0"/>
          <w:numId w:val="7"/>
        </w:numPr>
        <w:spacing w:after="200"/>
        <w:ind w:left="1260"/>
        <w:rPr>
          <w:rFonts w:asciiTheme="minorHAnsi" w:hAnsiTheme="minorHAnsi"/>
        </w:rPr>
      </w:pPr>
      <w:r w:rsidRPr="002E19A9">
        <w:rPr>
          <w:rFonts w:asciiTheme="minorHAnsi" w:hAnsiTheme="minorHAnsi"/>
          <w:b/>
        </w:rPr>
        <w:t>E</w:t>
      </w:r>
      <w:r w:rsidRPr="00184A5E">
        <w:rPr>
          <w:rFonts w:asciiTheme="minorHAnsi" w:hAnsiTheme="minorHAnsi"/>
          <w:b/>
        </w:rPr>
        <w:t xml:space="preserve">mployment ratio: </w:t>
      </w:r>
      <w:r w:rsidRPr="00184A5E">
        <w:rPr>
          <w:rFonts w:asciiTheme="minorHAnsi" w:hAnsiTheme="minorHAnsi"/>
        </w:rPr>
        <w:t>Percent of working-age individuals in the household that are employed;</w:t>
      </w:r>
    </w:p>
    <w:p w:rsidR="00236F24" w:rsidRPr="00E17DE6" w:rsidRDefault="00236F24" w:rsidP="00236F24">
      <w:pPr>
        <w:pStyle w:val="ListParagraph"/>
        <w:numPr>
          <w:ilvl w:val="0"/>
          <w:numId w:val="7"/>
        </w:numPr>
        <w:spacing w:after="200"/>
        <w:ind w:left="1260"/>
        <w:rPr>
          <w:rFonts w:asciiTheme="minorHAnsi" w:hAnsiTheme="minorHAnsi"/>
        </w:rPr>
      </w:pPr>
      <w:r w:rsidRPr="00E17DE6">
        <w:rPr>
          <w:rFonts w:asciiTheme="minorHAnsi" w:hAnsiTheme="minorHAnsi"/>
          <w:b/>
        </w:rPr>
        <w:t>Full-time employment:</w:t>
      </w:r>
      <w:r w:rsidRPr="00E17DE6">
        <w:rPr>
          <w:rFonts w:asciiTheme="minorHAnsi" w:hAnsiTheme="minorHAnsi"/>
        </w:rPr>
        <w:t xml:space="preserve"> Number of individuals in household with full time employment (&gt;35 hours/week);</w:t>
      </w:r>
    </w:p>
    <w:p w:rsidR="00E17DE6" w:rsidRDefault="00810968" w:rsidP="00E17DE6">
      <w:pPr>
        <w:spacing w:after="200"/>
        <w:rPr>
          <w:rFonts w:asciiTheme="minorHAnsi" w:hAnsiTheme="minorHAnsi"/>
        </w:rPr>
      </w:pPr>
      <w:r>
        <w:rPr>
          <w:rFonts w:asciiTheme="minorHAnsi" w:hAnsiTheme="minorHAnsi"/>
        </w:rPr>
        <w:t xml:space="preserve">     </w:t>
      </w:r>
      <w:r w:rsidR="00223B74">
        <w:rPr>
          <w:rFonts w:asciiTheme="minorHAnsi" w:hAnsiTheme="minorHAnsi"/>
        </w:rPr>
        <w:t xml:space="preserve">Livelihood diversification </w:t>
      </w:r>
    </w:p>
    <w:p w:rsidR="00236F24" w:rsidRDefault="00236F24" w:rsidP="00236F24">
      <w:pPr>
        <w:pStyle w:val="ListParagraph"/>
        <w:numPr>
          <w:ilvl w:val="0"/>
          <w:numId w:val="7"/>
        </w:numPr>
        <w:spacing w:after="200"/>
        <w:ind w:left="1260"/>
        <w:rPr>
          <w:rFonts w:asciiTheme="minorHAnsi" w:hAnsiTheme="minorHAnsi"/>
        </w:rPr>
      </w:pPr>
      <w:r w:rsidRPr="00184A5E">
        <w:rPr>
          <w:rFonts w:asciiTheme="minorHAnsi" w:hAnsiTheme="minorHAnsi"/>
          <w:b/>
        </w:rPr>
        <w:t>Employment diversity:</w:t>
      </w:r>
      <w:r w:rsidRPr="00184A5E">
        <w:rPr>
          <w:rFonts w:asciiTheme="minorHAnsi" w:hAnsiTheme="minorHAnsi"/>
        </w:rPr>
        <w:t xml:space="preserve">  Number of different sectors (out of a possible 17 sectors) that household members are employed in; and</w:t>
      </w:r>
    </w:p>
    <w:p w:rsidR="00E17DE6" w:rsidRPr="00184A5E" w:rsidRDefault="00E17DE6" w:rsidP="00236F24">
      <w:pPr>
        <w:pStyle w:val="ListParagraph"/>
        <w:numPr>
          <w:ilvl w:val="0"/>
          <w:numId w:val="7"/>
        </w:numPr>
        <w:spacing w:after="200"/>
        <w:ind w:left="1260"/>
        <w:rPr>
          <w:rFonts w:asciiTheme="minorHAnsi" w:hAnsiTheme="minorHAnsi"/>
        </w:rPr>
      </w:pPr>
      <w:r>
        <w:rPr>
          <w:rFonts w:asciiTheme="minorHAnsi" w:hAnsiTheme="minorHAnsi"/>
          <w:b/>
        </w:rPr>
        <w:t xml:space="preserve">Income diversity: </w:t>
      </w:r>
      <w:r>
        <w:rPr>
          <w:rFonts w:asciiTheme="minorHAnsi" w:hAnsiTheme="minorHAnsi"/>
        </w:rPr>
        <w:t>Number of different sources of households’ income (out of a possible 16);</w:t>
      </w:r>
    </w:p>
    <w:p w:rsidR="00E17DE6" w:rsidRDefault="00810968" w:rsidP="00E17DE6">
      <w:pPr>
        <w:spacing w:after="200"/>
        <w:rPr>
          <w:rFonts w:asciiTheme="minorHAnsi" w:hAnsiTheme="minorHAnsi"/>
        </w:rPr>
      </w:pPr>
      <w:r>
        <w:rPr>
          <w:rFonts w:asciiTheme="minorHAnsi" w:hAnsiTheme="minorHAnsi"/>
        </w:rPr>
        <w:t xml:space="preserve">     </w:t>
      </w:r>
      <w:r w:rsidR="00E17DE6">
        <w:rPr>
          <w:rFonts w:asciiTheme="minorHAnsi" w:hAnsiTheme="minorHAnsi"/>
        </w:rPr>
        <w:t xml:space="preserve">Asset ownership </w:t>
      </w:r>
    </w:p>
    <w:p w:rsidR="00236F24" w:rsidRDefault="00236F24" w:rsidP="00810968">
      <w:pPr>
        <w:pStyle w:val="ListParagraph"/>
        <w:numPr>
          <w:ilvl w:val="0"/>
          <w:numId w:val="7"/>
        </w:numPr>
        <w:spacing w:after="200"/>
        <w:ind w:left="1260"/>
        <w:rPr>
          <w:rFonts w:asciiTheme="minorHAnsi" w:hAnsiTheme="minorHAnsi"/>
          <w:b/>
        </w:rPr>
      </w:pPr>
      <w:r w:rsidRPr="002E19A9">
        <w:rPr>
          <w:rFonts w:asciiTheme="minorHAnsi" w:hAnsiTheme="minorHAnsi"/>
          <w:b/>
        </w:rPr>
        <w:t>Index of household asset ownership</w:t>
      </w:r>
      <w:r>
        <w:rPr>
          <w:rFonts w:asciiTheme="minorHAnsi" w:hAnsiTheme="minorHAnsi"/>
          <w:b/>
        </w:rPr>
        <w:t xml:space="preserve">.  </w:t>
      </w:r>
      <w:r>
        <w:rPr>
          <w:rFonts w:asciiTheme="minorHAnsi" w:hAnsiTheme="minorHAnsi"/>
        </w:rPr>
        <w:t xml:space="preserve">A PCA index based on the </w:t>
      </w:r>
      <w:r w:rsidR="00E17DE6">
        <w:rPr>
          <w:rFonts w:asciiTheme="minorHAnsi" w:hAnsiTheme="minorHAnsi"/>
        </w:rPr>
        <w:t xml:space="preserve">24 </w:t>
      </w:r>
      <w:r>
        <w:rPr>
          <w:rFonts w:asciiTheme="minorHAnsi" w:hAnsiTheme="minorHAnsi"/>
        </w:rPr>
        <w:t>(out of 25) consumer durable assets for which data are collected in the SEFSec surveys that have a positive factor loading</w:t>
      </w:r>
      <w:r w:rsidR="00E17DE6">
        <w:rPr>
          <w:rFonts w:asciiTheme="minorHAnsi" w:hAnsiTheme="minorHAnsi"/>
        </w:rPr>
        <w:t xml:space="preserve"> in the index</w:t>
      </w:r>
      <w:r>
        <w:rPr>
          <w:rFonts w:asciiTheme="minorHAnsi" w:hAnsiTheme="minorHAnsi"/>
        </w:rPr>
        <w:t>.</w:t>
      </w:r>
    </w:p>
    <w:p w:rsidR="00556EB1" w:rsidRDefault="00223B74" w:rsidP="00810968">
      <w:pPr>
        <w:spacing w:after="200"/>
        <w:rPr>
          <w:rFonts w:asciiTheme="minorHAnsi" w:hAnsiTheme="minorHAnsi"/>
        </w:rPr>
      </w:pPr>
      <w:r>
        <w:rPr>
          <w:rFonts w:asciiTheme="minorHAnsi" w:hAnsiTheme="minorHAnsi"/>
        </w:rPr>
        <w:t xml:space="preserve">A similar set of </w:t>
      </w:r>
      <w:r w:rsidR="00556EB1">
        <w:rPr>
          <w:rFonts w:asciiTheme="minorHAnsi" w:hAnsiTheme="minorHAnsi"/>
        </w:rPr>
        <w:t>indicators ha</w:t>
      </w:r>
      <w:r>
        <w:rPr>
          <w:rFonts w:asciiTheme="minorHAnsi" w:hAnsiTheme="minorHAnsi"/>
        </w:rPr>
        <w:t>s</w:t>
      </w:r>
      <w:r w:rsidR="00556EB1">
        <w:rPr>
          <w:rFonts w:asciiTheme="minorHAnsi" w:hAnsiTheme="minorHAnsi"/>
        </w:rPr>
        <w:t xml:space="preserve"> recently been </w:t>
      </w:r>
      <w:r>
        <w:rPr>
          <w:rFonts w:asciiTheme="minorHAnsi" w:hAnsiTheme="minorHAnsi"/>
        </w:rPr>
        <w:t xml:space="preserve">employed </w:t>
      </w:r>
      <w:r w:rsidR="00556EB1">
        <w:rPr>
          <w:rFonts w:asciiTheme="minorHAnsi" w:hAnsiTheme="minorHAnsi"/>
        </w:rPr>
        <w:t xml:space="preserve">by TANGO for measuring </w:t>
      </w:r>
      <w:r>
        <w:rPr>
          <w:rFonts w:asciiTheme="minorHAnsi" w:hAnsiTheme="minorHAnsi"/>
        </w:rPr>
        <w:t xml:space="preserve">adaptive </w:t>
      </w:r>
      <w:r w:rsidR="00556EB1">
        <w:rPr>
          <w:rFonts w:asciiTheme="minorHAnsi" w:hAnsiTheme="minorHAnsi"/>
        </w:rPr>
        <w:t>capacity as part of an impact evaluation of the USAID-funded project “Ethiopia Pastoralist Areas Resilience Improvement and Market Expansion</w:t>
      </w:r>
      <w:r w:rsidR="00874196">
        <w:rPr>
          <w:rFonts w:asciiTheme="minorHAnsi" w:hAnsiTheme="minorHAnsi"/>
        </w:rPr>
        <w:t>”</w:t>
      </w:r>
      <w:r w:rsidR="00556EB1">
        <w:rPr>
          <w:rFonts w:asciiTheme="minorHAnsi" w:hAnsiTheme="minorHAnsi"/>
        </w:rPr>
        <w:t>.  Smith et. al. (2014) show that use of such indicators provides a measure of resilience that performs as expected when analyzing the links between resilience capacity and food security indicators and the ability of resilience capacity to reduce the negative impact of shocks on food security.</w:t>
      </w:r>
    </w:p>
    <w:p w:rsidR="00810968" w:rsidRDefault="00810968" w:rsidP="00810968">
      <w:pPr>
        <w:spacing w:after="200"/>
        <w:rPr>
          <w:rFonts w:asciiTheme="minorHAnsi" w:hAnsiTheme="minorHAnsi"/>
        </w:rPr>
      </w:pPr>
      <w:r>
        <w:rPr>
          <w:rFonts w:asciiTheme="minorHAnsi" w:hAnsiTheme="minorHAnsi"/>
        </w:rPr>
        <w:t xml:space="preserve">As for the </w:t>
      </w:r>
      <w:r w:rsidR="00223B74">
        <w:rPr>
          <w:rFonts w:asciiTheme="minorHAnsi" w:hAnsiTheme="minorHAnsi"/>
        </w:rPr>
        <w:t xml:space="preserve">index proposed in </w:t>
      </w:r>
      <w:r>
        <w:rPr>
          <w:rFonts w:asciiTheme="minorHAnsi" w:hAnsiTheme="minorHAnsi"/>
        </w:rPr>
        <w:t>Phase I, the</w:t>
      </w:r>
      <w:r w:rsidR="00223B74">
        <w:rPr>
          <w:rFonts w:asciiTheme="minorHAnsi" w:hAnsiTheme="minorHAnsi"/>
        </w:rPr>
        <w:t xml:space="preserve"> above</w:t>
      </w:r>
      <w:r>
        <w:rPr>
          <w:rFonts w:asciiTheme="minorHAnsi" w:hAnsiTheme="minorHAnsi"/>
        </w:rPr>
        <w:t xml:space="preserve"> indicators are combined into a PCA index and cluster analysis is used to classify households into low, medium, and high groups.</w:t>
      </w:r>
      <w:r w:rsidR="00223B74">
        <w:rPr>
          <w:rStyle w:val="FootnoteReference"/>
          <w:rFonts w:asciiTheme="minorHAnsi" w:hAnsiTheme="minorHAnsi"/>
        </w:rPr>
        <w:footnoteReference w:id="8"/>
      </w:r>
      <w:r w:rsidR="003E5107">
        <w:rPr>
          <w:rFonts w:asciiTheme="minorHAnsi" w:hAnsiTheme="minorHAnsi"/>
        </w:rPr>
        <w:t xml:space="preserve">  It is </w:t>
      </w:r>
      <w:r w:rsidR="003E5107">
        <w:rPr>
          <w:rFonts w:asciiTheme="minorHAnsi" w:hAnsiTheme="minorHAnsi"/>
        </w:rPr>
        <w:lastRenderedPageBreak/>
        <w:t>recommended that the index continue to be titled an index of “resilience capacity” (rather than adaptive capacity itself), for ease of communication.</w:t>
      </w:r>
      <w:r w:rsidR="00227E67">
        <w:rPr>
          <w:rFonts w:asciiTheme="minorHAnsi" w:hAnsiTheme="minorHAnsi"/>
        </w:rPr>
        <w:t xml:space="preserve">  Table 4.1 reports the scoring coefficient</w:t>
      </w:r>
      <w:r w:rsidR="00223B74">
        <w:rPr>
          <w:rFonts w:asciiTheme="minorHAnsi" w:hAnsiTheme="minorHAnsi"/>
        </w:rPr>
        <w:t xml:space="preserve"> of each indicator making up the </w:t>
      </w:r>
      <w:r w:rsidR="00227E67">
        <w:rPr>
          <w:rFonts w:asciiTheme="minorHAnsi" w:hAnsiTheme="minorHAnsi"/>
        </w:rPr>
        <w:t xml:space="preserve">resilience capacity index.   </w:t>
      </w:r>
      <w:r w:rsidR="00223B74">
        <w:rPr>
          <w:rFonts w:asciiTheme="minorHAnsi" w:hAnsiTheme="minorHAnsi"/>
        </w:rPr>
        <w:t>Note that a relatively low score does not necessarily indicate that the dimension does not have a strong influence on resilience capacity;  in some cases it is because its indicator is highly correlated with another indicator for which there is greater variability in the data.</w:t>
      </w:r>
    </w:p>
    <w:tbl>
      <w:tblPr>
        <w:tblW w:w="10318" w:type="dxa"/>
        <w:tblInd w:w="93" w:type="dxa"/>
        <w:tblLook w:val="04A0" w:firstRow="1" w:lastRow="0" w:firstColumn="1" w:lastColumn="0" w:noHBand="0" w:noVBand="1"/>
      </w:tblPr>
      <w:tblGrid>
        <w:gridCol w:w="6364"/>
        <w:gridCol w:w="3288"/>
        <w:gridCol w:w="222"/>
        <w:gridCol w:w="222"/>
        <w:gridCol w:w="222"/>
      </w:tblGrid>
      <w:tr w:rsidR="00227E67" w:rsidRPr="00227E67" w:rsidTr="00227E67">
        <w:trPr>
          <w:trHeight w:val="315"/>
        </w:trPr>
        <w:tc>
          <w:tcPr>
            <w:tcW w:w="10318" w:type="dxa"/>
            <w:gridSpan w:val="5"/>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b/>
                <w:bCs/>
                <w:color w:val="000000"/>
                <w:sz w:val="22"/>
                <w:szCs w:val="22"/>
              </w:rPr>
            </w:pPr>
            <w:r w:rsidRPr="00227E67">
              <w:rPr>
                <w:rFonts w:ascii="Calibri" w:eastAsia="Times New Roman" w:hAnsi="Calibri"/>
                <w:b/>
                <w:bCs/>
                <w:color w:val="000000"/>
                <w:sz w:val="22"/>
                <w:szCs w:val="22"/>
              </w:rPr>
              <w:t xml:space="preserve">Table 4.1  Principal components analysis scoring coefficients of resilience capacity index components </w:t>
            </w:r>
          </w:p>
        </w:tc>
      </w:tr>
      <w:tr w:rsidR="00227E67" w:rsidRPr="00227E67" w:rsidTr="00227E67">
        <w:trPr>
          <w:trHeight w:val="630"/>
        </w:trPr>
        <w:tc>
          <w:tcPr>
            <w:tcW w:w="6364" w:type="dxa"/>
            <w:tcBorders>
              <w:top w:val="single" w:sz="8" w:space="0" w:color="auto"/>
              <w:left w:val="nil"/>
              <w:bottom w:val="single" w:sz="4" w:space="0" w:color="auto"/>
              <w:right w:val="nil"/>
            </w:tcBorders>
            <w:shd w:val="clear" w:color="000000" w:fill="C4BD97"/>
            <w:noWrap/>
            <w:vAlign w:val="bottom"/>
            <w:hideMark/>
          </w:tcPr>
          <w:p w:rsidR="00227E67" w:rsidRPr="00227E67" w:rsidRDefault="00227E67" w:rsidP="00227E67">
            <w:pPr>
              <w:rPr>
                <w:rFonts w:ascii="Calibri" w:eastAsia="Times New Roman" w:hAnsi="Calibri"/>
                <w:color w:val="000000"/>
                <w:sz w:val="22"/>
                <w:szCs w:val="22"/>
              </w:rPr>
            </w:pPr>
            <w:r w:rsidRPr="00227E67">
              <w:rPr>
                <w:rFonts w:ascii="Calibri" w:eastAsia="Times New Roman" w:hAnsi="Calibri"/>
                <w:color w:val="000000"/>
                <w:sz w:val="22"/>
                <w:szCs w:val="22"/>
              </w:rPr>
              <w:t> </w:t>
            </w:r>
          </w:p>
        </w:tc>
        <w:tc>
          <w:tcPr>
            <w:tcW w:w="3288" w:type="dxa"/>
            <w:tcBorders>
              <w:top w:val="single" w:sz="8" w:space="0" w:color="auto"/>
              <w:left w:val="nil"/>
              <w:bottom w:val="single" w:sz="4" w:space="0" w:color="auto"/>
              <w:right w:val="nil"/>
            </w:tcBorders>
            <w:shd w:val="clear" w:color="000000" w:fill="C4BD97"/>
            <w:vAlign w:val="bottom"/>
            <w:hideMark/>
          </w:tcPr>
          <w:p w:rsidR="00227E67" w:rsidRPr="00227E67" w:rsidRDefault="00227E67" w:rsidP="00227E67">
            <w:pPr>
              <w:jc w:val="center"/>
              <w:rPr>
                <w:rFonts w:ascii="Calibri" w:eastAsia="Times New Roman" w:hAnsi="Calibri"/>
                <w:color w:val="000000"/>
                <w:sz w:val="22"/>
                <w:szCs w:val="22"/>
              </w:rPr>
            </w:pPr>
            <w:r w:rsidRPr="00227E67">
              <w:rPr>
                <w:rFonts w:ascii="Calibri" w:eastAsia="Times New Roman" w:hAnsi="Calibri"/>
                <w:color w:val="000000"/>
                <w:sz w:val="22"/>
                <w:szCs w:val="22"/>
              </w:rPr>
              <w:t>Scoring</w:t>
            </w:r>
            <w:r w:rsidRPr="00227E67">
              <w:rPr>
                <w:rFonts w:ascii="Calibri" w:eastAsia="Times New Roman" w:hAnsi="Calibri"/>
                <w:color w:val="000000"/>
                <w:sz w:val="22"/>
                <w:szCs w:val="22"/>
              </w:rPr>
              <w:br/>
              <w:t xml:space="preserve"> coefficient</w:t>
            </w: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r>
      <w:tr w:rsidR="00227E67" w:rsidRPr="00227E67" w:rsidTr="00227E67">
        <w:trPr>
          <w:trHeight w:val="300"/>
        </w:trPr>
        <w:tc>
          <w:tcPr>
            <w:tcW w:w="6364"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b/>
                <w:bCs/>
                <w:color w:val="000000"/>
                <w:sz w:val="22"/>
                <w:szCs w:val="22"/>
              </w:rPr>
            </w:pPr>
          </w:p>
        </w:tc>
        <w:tc>
          <w:tcPr>
            <w:tcW w:w="3288"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b/>
                <w:bCs/>
                <w:color w:val="000000"/>
                <w:sz w:val="22"/>
                <w:szCs w:val="22"/>
              </w:rPr>
            </w:pP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r>
      <w:tr w:rsidR="00227E67" w:rsidRPr="00227E67" w:rsidTr="00227E67">
        <w:trPr>
          <w:trHeight w:val="585"/>
        </w:trPr>
        <w:tc>
          <w:tcPr>
            <w:tcW w:w="6364" w:type="dxa"/>
            <w:tcBorders>
              <w:top w:val="nil"/>
              <w:left w:val="nil"/>
              <w:bottom w:val="nil"/>
              <w:right w:val="nil"/>
            </w:tcBorders>
            <w:shd w:val="clear" w:color="auto" w:fill="auto"/>
            <w:vAlign w:val="bottom"/>
            <w:hideMark/>
          </w:tcPr>
          <w:p w:rsidR="00227E67" w:rsidRPr="00227E67" w:rsidRDefault="00227E67" w:rsidP="00227E67">
            <w:pPr>
              <w:rPr>
                <w:rFonts w:ascii="Calibri" w:eastAsia="Times New Roman" w:hAnsi="Calibri"/>
                <w:color w:val="000000"/>
                <w:sz w:val="22"/>
                <w:szCs w:val="22"/>
              </w:rPr>
            </w:pPr>
            <w:r w:rsidRPr="00227E67">
              <w:rPr>
                <w:rFonts w:ascii="Calibri" w:eastAsia="Times New Roman" w:hAnsi="Calibri"/>
                <w:color w:val="000000"/>
                <w:sz w:val="22"/>
                <w:szCs w:val="22"/>
              </w:rPr>
              <w:t>Education (percent of households with an adult with a secondary or higher education</w:t>
            </w:r>
          </w:p>
        </w:tc>
        <w:tc>
          <w:tcPr>
            <w:tcW w:w="3288" w:type="dxa"/>
            <w:tcBorders>
              <w:top w:val="nil"/>
              <w:left w:val="nil"/>
              <w:bottom w:val="nil"/>
              <w:right w:val="nil"/>
            </w:tcBorders>
            <w:shd w:val="clear" w:color="auto" w:fill="auto"/>
            <w:noWrap/>
            <w:vAlign w:val="bottom"/>
            <w:hideMark/>
          </w:tcPr>
          <w:p w:rsidR="00227E67" w:rsidRPr="00227E67" w:rsidRDefault="00227E67" w:rsidP="00227E67">
            <w:pPr>
              <w:jc w:val="center"/>
              <w:rPr>
                <w:rFonts w:ascii="Calibri" w:eastAsia="Times New Roman" w:hAnsi="Calibri"/>
                <w:color w:val="000000"/>
                <w:sz w:val="22"/>
                <w:szCs w:val="22"/>
              </w:rPr>
            </w:pPr>
            <w:r w:rsidRPr="00227E67">
              <w:rPr>
                <w:rFonts w:ascii="Calibri" w:eastAsia="Times New Roman" w:hAnsi="Calibri"/>
                <w:color w:val="000000"/>
                <w:sz w:val="22"/>
                <w:szCs w:val="22"/>
              </w:rPr>
              <w:t>0.261</w:t>
            </w: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r>
      <w:tr w:rsidR="00227E67" w:rsidRPr="00227E67" w:rsidTr="00227E67">
        <w:trPr>
          <w:trHeight w:val="600"/>
        </w:trPr>
        <w:tc>
          <w:tcPr>
            <w:tcW w:w="6364" w:type="dxa"/>
            <w:tcBorders>
              <w:top w:val="nil"/>
              <w:left w:val="nil"/>
              <w:bottom w:val="nil"/>
              <w:right w:val="nil"/>
            </w:tcBorders>
            <w:shd w:val="clear" w:color="auto" w:fill="auto"/>
            <w:vAlign w:val="bottom"/>
            <w:hideMark/>
          </w:tcPr>
          <w:p w:rsidR="00227E67" w:rsidRPr="00227E67" w:rsidRDefault="00227E67" w:rsidP="00227E67">
            <w:pPr>
              <w:rPr>
                <w:rFonts w:ascii="Calibri" w:eastAsia="Times New Roman" w:hAnsi="Calibri"/>
                <w:color w:val="000000"/>
                <w:sz w:val="22"/>
                <w:szCs w:val="22"/>
              </w:rPr>
            </w:pPr>
            <w:r w:rsidRPr="00227E67">
              <w:rPr>
                <w:rFonts w:ascii="Calibri" w:eastAsia="Times New Roman" w:hAnsi="Calibri"/>
                <w:color w:val="000000"/>
                <w:sz w:val="22"/>
                <w:szCs w:val="22"/>
              </w:rPr>
              <w:t>Disability status (Percent of households with no disabled member)</w:t>
            </w:r>
          </w:p>
        </w:tc>
        <w:tc>
          <w:tcPr>
            <w:tcW w:w="3288" w:type="dxa"/>
            <w:tcBorders>
              <w:top w:val="nil"/>
              <w:left w:val="nil"/>
              <w:bottom w:val="nil"/>
              <w:right w:val="nil"/>
            </w:tcBorders>
            <w:shd w:val="clear" w:color="auto" w:fill="auto"/>
            <w:noWrap/>
            <w:vAlign w:val="bottom"/>
            <w:hideMark/>
          </w:tcPr>
          <w:p w:rsidR="00227E67" w:rsidRPr="00227E67" w:rsidRDefault="00227E67" w:rsidP="00227E67">
            <w:pPr>
              <w:jc w:val="center"/>
              <w:rPr>
                <w:rFonts w:ascii="Calibri" w:eastAsia="Times New Roman" w:hAnsi="Calibri"/>
                <w:color w:val="000000"/>
                <w:sz w:val="22"/>
                <w:szCs w:val="22"/>
              </w:rPr>
            </w:pPr>
            <w:r w:rsidRPr="00227E67">
              <w:rPr>
                <w:rFonts w:ascii="Calibri" w:eastAsia="Times New Roman" w:hAnsi="Calibri"/>
                <w:color w:val="000000"/>
                <w:sz w:val="22"/>
                <w:szCs w:val="22"/>
              </w:rPr>
              <w:t>0.141</w:t>
            </w: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r>
      <w:tr w:rsidR="00227E67" w:rsidRPr="00227E67" w:rsidTr="00227E67">
        <w:trPr>
          <w:trHeight w:val="300"/>
        </w:trPr>
        <w:tc>
          <w:tcPr>
            <w:tcW w:w="6364" w:type="dxa"/>
            <w:tcBorders>
              <w:top w:val="nil"/>
              <w:left w:val="nil"/>
              <w:bottom w:val="nil"/>
              <w:right w:val="nil"/>
            </w:tcBorders>
            <w:shd w:val="clear" w:color="auto" w:fill="auto"/>
            <w:vAlign w:val="bottom"/>
            <w:hideMark/>
          </w:tcPr>
          <w:p w:rsidR="00227E67" w:rsidRPr="00227E67" w:rsidRDefault="00227E67" w:rsidP="00227E67">
            <w:pPr>
              <w:rPr>
                <w:rFonts w:ascii="Calibri" w:eastAsia="Times New Roman" w:hAnsi="Calibri"/>
                <w:color w:val="000000"/>
                <w:sz w:val="22"/>
                <w:szCs w:val="22"/>
              </w:rPr>
            </w:pPr>
            <w:r w:rsidRPr="00227E67">
              <w:rPr>
                <w:rFonts w:ascii="Calibri" w:eastAsia="Times New Roman" w:hAnsi="Calibri"/>
                <w:color w:val="000000"/>
                <w:sz w:val="22"/>
                <w:szCs w:val="22"/>
              </w:rPr>
              <w:t>Percent of working-age members</w:t>
            </w:r>
          </w:p>
        </w:tc>
        <w:tc>
          <w:tcPr>
            <w:tcW w:w="3288" w:type="dxa"/>
            <w:tcBorders>
              <w:top w:val="nil"/>
              <w:left w:val="nil"/>
              <w:bottom w:val="nil"/>
              <w:right w:val="nil"/>
            </w:tcBorders>
            <w:shd w:val="clear" w:color="auto" w:fill="auto"/>
            <w:noWrap/>
            <w:vAlign w:val="bottom"/>
            <w:hideMark/>
          </w:tcPr>
          <w:p w:rsidR="00227E67" w:rsidRPr="00227E67" w:rsidRDefault="00227E67" w:rsidP="00227E67">
            <w:pPr>
              <w:jc w:val="center"/>
              <w:rPr>
                <w:rFonts w:ascii="Calibri" w:eastAsia="Times New Roman" w:hAnsi="Calibri"/>
                <w:color w:val="000000"/>
                <w:sz w:val="22"/>
                <w:szCs w:val="22"/>
              </w:rPr>
            </w:pPr>
            <w:r w:rsidRPr="00227E67">
              <w:rPr>
                <w:rFonts w:ascii="Calibri" w:eastAsia="Times New Roman" w:hAnsi="Calibri"/>
                <w:color w:val="000000"/>
                <w:sz w:val="22"/>
                <w:szCs w:val="22"/>
              </w:rPr>
              <w:t>0.124</w:t>
            </w: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r>
      <w:tr w:rsidR="00227E67" w:rsidRPr="00227E67" w:rsidTr="00227E67">
        <w:trPr>
          <w:trHeight w:val="300"/>
        </w:trPr>
        <w:tc>
          <w:tcPr>
            <w:tcW w:w="6364" w:type="dxa"/>
            <w:tcBorders>
              <w:top w:val="nil"/>
              <w:left w:val="nil"/>
              <w:bottom w:val="nil"/>
              <w:right w:val="nil"/>
            </w:tcBorders>
            <w:shd w:val="clear" w:color="auto" w:fill="auto"/>
            <w:vAlign w:val="bottom"/>
            <w:hideMark/>
          </w:tcPr>
          <w:p w:rsidR="00227E67" w:rsidRPr="00227E67" w:rsidRDefault="00227E67" w:rsidP="00227E67">
            <w:pPr>
              <w:rPr>
                <w:rFonts w:ascii="Calibri" w:eastAsia="Times New Roman" w:hAnsi="Calibri"/>
                <w:color w:val="000000"/>
                <w:sz w:val="22"/>
                <w:szCs w:val="22"/>
              </w:rPr>
            </w:pPr>
            <w:r w:rsidRPr="00227E67">
              <w:rPr>
                <w:rFonts w:ascii="Calibri" w:eastAsia="Times New Roman" w:hAnsi="Calibri"/>
                <w:color w:val="000000"/>
                <w:sz w:val="22"/>
                <w:szCs w:val="22"/>
              </w:rPr>
              <w:t>Employment ratio</w:t>
            </w:r>
          </w:p>
        </w:tc>
        <w:tc>
          <w:tcPr>
            <w:tcW w:w="3288" w:type="dxa"/>
            <w:tcBorders>
              <w:top w:val="nil"/>
              <w:left w:val="nil"/>
              <w:bottom w:val="nil"/>
              <w:right w:val="nil"/>
            </w:tcBorders>
            <w:shd w:val="clear" w:color="auto" w:fill="auto"/>
            <w:noWrap/>
            <w:vAlign w:val="bottom"/>
            <w:hideMark/>
          </w:tcPr>
          <w:p w:rsidR="00227E67" w:rsidRPr="00227E67" w:rsidRDefault="00227E67" w:rsidP="00227E67">
            <w:pPr>
              <w:jc w:val="center"/>
              <w:rPr>
                <w:rFonts w:ascii="Calibri" w:eastAsia="Times New Roman" w:hAnsi="Calibri"/>
                <w:color w:val="000000"/>
                <w:sz w:val="22"/>
                <w:szCs w:val="22"/>
              </w:rPr>
            </w:pPr>
            <w:r w:rsidRPr="00227E67">
              <w:rPr>
                <w:rFonts w:ascii="Calibri" w:eastAsia="Times New Roman" w:hAnsi="Calibri"/>
                <w:color w:val="000000"/>
                <w:sz w:val="22"/>
                <w:szCs w:val="22"/>
              </w:rPr>
              <w:t>0.554</w:t>
            </w: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r>
      <w:tr w:rsidR="00227E67" w:rsidRPr="00227E67" w:rsidTr="00227E67">
        <w:trPr>
          <w:trHeight w:val="300"/>
        </w:trPr>
        <w:tc>
          <w:tcPr>
            <w:tcW w:w="6364" w:type="dxa"/>
            <w:tcBorders>
              <w:top w:val="nil"/>
              <w:left w:val="nil"/>
              <w:bottom w:val="nil"/>
              <w:right w:val="nil"/>
            </w:tcBorders>
            <w:shd w:val="clear" w:color="auto" w:fill="auto"/>
            <w:vAlign w:val="bottom"/>
            <w:hideMark/>
          </w:tcPr>
          <w:p w:rsidR="00227E67" w:rsidRPr="00227E67" w:rsidRDefault="00227E67" w:rsidP="00227E67">
            <w:pPr>
              <w:rPr>
                <w:rFonts w:ascii="Calibri" w:eastAsia="Times New Roman" w:hAnsi="Calibri"/>
                <w:color w:val="000000"/>
                <w:sz w:val="22"/>
                <w:szCs w:val="22"/>
              </w:rPr>
            </w:pPr>
            <w:r w:rsidRPr="00227E67">
              <w:rPr>
                <w:rFonts w:ascii="Calibri" w:eastAsia="Times New Roman" w:hAnsi="Calibri"/>
                <w:color w:val="000000"/>
                <w:sz w:val="22"/>
                <w:szCs w:val="22"/>
              </w:rPr>
              <w:t>Full-time employment</w:t>
            </w:r>
          </w:p>
        </w:tc>
        <w:tc>
          <w:tcPr>
            <w:tcW w:w="3288" w:type="dxa"/>
            <w:tcBorders>
              <w:top w:val="nil"/>
              <w:left w:val="nil"/>
              <w:bottom w:val="nil"/>
              <w:right w:val="nil"/>
            </w:tcBorders>
            <w:shd w:val="clear" w:color="auto" w:fill="auto"/>
            <w:noWrap/>
            <w:vAlign w:val="bottom"/>
            <w:hideMark/>
          </w:tcPr>
          <w:p w:rsidR="00227E67" w:rsidRPr="00227E67" w:rsidRDefault="00227E67" w:rsidP="00227E67">
            <w:pPr>
              <w:jc w:val="center"/>
              <w:rPr>
                <w:rFonts w:ascii="Calibri" w:eastAsia="Times New Roman" w:hAnsi="Calibri"/>
                <w:color w:val="000000"/>
                <w:sz w:val="22"/>
                <w:szCs w:val="22"/>
              </w:rPr>
            </w:pPr>
            <w:r w:rsidRPr="00227E67">
              <w:rPr>
                <w:rFonts w:ascii="Calibri" w:eastAsia="Times New Roman" w:hAnsi="Calibri"/>
                <w:color w:val="000000"/>
                <w:sz w:val="22"/>
                <w:szCs w:val="22"/>
              </w:rPr>
              <w:t>0.433</w:t>
            </w: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r>
      <w:tr w:rsidR="00227E67" w:rsidRPr="00227E67" w:rsidTr="00227E67">
        <w:trPr>
          <w:trHeight w:val="300"/>
        </w:trPr>
        <w:tc>
          <w:tcPr>
            <w:tcW w:w="6364" w:type="dxa"/>
            <w:tcBorders>
              <w:top w:val="nil"/>
              <w:left w:val="nil"/>
              <w:bottom w:val="nil"/>
              <w:right w:val="nil"/>
            </w:tcBorders>
            <w:shd w:val="clear" w:color="auto" w:fill="auto"/>
            <w:vAlign w:val="bottom"/>
            <w:hideMark/>
          </w:tcPr>
          <w:p w:rsidR="00227E67" w:rsidRPr="00227E67" w:rsidRDefault="00227E67" w:rsidP="00227E67">
            <w:pPr>
              <w:rPr>
                <w:rFonts w:ascii="Calibri" w:eastAsia="Times New Roman" w:hAnsi="Calibri"/>
                <w:color w:val="000000"/>
                <w:sz w:val="22"/>
                <w:szCs w:val="22"/>
              </w:rPr>
            </w:pPr>
            <w:r w:rsidRPr="00227E67">
              <w:rPr>
                <w:rFonts w:ascii="Calibri" w:eastAsia="Times New Roman" w:hAnsi="Calibri"/>
                <w:color w:val="000000"/>
                <w:sz w:val="22"/>
                <w:szCs w:val="22"/>
              </w:rPr>
              <w:t>Employment diversity</w:t>
            </w:r>
          </w:p>
        </w:tc>
        <w:tc>
          <w:tcPr>
            <w:tcW w:w="3288" w:type="dxa"/>
            <w:tcBorders>
              <w:top w:val="nil"/>
              <w:left w:val="nil"/>
              <w:bottom w:val="nil"/>
              <w:right w:val="nil"/>
            </w:tcBorders>
            <w:shd w:val="clear" w:color="auto" w:fill="auto"/>
            <w:noWrap/>
            <w:vAlign w:val="bottom"/>
            <w:hideMark/>
          </w:tcPr>
          <w:p w:rsidR="00227E67" w:rsidRPr="00227E67" w:rsidRDefault="00227E67" w:rsidP="00227E67">
            <w:pPr>
              <w:jc w:val="center"/>
              <w:rPr>
                <w:rFonts w:ascii="Calibri" w:eastAsia="Times New Roman" w:hAnsi="Calibri"/>
                <w:color w:val="000000"/>
                <w:sz w:val="22"/>
                <w:szCs w:val="22"/>
              </w:rPr>
            </w:pPr>
            <w:r w:rsidRPr="00227E67">
              <w:rPr>
                <w:rFonts w:ascii="Calibri" w:eastAsia="Times New Roman" w:hAnsi="Calibri"/>
                <w:color w:val="000000"/>
                <w:sz w:val="22"/>
                <w:szCs w:val="22"/>
              </w:rPr>
              <w:t>0.535</w:t>
            </w: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r>
      <w:tr w:rsidR="00227E67" w:rsidRPr="00227E67" w:rsidTr="00227E67">
        <w:trPr>
          <w:trHeight w:val="300"/>
        </w:trPr>
        <w:tc>
          <w:tcPr>
            <w:tcW w:w="6364" w:type="dxa"/>
            <w:tcBorders>
              <w:top w:val="nil"/>
              <w:left w:val="nil"/>
              <w:bottom w:val="nil"/>
              <w:right w:val="nil"/>
            </w:tcBorders>
            <w:shd w:val="clear" w:color="auto" w:fill="auto"/>
            <w:vAlign w:val="bottom"/>
            <w:hideMark/>
          </w:tcPr>
          <w:p w:rsidR="00227E67" w:rsidRPr="00227E67" w:rsidRDefault="00227E67" w:rsidP="00227E67">
            <w:pPr>
              <w:rPr>
                <w:rFonts w:ascii="Calibri" w:eastAsia="Times New Roman" w:hAnsi="Calibri"/>
                <w:color w:val="000000"/>
                <w:sz w:val="22"/>
                <w:szCs w:val="22"/>
              </w:rPr>
            </w:pPr>
            <w:r w:rsidRPr="00227E67">
              <w:rPr>
                <w:rFonts w:ascii="Calibri" w:eastAsia="Times New Roman" w:hAnsi="Calibri"/>
                <w:color w:val="000000"/>
                <w:sz w:val="22"/>
                <w:szCs w:val="22"/>
              </w:rPr>
              <w:t>Income diversity</w:t>
            </w:r>
          </w:p>
        </w:tc>
        <w:tc>
          <w:tcPr>
            <w:tcW w:w="3288" w:type="dxa"/>
            <w:tcBorders>
              <w:top w:val="nil"/>
              <w:left w:val="nil"/>
              <w:bottom w:val="nil"/>
              <w:right w:val="nil"/>
            </w:tcBorders>
            <w:shd w:val="clear" w:color="auto" w:fill="auto"/>
            <w:noWrap/>
            <w:vAlign w:val="bottom"/>
            <w:hideMark/>
          </w:tcPr>
          <w:p w:rsidR="00227E67" w:rsidRPr="00227E67" w:rsidRDefault="00227E67" w:rsidP="00227E67">
            <w:pPr>
              <w:jc w:val="center"/>
              <w:rPr>
                <w:rFonts w:ascii="Calibri" w:eastAsia="Times New Roman" w:hAnsi="Calibri"/>
                <w:color w:val="000000"/>
                <w:sz w:val="22"/>
                <w:szCs w:val="22"/>
              </w:rPr>
            </w:pPr>
            <w:r w:rsidRPr="00227E67">
              <w:rPr>
                <w:rFonts w:ascii="Calibri" w:eastAsia="Times New Roman" w:hAnsi="Calibri"/>
                <w:color w:val="000000"/>
                <w:sz w:val="22"/>
                <w:szCs w:val="22"/>
              </w:rPr>
              <w:t>0.201</w:t>
            </w: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r>
      <w:tr w:rsidR="00227E67" w:rsidRPr="00227E67" w:rsidTr="00227E67">
        <w:trPr>
          <w:trHeight w:val="300"/>
        </w:trPr>
        <w:tc>
          <w:tcPr>
            <w:tcW w:w="6364" w:type="dxa"/>
            <w:tcBorders>
              <w:top w:val="nil"/>
              <w:left w:val="nil"/>
              <w:bottom w:val="nil"/>
              <w:right w:val="nil"/>
            </w:tcBorders>
            <w:shd w:val="clear" w:color="auto" w:fill="auto"/>
            <w:vAlign w:val="bottom"/>
            <w:hideMark/>
          </w:tcPr>
          <w:p w:rsidR="00227E67" w:rsidRPr="00227E67" w:rsidRDefault="00227E67" w:rsidP="00227E67">
            <w:pPr>
              <w:rPr>
                <w:rFonts w:ascii="Calibri" w:eastAsia="Times New Roman" w:hAnsi="Calibri"/>
                <w:color w:val="000000"/>
                <w:sz w:val="22"/>
                <w:szCs w:val="22"/>
              </w:rPr>
            </w:pPr>
            <w:r w:rsidRPr="00227E67">
              <w:rPr>
                <w:rFonts w:ascii="Calibri" w:eastAsia="Times New Roman" w:hAnsi="Calibri"/>
                <w:color w:val="000000"/>
                <w:sz w:val="22"/>
                <w:szCs w:val="22"/>
              </w:rPr>
              <w:t>Index of household asset ownership</w:t>
            </w:r>
          </w:p>
        </w:tc>
        <w:tc>
          <w:tcPr>
            <w:tcW w:w="3288" w:type="dxa"/>
            <w:tcBorders>
              <w:top w:val="nil"/>
              <w:left w:val="nil"/>
              <w:bottom w:val="nil"/>
              <w:right w:val="nil"/>
            </w:tcBorders>
            <w:shd w:val="clear" w:color="auto" w:fill="auto"/>
            <w:noWrap/>
            <w:vAlign w:val="bottom"/>
            <w:hideMark/>
          </w:tcPr>
          <w:p w:rsidR="00227E67" w:rsidRPr="00227E67" w:rsidRDefault="00227E67" w:rsidP="00227E67">
            <w:pPr>
              <w:jc w:val="center"/>
              <w:rPr>
                <w:rFonts w:ascii="Calibri" w:eastAsia="Times New Roman" w:hAnsi="Calibri"/>
                <w:color w:val="000000"/>
                <w:sz w:val="22"/>
                <w:szCs w:val="22"/>
              </w:rPr>
            </w:pPr>
            <w:r w:rsidRPr="00227E67">
              <w:rPr>
                <w:rFonts w:ascii="Calibri" w:eastAsia="Times New Roman" w:hAnsi="Calibri"/>
                <w:color w:val="000000"/>
                <w:sz w:val="22"/>
                <w:szCs w:val="22"/>
              </w:rPr>
              <w:t>0.276</w:t>
            </w: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r>
      <w:tr w:rsidR="00227E67" w:rsidRPr="00227E67" w:rsidTr="00227E67">
        <w:trPr>
          <w:trHeight w:val="300"/>
        </w:trPr>
        <w:tc>
          <w:tcPr>
            <w:tcW w:w="6364" w:type="dxa"/>
            <w:tcBorders>
              <w:top w:val="nil"/>
              <w:left w:val="nil"/>
              <w:bottom w:val="single" w:sz="8" w:space="0" w:color="auto"/>
              <w:right w:val="nil"/>
            </w:tcBorders>
            <w:shd w:val="clear" w:color="auto" w:fill="auto"/>
            <w:vAlign w:val="bottom"/>
            <w:hideMark/>
          </w:tcPr>
          <w:p w:rsidR="00227E67" w:rsidRPr="00227E67" w:rsidRDefault="00227E67" w:rsidP="00227E67">
            <w:pPr>
              <w:rPr>
                <w:rFonts w:ascii="Calibri" w:eastAsia="Times New Roman" w:hAnsi="Calibri"/>
                <w:color w:val="000000"/>
                <w:sz w:val="22"/>
                <w:szCs w:val="22"/>
              </w:rPr>
            </w:pPr>
            <w:r w:rsidRPr="00227E67">
              <w:rPr>
                <w:rFonts w:ascii="Calibri" w:eastAsia="Times New Roman" w:hAnsi="Calibri"/>
                <w:color w:val="000000"/>
                <w:sz w:val="22"/>
                <w:szCs w:val="22"/>
              </w:rPr>
              <w:t> </w:t>
            </w:r>
          </w:p>
        </w:tc>
        <w:tc>
          <w:tcPr>
            <w:tcW w:w="3288" w:type="dxa"/>
            <w:tcBorders>
              <w:top w:val="nil"/>
              <w:left w:val="nil"/>
              <w:bottom w:val="single" w:sz="8" w:space="0" w:color="auto"/>
              <w:right w:val="nil"/>
            </w:tcBorders>
            <w:shd w:val="clear" w:color="auto" w:fill="auto"/>
            <w:vAlign w:val="bottom"/>
            <w:hideMark/>
          </w:tcPr>
          <w:p w:rsidR="00227E67" w:rsidRPr="00227E67" w:rsidRDefault="00227E67" w:rsidP="00227E67">
            <w:pPr>
              <w:rPr>
                <w:rFonts w:ascii="Calibri" w:eastAsia="Times New Roman" w:hAnsi="Calibri"/>
                <w:color w:val="000000"/>
                <w:sz w:val="22"/>
                <w:szCs w:val="22"/>
              </w:rPr>
            </w:pPr>
            <w:r w:rsidRPr="00227E67">
              <w:rPr>
                <w:rFonts w:ascii="Calibri" w:eastAsia="Times New Roman" w:hAnsi="Calibri"/>
                <w:color w:val="000000"/>
                <w:sz w:val="22"/>
                <w:szCs w:val="22"/>
              </w:rPr>
              <w:t> </w:t>
            </w: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r>
      <w:tr w:rsidR="00227E67" w:rsidRPr="00227E67" w:rsidTr="00227E67">
        <w:trPr>
          <w:trHeight w:val="300"/>
        </w:trPr>
        <w:tc>
          <w:tcPr>
            <w:tcW w:w="6364"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c>
          <w:tcPr>
            <w:tcW w:w="3288"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c>
          <w:tcPr>
            <w:tcW w:w="222" w:type="dxa"/>
            <w:tcBorders>
              <w:top w:val="nil"/>
              <w:left w:val="nil"/>
              <w:bottom w:val="nil"/>
              <w:right w:val="nil"/>
            </w:tcBorders>
            <w:shd w:val="clear" w:color="auto" w:fill="auto"/>
            <w:noWrap/>
            <w:vAlign w:val="bottom"/>
            <w:hideMark/>
          </w:tcPr>
          <w:p w:rsidR="00227E67" w:rsidRPr="00227E67" w:rsidRDefault="00227E67" w:rsidP="00227E67">
            <w:pPr>
              <w:rPr>
                <w:rFonts w:ascii="Calibri" w:eastAsia="Times New Roman" w:hAnsi="Calibri"/>
                <w:color w:val="000000"/>
                <w:sz w:val="22"/>
                <w:szCs w:val="22"/>
              </w:rPr>
            </w:pPr>
          </w:p>
        </w:tc>
      </w:tr>
    </w:tbl>
    <w:p w:rsidR="00465AE7" w:rsidRDefault="004779FC" w:rsidP="004779FC">
      <w:pPr>
        <w:spacing w:after="200"/>
        <w:rPr>
          <w:rFonts w:asciiTheme="minorHAnsi" w:hAnsiTheme="minorHAnsi"/>
        </w:rPr>
      </w:pPr>
      <w:r>
        <w:rPr>
          <w:rFonts w:asciiTheme="minorHAnsi" w:hAnsiTheme="minorHAnsi"/>
        </w:rPr>
        <w:t>The new index improves on that presented in the Phase I report in that it is conceptually more coherent, being a measure of one single underlying concept.   Second, it covers all dimensions of that concept</w:t>
      </w:r>
      <w:r w:rsidR="00BC4EEE">
        <w:rPr>
          <w:rFonts w:asciiTheme="minorHAnsi" w:hAnsiTheme="minorHAnsi"/>
        </w:rPr>
        <w:t xml:space="preserve">, making fuller use of the available data, </w:t>
      </w:r>
      <w:r>
        <w:rPr>
          <w:rFonts w:asciiTheme="minorHAnsi" w:hAnsiTheme="minorHAnsi"/>
        </w:rPr>
        <w:t>except “social capital”, for which data are not collected in the SEFSec surveys.  Note that in the future, if the SEFSec questionnaire is to be revised, collection of data on an easily-measured indicator of social capital should be considered.</w:t>
      </w:r>
      <w:r w:rsidR="003E5107">
        <w:rPr>
          <w:rFonts w:asciiTheme="minorHAnsi" w:hAnsiTheme="minorHAnsi"/>
        </w:rPr>
        <w:t xml:space="preserve">  </w:t>
      </w:r>
      <w:r w:rsidR="00223B74">
        <w:rPr>
          <w:rFonts w:asciiTheme="minorHAnsi" w:hAnsiTheme="minorHAnsi"/>
        </w:rPr>
        <w:t>Finally, it is statistically stronger in that all index components have sufficiently large scoring coefficients to be legitimately included.</w:t>
      </w:r>
      <w:r w:rsidR="00223B74">
        <w:rPr>
          <w:rStyle w:val="FootnoteReference"/>
          <w:rFonts w:asciiTheme="minorHAnsi" w:hAnsiTheme="minorHAnsi"/>
        </w:rPr>
        <w:footnoteReference w:id="9"/>
      </w:r>
    </w:p>
    <w:p w:rsidR="00227E67" w:rsidRDefault="004779FC" w:rsidP="00227E67">
      <w:pPr>
        <w:rPr>
          <w:rFonts w:asciiTheme="minorHAnsi" w:hAnsiTheme="minorHAnsi"/>
        </w:rPr>
      </w:pPr>
      <w:r>
        <w:rPr>
          <w:rFonts w:asciiTheme="minorHAnsi" w:hAnsiTheme="minorHAnsi"/>
        </w:rPr>
        <w:t xml:space="preserve">Based on the SEFSec 2011 data, </w:t>
      </w:r>
      <w:r w:rsidR="003E5107">
        <w:rPr>
          <w:rFonts w:asciiTheme="minorHAnsi" w:hAnsiTheme="minorHAnsi"/>
        </w:rPr>
        <w:t>Table 4.1 reports the percent of households falling into each resilience capacity group a</w:t>
      </w:r>
      <w:r w:rsidR="00034E53">
        <w:rPr>
          <w:rFonts w:asciiTheme="minorHAnsi" w:hAnsiTheme="minorHAnsi"/>
        </w:rPr>
        <w:t xml:space="preserve">long with </w:t>
      </w:r>
      <w:r w:rsidR="003E5107">
        <w:rPr>
          <w:rFonts w:asciiTheme="minorHAnsi" w:hAnsiTheme="minorHAnsi"/>
        </w:rPr>
        <w:t xml:space="preserve">means of the underlying indicators used to construct the index for each group.  </w:t>
      </w:r>
      <w:r w:rsidR="00227E67">
        <w:rPr>
          <w:rFonts w:asciiTheme="minorHAnsi" w:hAnsiTheme="minorHAnsi"/>
        </w:rPr>
        <w:t xml:space="preserve"> </w:t>
      </w:r>
      <w:r w:rsidR="00227E67" w:rsidRPr="00184A5E">
        <w:rPr>
          <w:rFonts w:asciiTheme="minorHAnsi" w:hAnsiTheme="minorHAnsi"/>
        </w:rPr>
        <w:t>The internal consistency of the measure can be assessed by examining the patterns of variation of the indi</w:t>
      </w:r>
      <w:r w:rsidR="00227E67">
        <w:rPr>
          <w:rFonts w:asciiTheme="minorHAnsi" w:hAnsiTheme="minorHAnsi"/>
        </w:rPr>
        <w:t xml:space="preserve">cators </w:t>
      </w:r>
      <w:r w:rsidR="00227E67" w:rsidRPr="00184A5E">
        <w:rPr>
          <w:rFonts w:asciiTheme="minorHAnsi" w:hAnsiTheme="minorHAnsi"/>
        </w:rPr>
        <w:t xml:space="preserve">across the three </w:t>
      </w:r>
      <w:r w:rsidR="00227E67">
        <w:rPr>
          <w:rFonts w:asciiTheme="minorHAnsi" w:hAnsiTheme="minorHAnsi"/>
        </w:rPr>
        <w:t>groups</w:t>
      </w:r>
      <w:r w:rsidR="00227E67" w:rsidRPr="00184A5E">
        <w:rPr>
          <w:rFonts w:asciiTheme="minorHAnsi" w:hAnsiTheme="minorHAnsi"/>
        </w:rPr>
        <w:t xml:space="preserve">.   </w:t>
      </w:r>
      <w:r w:rsidR="00227E67">
        <w:rPr>
          <w:rFonts w:asciiTheme="minorHAnsi" w:hAnsiTheme="minorHAnsi"/>
        </w:rPr>
        <w:t>Although for some indicators there is little difference in the means between two of the groups</w:t>
      </w:r>
      <w:r w:rsidR="00F72B83">
        <w:rPr>
          <w:rStyle w:val="FootnoteReference"/>
          <w:rFonts w:asciiTheme="minorHAnsi" w:hAnsiTheme="minorHAnsi"/>
        </w:rPr>
        <w:footnoteReference w:id="10"/>
      </w:r>
      <w:r w:rsidR="00227E67">
        <w:rPr>
          <w:rFonts w:asciiTheme="minorHAnsi" w:hAnsiTheme="minorHAnsi"/>
        </w:rPr>
        <w:t xml:space="preserve">  the classification </w:t>
      </w:r>
      <w:r w:rsidR="00227E67" w:rsidRPr="00184A5E">
        <w:rPr>
          <w:rFonts w:asciiTheme="minorHAnsi" w:hAnsiTheme="minorHAnsi"/>
        </w:rPr>
        <w:lastRenderedPageBreak/>
        <w:t>separate</w:t>
      </w:r>
      <w:r w:rsidR="00227E67">
        <w:rPr>
          <w:rFonts w:asciiTheme="minorHAnsi" w:hAnsiTheme="minorHAnsi"/>
        </w:rPr>
        <w:t>s</w:t>
      </w:r>
      <w:r w:rsidR="00227E67" w:rsidRPr="00184A5E">
        <w:rPr>
          <w:rFonts w:asciiTheme="minorHAnsi" w:hAnsiTheme="minorHAnsi"/>
        </w:rPr>
        <w:t xml:space="preserve"> households into clearly different groups on the basis of the individual indicators</w:t>
      </w:r>
      <w:r w:rsidR="00F72B83">
        <w:rPr>
          <w:rFonts w:asciiTheme="minorHAnsi" w:hAnsiTheme="minorHAnsi"/>
        </w:rPr>
        <w:t>.  In almost all cases the indicators increase across the groups</w:t>
      </w:r>
      <w:r w:rsidR="00227E67" w:rsidRPr="00184A5E">
        <w:rPr>
          <w:rFonts w:asciiTheme="minorHAnsi" w:hAnsiTheme="minorHAnsi"/>
        </w:rPr>
        <w:t xml:space="preserve">.  </w:t>
      </w:r>
      <w:r w:rsidR="00227E67">
        <w:rPr>
          <w:rFonts w:asciiTheme="minorHAnsi" w:hAnsiTheme="minorHAnsi"/>
        </w:rPr>
        <w:t xml:space="preserve"> </w:t>
      </w:r>
    </w:p>
    <w:p w:rsidR="0077539D" w:rsidRDefault="0077539D" w:rsidP="00227E67">
      <w:pPr>
        <w:rPr>
          <w:rFonts w:asciiTheme="minorHAnsi" w:hAnsiTheme="minorHAnsi"/>
        </w:rPr>
      </w:pPr>
    </w:p>
    <w:tbl>
      <w:tblPr>
        <w:tblW w:w="9140" w:type="dxa"/>
        <w:tblInd w:w="93" w:type="dxa"/>
        <w:tblLook w:val="04A0" w:firstRow="1" w:lastRow="0" w:firstColumn="1" w:lastColumn="0" w:noHBand="0" w:noVBand="1"/>
      </w:tblPr>
      <w:tblGrid>
        <w:gridCol w:w="5650"/>
        <w:gridCol w:w="945"/>
        <w:gridCol w:w="1049"/>
        <w:gridCol w:w="777"/>
        <w:gridCol w:w="266"/>
        <w:gridCol w:w="718"/>
      </w:tblGrid>
      <w:tr w:rsidR="0077539D" w:rsidRPr="0077539D" w:rsidTr="0077539D">
        <w:trPr>
          <w:trHeight w:val="315"/>
        </w:trPr>
        <w:tc>
          <w:tcPr>
            <w:tcW w:w="9140" w:type="dxa"/>
            <w:gridSpan w:val="6"/>
            <w:tcBorders>
              <w:top w:val="nil"/>
              <w:left w:val="nil"/>
              <w:bottom w:val="nil"/>
              <w:right w:val="nil"/>
            </w:tcBorders>
            <w:shd w:val="clear" w:color="auto" w:fill="auto"/>
            <w:noWrap/>
            <w:vAlign w:val="bottom"/>
            <w:hideMark/>
          </w:tcPr>
          <w:p w:rsidR="0077539D" w:rsidRPr="0077539D" w:rsidRDefault="0077539D" w:rsidP="0077539D">
            <w:pPr>
              <w:rPr>
                <w:rFonts w:ascii="Calibri" w:eastAsia="Times New Roman" w:hAnsi="Calibri"/>
                <w:b/>
                <w:bCs/>
                <w:color w:val="000000"/>
                <w:sz w:val="22"/>
                <w:szCs w:val="22"/>
              </w:rPr>
            </w:pPr>
            <w:r w:rsidRPr="0077539D">
              <w:rPr>
                <w:rFonts w:ascii="Calibri" w:eastAsia="Times New Roman" w:hAnsi="Calibri"/>
                <w:b/>
                <w:bCs/>
                <w:color w:val="000000"/>
                <w:sz w:val="22"/>
                <w:szCs w:val="22"/>
              </w:rPr>
              <w:t>Table 4.2  Means of indicators of adaptive capacity and food security by resilience capacity group</w:t>
            </w:r>
          </w:p>
        </w:tc>
      </w:tr>
      <w:tr w:rsidR="0077539D" w:rsidRPr="0077539D" w:rsidTr="0077539D">
        <w:trPr>
          <w:trHeight w:val="300"/>
        </w:trPr>
        <w:tc>
          <w:tcPr>
            <w:tcW w:w="5650" w:type="dxa"/>
            <w:tcBorders>
              <w:top w:val="single" w:sz="8" w:space="0" w:color="auto"/>
              <w:left w:val="nil"/>
              <w:bottom w:val="single" w:sz="4" w:space="0" w:color="auto"/>
              <w:right w:val="nil"/>
            </w:tcBorders>
            <w:shd w:val="clear" w:color="000000" w:fill="C4BD97"/>
            <w:noWrap/>
            <w:vAlign w:val="bottom"/>
            <w:hideMark/>
          </w:tcPr>
          <w:p w:rsidR="0077539D" w:rsidRPr="0077539D" w:rsidRDefault="0077539D" w:rsidP="0077539D">
            <w:pPr>
              <w:rPr>
                <w:rFonts w:ascii="Calibri" w:eastAsia="Times New Roman" w:hAnsi="Calibri"/>
                <w:color w:val="000000"/>
                <w:sz w:val="22"/>
                <w:szCs w:val="22"/>
              </w:rPr>
            </w:pPr>
            <w:r w:rsidRPr="0077539D">
              <w:rPr>
                <w:rFonts w:ascii="Calibri" w:eastAsia="Times New Roman" w:hAnsi="Calibri"/>
                <w:color w:val="000000"/>
                <w:sz w:val="22"/>
                <w:szCs w:val="22"/>
              </w:rPr>
              <w:t> </w:t>
            </w:r>
          </w:p>
        </w:tc>
        <w:tc>
          <w:tcPr>
            <w:tcW w:w="945" w:type="dxa"/>
            <w:tcBorders>
              <w:top w:val="single" w:sz="8" w:space="0" w:color="auto"/>
              <w:left w:val="nil"/>
              <w:bottom w:val="single" w:sz="4" w:space="0" w:color="auto"/>
              <w:right w:val="nil"/>
            </w:tcBorders>
            <w:shd w:val="clear" w:color="000000" w:fill="C4BD97"/>
            <w:vAlign w:val="center"/>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Low</w:t>
            </w:r>
          </w:p>
        </w:tc>
        <w:tc>
          <w:tcPr>
            <w:tcW w:w="1049" w:type="dxa"/>
            <w:tcBorders>
              <w:top w:val="single" w:sz="8" w:space="0" w:color="auto"/>
              <w:left w:val="nil"/>
              <w:bottom w:val="single" w:sz="4" w:space="0" w:color="auto"/>
              <w:right w:val="nil"/>
            </w:tcBorders>
            <w:shd w:val="clear" w:color="000000" w:fill="C4BD97"/>
            <w:vAlign w:val="center"/>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Medium</w:t>
            </w:r>
          </w:p>
        </w:tc>
        <w:tc>
          <w:tcPr>
            <w:tcW w:w="777" w:type="dxa"/>
            <w:tcBorders>
              <w:top w:val="single" w:sz="8" w:space="0" w:color="auto"/>
              <w:left w:val="nil"/>
              <w:bottom w:val="single" w:sz="4" w:space="0" w:color="auto"/>
              <w:right w:val="nil"/>
            </w:tcBorders>
            <w:shd w:val="clear" w:color="000000" w:fill="C4BD97"/>
            <w:vAlign w:val="center"/>
            <w:hideMark/>
          </w:tcPr>
          <w:p w:rsidR="0077539D" w:rsidRPr="0077539D" w:rsidRDefault="0077539D" w:rsidP="0077539D">
            <w:pPr>
              <w:jc w:val="center"/>
              <w:rPr>
                <w:rFonts w:ascii="Arial" w:eastAsia="Times New Roman" w:hAnsi="Arial" w:cs="Arial"/>
                <w:sz w:val="20"/>
                <w:szCs w:val="20"/>
              </w:rPr>
            </w:pPr>
            <w:r w:rsidRPr="0077539D">
              <w:rPr>
                <w:rFonts w:ascii="Arial" w:eastAsia="Times New Roman" w:hAnsi="Arial" w:cs="Arial"/>
                <w:sz w:val="20"/>
                <w:szCs w:val="20"/>
              </w:rPr>
              <w:t>High</w:t>
            </w:r>
          </w:p>
        </w:tc>
        <w:tc>
          <w:tcPr>
            <w:tcW w:w="94" w:type="dxa"/>
            <w:tcBorders>
              <w:top w:val="single" w:sz="8" w:space="0" w:color="auto"/>
              <w:left w:val="nil"/>
              <w:bottom w:val="single" w:sz="4" w:space="0" w:color="auto"/>
              <w:right w:val="nil"/>
            </w:tcBorders>
            <w:shd w:val="clear" w:color="000000" w:fill="C4BD97"/>
            <w:noWrap/>
            <w:vAlign w:val="bottom"/>
            <w:hideMark/>
          </w:tcPr>
          <w:p w:rsidR="0077539D" w:rsidRPr="0077539D" w:rsidRDefault="0077539D" w:rsidP="0077539D">
            <w:pPr>
              <w:rPr>
                <w:rFonts w:ascii="Calibri" w:eastAsia="Times New Roman" w:hAnsi="Calibri"/>
                <w:color w:val="000000"/>
                <w:sz w:val="22"/>
                <w:szCs w:val="22"/>
              </w:rPr>
            </w:pPr>
            <w:r w:rsidRPr="0077539D">
              <w:rPr>
                <w:rFonts w:ascii="Calibri" w:eastAsia="Times New Roman" w:hAnsi="Calibri"/>
                <w:color w:val="000000"/>
                <w:sz w:val="22"/>
                <w:szCs w:val="22"/>
              </w:rPr>
              <w:t> </w:t>
            </w:r>
          </w:p>
        </w:tc>
        <w:tc>
          <w:tcPr>
            <w:tcW w:w="625" w:type="dxa"/>
            <w:tcBorders>
              <w:top w:val="single" w:sz="8" w:space="0" w:color="auto"/>
              <w:left w:val="nil"/>
              <w:bottom w:val="single" w:sz="4" w:space="0" w:color="auto"/>
              <w:right w:val="nil"/>
            </w:tcBorders>
            <w:shd w:val="clear" w:color="000000" w:fill="C4BD97"/>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All</w:t>
            </w:r>
          </w:p>
        </w:tc>
      </w:tr>
      <w:tr w:rsidR="0077539D" w:rsidRPr="0077539D" w:rsidTr="0077539D">
        <w:trPr>
          <w:trHeight w:val="300"/>
        </w:trPr>
        <w:tc>
          <w:tcPr>
            <w:tcW w:w="5650" w:type="dxa"/>
            <w:tcBorders>
              <w:top w:val="nil"/>
              <w:left w:val="nil"/>
              <w:bottom w:val="nil"/>
              <w:right w:val="nil"/>
            </w:tcBorders>
            <w:shd w:val="clear" w:color="auto" w:fill="auto"/>
            <w:noWrap/>
            <w:vAlign w:val="bottom"/>
            <w:hideMark/>
          </w:tcPr>
          <w:p w:rsidR="0077539D" w:rsidRPr="0077539D" w:rsidRDefault="0077539D" w:rsidP="0077539D">
            <w:pPr>
              <w:rPr>
                <w:rFonts w:ascii="Calibri" w:eastAsia="Times New Roman" w:hAnsi="Calibri"/>
                <w:b/>
                <w:bCs/>
                <w:color w:val="000000"/>
                <w:sz w:val="22"/>
                <w:szCs w:val="22"/>
              </w:rPr>
            </w:pPr>
          </w:p>
        </w:tc>
        <w:tc>
          <w:tcPr>
            <w:tcW w:w="94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p>
        </w:tc>
        <w:tc>
          <w:tcPr>
            <w:tcW w:w="1049" w:type="dxa"/>
            <w:tcBorders>
              <w:top w:val="nil"/>
              <w:left w:val="nil"/>
              <w:bottom w:val="nil"/>
              <w:right w:val="nil"/>
            </w:tcBorders>
            <w:shd w:val="clear" w:color="auto" w:fill="auto"/>
            <w:noWrap/>
            <w:vAlign w:val="center"/>
            <w:hideMark/>
          </w:tcPr>
          <w:p w:rsidR="0077539D" w:rsidRPr="0077539D" w:rsidRDefault="0077539D" w:rsidP="0077539D">
            <w:pPr>
              <w:jc w:val="center"/>
              <w:rPr>
                <w:rFonts w:ascii="Calibri" w:eastAsia="Times New Roman" w:hAnsi="Calibri"/>
                <w:sz w:val="22"/>
                <w:szCs w:val="22"/>
              </w:rPr>
            </w:pPr>
          </w:p>
        </w:tc>
        <w:tc>
          <w:tcPr>
            <w:tcW w:w="777" w:type="dxa"/>
            <w:tcBorders>
              <w:top w:val="nil"/>
              <w:left w:val="nil"/>
              <w:bottom w:val="nil"/>
              <w:right w:val="nil"/>
            </w:tcBorders>
            <w:shd w:val="clear" w:color="auto" w:fill="auto"/>
            <w:noWrap/>
            <w:vAlign w:val="center"/>
            <w:hideMark/>
          </w:tcPr>
          <w:p w:rsidR="0077539D" w:rsidRPr="0077539D" w:rsidRDefault="0077539D" w:rsidP="0077539D">
            <w:pPr>
              <w:jc w:val="center"/>
              <w:rPr>
                <w:rFonts w:ascii="Calibri" w:eastAsia="Times New Roman" w:hAnsi="Calibri"/>
                <w:sz w:val="22"/>
                <w:szCs w:val="22"/>
              </w:rPr>
            </w:pPr>
          </w:p>
        </w:tc>
        <w:tc>
          <w:tcPr>
            <w:tcW w:w="94"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p>
        </w:tc>
        <w:tc>
          <w:tcPr>
            <w:tcW w:w="62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p>
        </w:tc>
      </w:tr>
      <w:tr w:rsidR="0077539D" w:rsidRPr="0077539D" w:rsidTr="0077539D">
        <w:trPr>
          <w:trHeight w:val="300"/>
        </w:trPr>
        <w:tc>
          <w:tcPr>
            <w:tcW w:w="5650" w:type="dxa"/>
            <w:tcBorders>
              <w:top w:val="nil"/>
              <w:left w:val="nil"/>
              <w:bottom w:val="nil"/>
              <w:right w:val="nil"/>
            </w:tcBorders>
            <w:shd w:val="clear" w:color="auto" w:fill="auto"/>
            <w:noWrap/>
            <w:vAlign w:val="bottom"/>
            <w:hideMark/>
          </w:tcPr>
          <w:p w:rsidR="0077539D" w:rsidRPr="0077539D" w:rsidRDefault="0077539D" w:rsidP="0077539D">
            <w:pPr>
              <w:rPr>
                <w:rFonts w:ascii="Calibri" w:eastAsia="Times New Roman" w:hAnsi="Calibri"/>
                <w:b/>
                <w:bCs/>
                <w:color w:val="000000"/>
                <w:sz w:val="22"/>
                <w:szCs w:val="22"/>
              </w:rPr>
            </w:pPr>
            <w:r w:rsidRPr="0077539D">
              <w:rPr>
                <w:rFonts w:ascii="Calibri" w:eastAsia="Times New Roman" w:hAnsi="Calibri"/>
                <w:b/>
                <w:bCs/>
                <w:color w:val="000000"/>
                <w:sz w:val="22"/>
                <w:szCs w:val="22"/>
              </w:rPr>
              <w:t>Percent of households in resilience capacity groups</w:t>
            </w:r>
          </w:p>
        </w:tc>
        <w:tc>
          <w:tcPr>
            <w:tcW w:w="94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20.7</w:t>
            </w:r>
          </w:p>
        </w:tc>
        <w:tc>
          <w:tcPr>
            <w:tcW w:w="1049" w:type="dxa"/>
            <w:tcBorders>
              <w:top w:val="nil"/>
              <w:left w:val="nil"/>
              <w:bottom w:val="nil"/>
              <w:right w:val="nil"/>
            </w:tcBorders>
            <w:shd w:val="clear" w:color="auto" w:fill="auto"/>
            <w:noWrap/>
            <w:vAlign w:val="center"/>
            <w:hideMark/>
          </w:tcPr>
          <w:p w:rsidR="0077539D" w:rsidRPr="0077539D" w:rsidRDefault="0077539D" w:rsidP="0077539D">
            <w:pPr>
              <w:jc w:val="center"/>
              <w:rPr>
                <w:rFonts w:ascii="Calibri" w:eastAsia="Times New Roman" w:hAnsi="Calibri"/>
                <w:sz w:val="22"/>
                <w:szCs w:val="22"/>
              </w:rPr>
            </w:pPr>
            <w:r w:rsidRPr="0077539D">
              <w:rPr>
                <w:rFonts w:ascii="Calibri" w:eastAsia="Times New Roman" w:hAnsi="Calibri"/>
                <w:sz w:val="22"/>
                <w:szCs w:val="22"/>
              </w:rPr>
              <w:t>61.6</w:t>
            </w:r>
          </w:p>
        </w:tc>
        <w:tc>
          <w:tcPr>
            <w:tcW w:w="777" w:type="dxa"/>
            <w:tcBorders>
              <w:top w:val="nil"/>
              <w:left w:val="nil"/>
              <w:bottom w:val="nil"/>
              <w:right w:val="nil"/>
            </w:tcBorders>
            <w:shd w:val="clear" w:color="auto" w:fill="auto"/>
            <w:noWrap/>
            <w:vAlign w:val="center"/>
            <w:hideMark/>
          </w:tcPr>
          <w:p w:rsidR="0077539D" w:rsidRPr="0077539D" w:rsidRDefault="0077539D" w:rsidP="0077539D">
            <w:pPr>
              <w:jc w:val="center"/>
              <w:rPr>
                <w:rFonts w:ascii="Calibri" w:eastAsia="Times New Roman" w:hAnsi="Calibri"/>
                <w:sz w:val="22"/>
                <w:szCs w:val="22"/>
              </w:rPr>
            </w:pPr>
            <w:r w:rsidRPr="0077539D">
              <w:rPr>
                <w:rFonts w:ascii="Calibri" w:eastAsia="Times New Roman" w:hAnsi="Calibri"/>
                <w:sz w:val="22"/>
                <w:szCs w:val="22"/>
              </w:rPr>
              <w:t>17.6</w:t>
            </w:r>
          </w:p>
        </w:tc>
        <w:tc>
          <w:tcPr>
            <w:tcW w:w="94"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p>
        </w:tc>
        <w:tc>
          <w:tcPr>
            <w:tcW w:w="62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100</w:t>
            </w:r>
          </w:p>
        </w:tc>
      </w:tr>
      <w:tr w:rsidR="0077539D" w:rsidRPr="0077539D" w:rsidTr="0077539D">
        <w:trPr>
          <w:trHeight w:val="300"/>
        </w:trPr>
        <w:tc>
          <w:tcPr>
            <w:tcW w:w="5650" w:type="dxa"/>
            <w:tcBorders>
              <w:top w:val="nil"/>
              <w:left w:val="nil"/>
              <w:bottom w:val="nil"/>
              <w:right w:val="nil"/>
            </w:tcBorders>
            <w:shd w:val="clear" w:color="auto" w:fill="auto"/>
            <w:noWrap/>
            <w:vAlign w:val="bottom"/>
            <w:hideMark/>
          </w:tcPr>
          <w:p w:rsidR="0077539D" w:rsidRPr="0077539D" w:rsidRDefault="0077539D" w:rsidP="0077539D">
            <w:pPr>
              <w:rPr>
                <w:rFonts w:ascii="Calibri" w:eastAsia="Times New Roman" w:hAnsi="Calibri"/>
                <w:b/>
                <w:bCs/>
                <w:color w:val="000000"/>
                <w:sz w:val="22"/>
                <w:szCs w:val="22"/>
              </w:rPr>
            </w:pPr>
          </w:p>
        </w:tc>
        <w:tc>
          <w:tcPr>
            <w:tcW w:w="94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p>
        </w:tc>
        <w:tc>
          <w:tcPr>
            <w:tcW w:w="1049" w:type="dxa"/>
            <w:tcBorders>
              <w:top w:val="nil"/>
              <w:left w:val="nil"/>
              <w:bottom w:val="nil"/>
              <w:right w:val="nil"/>
            </w:tcBorders>
            <w:shd w:val="clear" w:color="auto" w:fill="auto"/>
            <w:noWrap/>
            <w:vAlign w:val="center"/>
            <w:hideMark/>
          </w:tcPr>
          <w:p w:rsidR="0077539D" w:rsidRPr="0077539D" w:rsidRDefault="0077539D" w:rsidP="0077539D">
            <w:pPr>
              <w:jc w:val="center"/>
              <w:rPr>
                <w:rFonts w:ascii="Calibri" w:eastAsia="Times New Roman" w:hAnsi="Calibri"/>
                <w:sz w:val="22"/>
                <w:szCs w:val="22"/>
              </w:rPr>
            </w:pPr>
          </w:p>
        </w:tc>
        <w:tc>
          <w:tcPr>
            <w:tcW w:w="777" w:type="dxa"/>
            <w:tcBorders>
              <w:top w:val="nil"/>
              <w:left w:val="nil"/>
              <w:bottom w:val="nil"/>
              <w:right w:val="nil"/>
            </w:tcBorders>
            <w:shd w:val="clear" w:color="auto" w:fill="auto"/>
            <w:noWrap/>
            <w:vAlign w:val="center"/>
            <w:hideMark/>
          </w:tcPr>
          <w:p w:rsidR="0077539D" w:rsidRPr="0077539D" w:rsidRDefault="0077539D" w:rsidP="0077539D">
            <w:pPr>
              <w:jc w:val="center"/>
              <w:rPr>
                <w:rFonts w:ascii="Calibri" w:eastAsia="Times New Roman" w:hAnsi="Calibri"/>
                <w:sz w:val="22"/>
                <w:szCs w:val="22"/>
              </w:rPr>
            </w:pPr>
          </w:p>
        </w:tc>
        <w:tc>
          <w:tcPr>
            <w:tcW w:w="94"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p>
        </w:tc>
        <w:tc>
          <w:tcPr>
            <w:tcW w:w="62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p>
        </w:tc>
      </w:tr>
      <w:tr w:rsidR="0077539D" w:rsidRPr="0077539D" w:rsidTr="0077539D">
        <w:trPr>
          <w:trHeight w:val="300"/>
        </w:trPr>
        <w:tc>
          <w:tcPr>
            <w:tcW w:w="5650" w:type="dxa"/>
            <w:tcBorders>
              <w:top w:val="nil"/>
              <w:left w:val="nil"/>
              <w:bottom w:val="nil"/>
              <w:right w:val="nil"/>
            </w:tcBorders>
            <w:shd w:val="clear" w:color="auto" w:fill="auto"/>
            <w:noWrap/>
            <w:vAlign w:val="bottom"/>
            <w:hideMark/>
          </w:tcPr>
          <w:p w:rsidR="0077539D" w:rsidRPr="0077539D" w:rsidRDefault="0077539D" w:rsidP="0077539D">
            <w:pPr>
              <w:rPr>
                <w:rFonts w:ascii="Calibri" w:eastAsia="Times New Roman" w:hAnsi="Calibri"/>
                <w:b/>
                <w:bCs/>
                <w:color w:val="000000"/>
                <w:sz w:val="22"/>
                <w:szCs w:val="22"/>
              </w:rPr>
            </w:pPr>
            <w:r w:rsidRPr="0077539D">
              <w:rPr>
                <w:rFonts w:ascii="Calibri" w:eastAsia="Times New Roman" w:hAnsi="Calibri"/>
                <w:b/>
                <w:bCs/>
                <w:color w:val="000000"/>
                <w:sz w:val="22"/>
                <w:szCs w:val="22"/>
              </w:rPr>
              <w:t>Index component means</w:t>
            </w:r>
          </w:p>
        </w:tc>
        <w:tc>
          <w:tcPr>
            <w:tcW w:w="94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p>
        </w:tc>
        <w:tc>
          <w:tcPr>
            <w:tcW w:w="1049" w:type="dxa"/>
            <w:tcBorders>
              <w:top w:val="nil"/>
              <w:left w:val="nil"/>
              <w:bottom w:val="nil"/>
              <w:right w:val="nil"/>
            </w:tcBorders>
            <w:shd w:val="clear" w:color="auto" w:fill="auto"/>
            <w:noWrap/>
            <w:vAlign w:val="center"/>
            <w:hideMark/>
          </w:tcPr>
          <w:p w:rsidR="0077539D" w:rsidRPr="0077539D" w:rsidRDefault="0077539D" w:rsidP="0077539D">
            <w:pPr>
              <w:jc w:val="center"/>
              <w:rPr>
                <w:rFonts w:ascii="Calibri" w:eastAsia="Times New Roman" w:hAnsi="Calibri"/>
                <w:sz w:val="22"/>
                <w:szCs w:val="22"/>
              </w:rPr>
            </w:pPr>
          </w:p>
        </w:tc>
        <w:tc>
          <w:tcPr>
            <w:tcW w:w="777" w:type="dxa"/>
            <w:tcBorders>
              <w:top w:val="nil"/>
              <w:left w:val="nil"/>
              <w:bottom w:val="nil"/>
              <w:right w:val="nil"/>
            </w:tcBorders>
            <w:shd w:val="clear" w:color="auto" w:fill="auto"/>
            <w:noWrap/>
            <w:vAlign w:val="center"/>
            <w:hideMark/>
          </w:tcPr>
          <w:p w:rsidR="0077539D" w:rsidRPr="0077539D" w:rsidRDefault="0077539D" w:rsidP="0077539D">
            <w:pPr>
              <w:jc w:val="center"/>
              <w:rPr>
                <w:rFonts w:ascii="Calibri" w:eastAsia="Times New Roman" w:hAnsi="Calibri"/>
                <w:sz w:val="22"/>
                <w:szCs w:val="22"/>
              </w:rPr>
            </w:pPr>
          </w:p>
        </w:tc>
        <w:tc>
          <w:tcPr>
            <w:tcW w:w="94"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p>
        </w:tc>
        <w:tc>
          <w:tcPr>
            <w:tcW w:w="62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p>
        </w:tc>
      </w:tr>
      <w:tr w:rsidR="0077539D" w:rsidRPr="0077539D" w:rsidTr="0077539D">
        <w:trPr>
          <w:trHeight w:val="615"/>
        </w:trPr>
        <w:tc>
          <w:tcPr>
            <w:tcW w:w="5650" w:type="dxa"/>
            <w:tcBorders>
              <w:top w:val="nil"/>
              <w:left w:val="nil"/>
              <w:bottom w:val="nil"/>
              <w:right w:val="nil"/>
            </w:tcBorders>
            <w:shd w:val="clear" w:color="auto" w:fill="auto"/>
            <w:vAlign w:val="bottom"/>
            <w:hideMark/>
          </w:tcPr>
          <w:p w:rsidR="0077539D" w:rsidRPr="0077539D" w:rsidRDefault="0077539D" w:rsidP="0077539D">
            <w:pPr>
              <w:rPr>
                <w:rFonts w:ascii="Calibri" w:eastAsia="Times New Roman" w:hAnsi="Calibri"/>
                <w:color w:val="000000"/>
                <w:sz w:val="22"/>
                <w:szCs w:val="22"/>
              </w:rPr>
            </w:pPr>
            <w:r w:rsidRPr="0077539D">
              <w:rPr>
                <w:rFonts w:ascii="Calibri" w:eastAsia="Times New Roman" w:hAnsi="Calibri"/>
                <w:color w:val="000000"/>
                <w:sz w:val="22"/>
                <w:szCs w:val="22"/>
              </w:rPr>
              <w:t>Education (percent of households with an adult with a secondary or higher education</w:t>
            </w:r>
          </w:p>
        </w:tc>
        <w:tc>
          <w:tcPr>
            <w:tcW w:w="94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43.2</w:t>
            </w:r>
          </w:p>
        </w:tc>
        <w:tc>
          <w:tcPr>
            <w:tcW w:w="1049"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74.0</w:t>
            </w:r>
          </w:p>
        </w:tc>
        <w:tc>
          <w:tcPr>
            <w:tcW w:w="777"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90.4</w:t>
            </w:r>
          </w:p>
        </w:tc>
        <w:tc>
          <w:tcPr>
            <w:tcW w:w="94"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p>
        </w:tc>
        <w:tc>
          <w:tcPr>
            <w:tcW w:w="62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70.4</w:t>
            </w:r>
          </w:p>
        </w:tc>
      </w:tr>
      <w:tr w:rsidR="0077539D" w:rsidRPr="0077539D" w:rsidTr="0077539D">
        <w:trPr>
          <w:trHeight w:val="600"/>
        </w:trPr>
        <w:tc>
          <w:tcPr>
            <w:tcW w:w="5650" w:type="dxa"/>
            <w:tcBorders>
              <w:top w:val="nil"/>
              <w:left w:val="nil"/>
              <w:bottom w:val="nil"/>
              <w:right w:val="nil"/>
            </w:tcBorders>
            <w:shd w:val="clear" w:color="auto" w:fill="auto"/>
            <w:vAlign w:val="bottom"/>
            <w:hideMark/>
          </w:tcPr>
          <w:p w:rsidR="0077539D" w:rsidRPr="0077539D" w:rsidRDefault="0077539D" w:rsidP="0077539D">
            <w:pPr>
              <w:rPr>
                <w:rFonts w:ascii="Calibri" w:eastAsia="Times New Roman" w:hAnsi="Calibri"/>
                <w:color w:val="000000"/>
                <w:sz w:val="22"/>
                <w:szCs w:val="22"/>
              </w:rPr>
            </w:pPr>
            <w:r w:rsidRPr="0077539D">
              <w:rPr>
                <w:rFonts w:ascii="Calibri" w:eastAsia="Times New Roman" w:hAnsi="Calibri"/>
                <w:color w:val="000000"/>
                <w:sz w:val="22"/>
                <w:szCs w:val="22"/>
              </w:rPr>
              <w:t>Disability status (Percent of households with no disabled member)</w:t>
            </w:r>
          </w:p>
        </w:tc>
        <w:tc>
          <w:tcPr>
            <w:tcW w:w="94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59.2</w:t>
            </w:r>
          </w:p>
        </w:tc>
        <w:tc>
          <w:tcPr>
            <w:tcW w:w="1049"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82.4</w:t>
            </w:r>
          </w:p>
        </w:tc>
        <w:tc>
          <w:tcPr>
            <w:tcW w:w="777"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82.2</w:t>
            </w:r>
          </w:p>
        </w:tc>
        <w:tc>
          <w:tcPr>
            <w:tcW w:w="94"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p>
        </w:tc>
        <w:tc>
          <w:tcPr>
            <w:tcW w:w="62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77.5</w:t>
            </w:r>
          </w:p>
        </w:tc>
      </w:tr>
      <w:tr w:rsidR="0077539D" w:rsidRPr="0077539D" w:rsidTr="0077539D">
        <w:trPr>
          <w:trHeight w:val="300"/>
        </w:trPr>
        <w:tc>
          <w:tcPr>
            <w:tcW w:w="5650" w:type="dxa"/>
            <w:tcBorders>
              <w:top w:val="nil"/>
              <w:left w:val="nil"/>
              <w:bottom w:val="nil"/>
              <w:right w:val="nil"/>
            </w:tcBorders>
            <w:shd w:val="clear" w:color="auto" w:fill="auto"/>
            <w:vAlign w:val="bottom"/>
            <w:hideMark/>
          </w:tcPr>
          <w:p w:rsidR="0077539D" w:rsidRPr="0077539D" w:rsidRDefault="0077539D" w:rsidP="0077539D">
            <w:pPr>
              <w:rPr>
                <w:rFonts w:ascii="Calibri" w:eastAsia="Times New Roman" w:hAnsi="Calibri"/>
                <w:color w:val="000000"/>
                <w:sz w:val="22"/>
                <w:szCs w:val="22"/>
              </w:rPr>
            </w:pPr>
            <w:r w:rsidRPr="0077539D">
              <w:rPr>
                <w:rFonts w:ascii="Calibri" w:eastAsia="Times New Roman" w:hAnsi="Calibri"/>
                <w:color w:val="000000"/>
                <w:sz w:val="22"/>
                <w:szCs w:val="22"/>
              </w:rPr>
              <w:t>Percent of working-age members</w:t>
            </w:r>
          </w:p>
        </w:tc>
        <w:tc>
          <w:tcPr>
            <w:tcW w:w="94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59.7</w:t>
            </w:r>
          </w:p>
        </w:tc>
        <w:tc>
          <w:tcPr>
            <w:tcW w:w="1049"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58.4</w:t>
            </w:r>
          </w:p>
        </w:tc>
        <w:tc>
          <w:tcPr>
            <w:tcW w:w="777"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71.6</w:t>
            </w:r>
          </w:p>
        </w:tc>
        <w:tc>
          <w:tcPr>
            <w:tcW w:w="94"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p>
        </w:tc>
        <w:tc>
          <w:tcPr>
            <w:tcW w:w="62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61.0</w:t>
            </w:r>
          </w:p>
        </w:tc>
      </w:tr>
      <w:tr w:rsidR="0077539D" w:rsidRPr="0077539D" w:rsidTr="0077539D">
        <w:trPr>
          <w:trHeight w:val="300"/>
        </w:trPr>
        <w:tc>
          <w:tcPr>
            <w:tcW w:w="5650" w:type="dxa"/>
            <w:tcBorders>
              <w:top w:val="nil"/>
              <w:left w:val="nil"/>
              <w:bottom w:val="nil"/>
              <w:right w:val="nil"/>
            </w:tcBorders>
            <w:shd w:val="clear" w:color="auto" w:fill="auto"/>
            <w:vAlign w:val="bottom"/>
            <w:hideMark/>
          </w:tcPr>
          <w:p w:rsidR="0077539D" w:rsidRPr="0077539D" w:rsidRDefault="0077539D" w:rsidP="0077539D">
            <w:pPr>
              <w:rPr>
                <w:rFonts w:ascii="Calibri" w:eastAsia="Times New Roman" w:hAnsi="Calibri"/>
                <w:color w:val="000000"/>
                <w:sz w:val="22"/>
                <w:szCs w:val="22"/>
              </w:rPr>
            </w:pPr>
            <w:r w:rsidRPr="0077539D">
              <w:rPr>
                <w:rFonts w:ascii="Calibri" w:eastAsia="Times New Roman" w:hAnsi="Calibri"/>
                <w:color w:val="000000"/>
                <w:sz w:val="22"/>
                <w:szCs w:val="22"/>
              </w:rPr>
              <w:t>Employment ratio</w:t>
            </w:r>
          </w:p>
        </w:tc>
        <w:tc>
          <w:tcPr>
            <w:tcW w:w="94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11.5</w:t>
            </w:r>
          </w:p>
        </w:tc>
        <w:tc>
          <w:tcPr>
            <w:tcW w:w="1049"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41.9</w:t>
            </w:r>
          </w:p>
        </w:tc>
        <w:tc>
          <w:tcPr>
            <w:tcW w:w="777"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61.8</w:t>
            </w:r>
          </w:p>
        </w:tc>
        <w:tc>
          <w:tcPr>
            <w:tcW w:w="94"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p>
        </w:tc>
        <w:tc>
          <w:tcPr>
            <w:tcW w:w="62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39.0</w:t>
            </w:r>
          </w:p>
        </w:tc>
      </w:tr>
      <w:tr w:rsidR="0077539D" w:rsidRPr="0077539D" w:rsidTr="0077539D">
        <w:trPr>
          <w:trHeight w:val="300"/>
        </w:trPr>
        <w:tc>
          <w:tcPr>
            <w:tcW w:w="5650" w:type="dxa"/>
            <w:tcBorders>
              <w:top w:val="nil"/>
              <w:left w:val="nil"/>
              <w:bottom w:val="nil"/>
              <w:right w:val="nil"/>
            </w:tcBorders>
            <w:shd w:val="clear" w:color="auto" w:fill="auto"/>
            <w:vAlign w:val="bottom"/>
            <w:hideMark/>
          </w:tcPr>
          <w:p w:rsidR="0077539D" w:rsidRPr="0077539D" w:rsidRDefault="0077539D" w:rsidP="0077539D">
            <w:pPr>
              <w:rPr>
                <w:rFonts w:ascii="Calibri" w:eastAsia="Times New Roman" w:hAnsi="Calibri"/>
                <w:color w:val="000000"/>
                <w:sz w:val="22"/>
                <w:szCs w:val="22"/>
              </w:rPr>
            </w:pPr>
            <w:r w:rsidRPr="0077539D">
              <w:rPr>
                <w:rFonts w:ascii="Calibri" w:eastAsia="Times New Roman" w:hAnsi="Calibri"/>
                <w:color w:val="000000"/>
                <w:sz w:val="22"/>
                <w:szCs w:val="22"/>
              </w:rPr>
              <w:t>Full-time employment</w:t>
            </w:r>
          </w:p>
        </w:tc>
        <w:tc>
          <w:tcPr>
            <w:tcW w:w="94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0.04</w:t>
            </w:r>
          </w:p>
        </w:tc>
        <w:tc>
          <w:tcPr>
            <w:tcW w:w="1049"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0.84</w:t>
            </w:r>
          </w:p>
        </w:tc>
        <w:tc>
          <w:tcPr>
            <w:tcW w:w="777"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1.97</w:t>
            </w:r>
          </w:p>
        </w:tc>
        <w:tc>
          <w:tcPr>
            <w:tcW w:w="94"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p>
        </w:tc>
        <w:tc>
          <w:tcPr>
            <w:tcW w:w="62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0.87</w:t>
            </w:r>
          </w:p>
        </w:tc>
      </w:tr>
      <w:tr w:rsidR="0077539D" w:rsidRPr="0077539D" w:rsidTr="0077539D">
        <w:trPr>
          <w:trHeight w:val="300"/>
        </w:trPr>
        <w:tc>
          <w:tcPr>
            <w:tcW w:w="5650" w:type="dxa"/>
            <w:tcBorders>
              <w:top w:val="nil"/>
              <w:left w:val="nil"/>
              <w:bottom w:val="nil"/>
              <w:right w:val="nil"/>
            </w:tcBorders>
            <w:shd w:val="clear" w:color="auto" w:fill="auto"/>
            <w:vAlign w:val="bottom"/>
            <w:hideMark/>
          </w:tcPr>
          <w:p w:rsidR="0077539D" w:rsidRPr="0077539D" w:rsidRDefault="0077539D" w:rsidP="0077539D">
            <w:pPr>
              <w:rPr>
                <w:rFonts w:ascii="Calibri" w:eastAsia="Times New Roman" w:hAnsi="Calibri"/>
                <w:color w:val="000000"/>
                <w:sz w:val="22"/>
                <w:szCs w:val="22"/>
              </w:rPr>
            </w:pPr>
            <w:r w:rsidRPr="0077539D">
              <w:rPr>
                <w:rFonts w:ascii="Calibri" w:eastAsia="Times New Roman" w:hAnsi="Calibri"/>
                <w:color w:val="000000"/>
                <w:sz w:val="22"/>
                <w:szCs w:val="22"/>
              </w:rPr>
              <w:t>Employment diversity</w:t>
            </w:r>
          </w:p>
        </w:tc>
        <w:tc>
          <w:tcPr>
            <w:tcW w:w="94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0.53</w:t>
            </w:r>
          </w:p>
        </w:tc>
        <w:tc>
          <w:tcPr>
            <w:tcW w:w="1049"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1.09</w:t>
            </w:r>
          </w:p>
        </w:tc>
        <w:tc>
          <w:tcPr>
            <w:tcW w:w="777"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2.09</w:t>
            </w:r>
          </w:p>
        </w:tc>
        <w:tc>
          <w:tcPr>
            <w:tcW w:w="94"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p>
        </w:tc>
        <w:tc>
          <w:tcPr>
            <w:tcW w:w="62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1.15</w:t>
            </w:r>
          </w:p>
        </w:tc>
      </w:tr>
      <w:tr w:rsidR="0077539D" w:rsidRPr="0077539D" w:rsidTr="0077539D">
        <w:trPr>
          <w:trHeight w:val="300"/>
        </w:trPr>
        <w:tc>
          <w:tcPr>
            <w:tcW w:w="5650" w:type="dxa"/>
            <w:tcBorders>
              <w:top w:val="nil"/>
              <w:left w:val="nil"/>
              <w:bottom w:val="nil"/>
              <w:right w:val="nil"/>
            </w:tcBorders>
            <w:shd w:val="clear" w:color="auto" w:fill="auto"/>
            <w:vAlign w:val="bottom"/>
            <w:hideMark/>
          </w:tcPr>
          <w:p w:rsidR="0077539D" w:rsidRPr="0077539D" w:rsidRDefault="0077539D" w:rsidP="0077539D">
            <w:pPr>
              <w:rPr>
                <w:rFonts w:ascii="Calibri" w:eastAsia="Times New Roman" w:hAnsi="Calibri"/>
                <w:color w:val="000000"/>
                <w:sz w:val="22"/>
                <w:szCs w:val="22"/>
              </w:rPr>
            </w:pPr>
            <w:r w:rsidRPr="0077539D">
              <w:rPr>
                <w:rFonts w:ascii="Calibri" w:eastAsia="Times New Roman" w:hAnsi="Calibri"/>
                <w:color w:val="000000"/>
                <w:sz w:val="22"/>
                <w:szCs w:val="22"/>
              </w:rPr>
              <w:t>Income diversity</w:t>
            </w:r>
          </w:p>
        </w:tc>
        <w:tc>
          <w:tcPr>
            <w:tcW w:w="94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1.82</w:t>
            </w:r>
          </w:p>
        </w:tc>
        <w:tc>
          <w:tcPr>
            <w:tcW w:w="1049"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1.75</w:t>
            </w:r>
          </w:p>
        </w:tc>
        <w:tc>
          <w:tcPr>
            <w:tcW w:w="777"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2.55</w:t>
            </w:r>
          </w:p>
        </w:tc>
        <w:tc>
          <w:tcPr>
            <w:tcW w:w="94"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p>
        </w:tc>
        <w:tc>
          <w:tcPr>
            <w:tcW w:w="62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1.90</w:t>
            </w:r>
          </w:p>
        </w:tc>
      </w:tr>
      <w:tr w:rsidR="0077539D" w:rsidRPr="0077539D" w:rsidTr="0077539D">
        <w:trPr>
          <w:trHeight w:val="300"/>
        </w:trPr>
        <w:tc>
          <w:tcPr>
            <w:tcW w:w="5650" w:type="dxa"/>
            <w:tcBorders>
              <w:top w:val="nil"/>
              <w:left w:val="nil"/>
              <w:bottom w:val="nil"/>
              <w:right w:val="nil"/>
            </w:tcBorders>
            <w:shd w:val="clear" w:color="auto" w:fill="auto"/>
            <w:vAlign w:val="bottom"/>
            <w:hideMark/>
          </w:tcPr>
          <w:p w:rsidR="0077539D" w:rsidRPr="0077539D" w:rsidRDefault="0077539D" w:rsidP="0077539D">
            <w:pPr>
              <w:rPr>
                <w:rFonts w:ascii="Calibri" w:eastAsia="Times New Roman" w:hAnsi="Calibri"/>
                <w:color w:val="000000"/>
                <w:sz w:val="22"/>
                <w:szCs w:val="22"/>
              </w:rPr>
            </w:pPr>
            <w:r w:rsidRPr="0077539D">
              <w:rPr>
                <w:rFonts w:ascii="Calibri" w:eastAsia="Times New Roman" w:hAnsi="Calibri"/>
                <w:color w:val="000000"/>
                <w:sz w:val="22"/>
                <w:szCs w:val="22"/>
              </w:rPr>
              <w:t>Index of household asset ownership</w:t>
            </w:r>
          </w:p>
        </w:tc>
        <w:tc>
          <w:tcPr>
            <w:tcW w:w="94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-1.27</w:t>
            </w:r>
          </w:p>
        </w:tc>
        <w:tc>
          <w:tcPr>
            <w:tcW w:w="1049"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0.21</w:t>
            </w:r>
          </w:p>
        </w:tc>
        <w:tc>
          <w:tcPr>
            <w:tcW w:w="777"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1.37</w:t>
            </w:r>
          </w:p>
        </w:tc>
        <w:tc>
          <w:tcPr>
            <w:tcW w:w="94"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p>
        </w:tc>
        <w:tc>
          <w:tcPr>
            <w:tcW w:w="62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0.11</w:t>
            </w:r>
          </w:p>
        </w:tc>
      </w:tr>
      <w:tr w:rsidR="0077539D" w:rsidRPr="0077539D" w:rsidTr="0077539D">
        <w:trPr>
          <w:trHeight w:val="300"/>
        </w:trPr>
        <w:tc>
          <w:tcPr>
            <w:tcW w:w="5650" w:type="dxa"/>
            <w:tcBorders>
              <w:top w:val="nil"/>
              <w:left w:val="nil"/>
              <w:bottom w:val="nil"/>
              <w:right w:val="nil"/>
            </w:tcBorders>
            <w:shd w:val="clear" w:color="auto" w:fill="auto"/>
            <w:vAlign w:val="bottom"/>
            <w:hideMark/>
          </w:tcPr>
          <w:p w:rsidR="0077539D" w:rsidRPr="0077539D" w:rsidRDefault="0077539D" w:rsidP="0077539D">
            <w:pPr>
              <w:rPr>
                <w:rFonts w:ascii="Calibri" w:eastAsia="Times New Roman" w:hAnsi="Calibri"/>
                <w:color w:val="000000"/>
                <w:sz w:val="22"/>
                <w:szCs w:val="22"/>
              </w:rPr>
            </w:pPr>
          </w:p>
        </w:tc>
        <w:tc>
          <w:tcPr>
            <w:tcW w:w="94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p>
        </w:tc>
        <w:tc>
          <w:tcPr>
            <w:tcW w:w="1049"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p>
        </w:tc>
        <w:tc>
          <w:tcPr>
            <w:tcW w:w="777"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p>
        </w:tc>
        <w:tc>
          <w:tcPr>
            <w:tcW w:w="94"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p>
        </w:tc>
        <w:tc>
          <w:tcPr>
            <w:tcW w:w="62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p>
        </w:tc>
      </w:tr>
      <w:tr w:rsidR="0077539D" w:rsidRPr="0077539D" w:rsidTr="0077539D">
        <w:trPr>
          <w:trHeight w:val="300"/>
        </w:trPr>
        <w:tc>
          <w:tcPr>
            <w:tcW w:w="5650" w:type="dxa"/>
            <w:tcBorders>
              <w:top w:val="nil"/>
              <w:left w:val="nil"/>
              <w:bottom w:val="nil"/>
              <w:right w:val="nil"/>
            </w:tcBorders>
            <w:shd w:val="clear" w:color="auto" w:fill="auto"/>
            <w:noWrap/>
            <w:vAlign w:val="bottom"/>
            <w:hideMark/>
          </w:tcPr>
          <w:p w:rsidR="0077539D" w:rsidRPr="0077539D" w:rsidRDefault="0077539D" w:rsidP="0077539D">
            <w:pPr>
              <w:rPr>
                <w:rFonts w:ascii="Calibri" w:eastAsia="Times New Roman" w:hAnsi="Calibri"/>
                <w:b/>
                <w:bCs/>
                <w:color w:val="000000"/>
                <w:sz w:val="22"/>
                <w:szCs w:val="22"/>
              </w:rPr>
            </w:pPr>
            <w:r w:rsidRPr="0077539D">
              <w:rPr>
                <w:rFonts w:ascii="Calibri" w:eastAsia="Times New Roman" w:hAnsi="Calibri"/>
                <w:b/>
                <w:bCs/>
                <w:color w:val="000000"/>
                <w:sz w:val="22"/>
                <w:szCs w:val="22"/>
              </w:rPr>
              <w:t>Food security indicator means</w:t>
            </w:r>
          </w:p>
        </w:tc>
        <w:tc>
          <w:tcPr>
            <w:tcW w:w="94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p>
        </w:tc>
        <w:tc>
          <w:tcPr>
            <w:tcW w:w="1049"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p>
        </w:tc>
        <w:tc>
          <w:tcPr>
            <w:tcW w:w="777"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p>
        </w:tc>
        <w:tc>
          <w:tcPr>
            <w:tcW w:w="94"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p>
        </w:tc>
        <w:tc>
          <w:tcPr>
            <w:tcW w:w="62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p>
        </w:tc>
      </w:tr>
      <w:tr w:rsidR="0077539D" w:rsidRPr="0077539D" w:rsidTr="0077539D">
        <w:trPr>
          <w:trHeight w:val="300"/>
        </w:trPr>
        <w:tc>
          <w:tcPr>
            <w:tcW w:w="5650" w:type="dxa"/>
            <w:tcBorders>
              <w:top w:val="nil"/>
              <w:left w:val="nil"/>
              <w:bottom w:val="nil"/>
              <w:right w:val="nil"/>
            </w:tcBorders>
            <w:shd w:val="clear" w:color="auto" w:fill="auto"/>
            <w:vAlign w:val="bottom"/>
            <w:hideMark/>
          </w:tcPr>
          <w:p w:rsidR="0077539D" w:rsidRPr="0077539D" w:rsidRDefault="0077539D" w:rsidP="0077539D">
            <w:pPr>
              <w:rPr>
                <w:rFonts w:ascii="Calibri" w:eastAsia="Times New Roman" w:hAnsi="Calibri"/>
                <w:color w:val="000000"/>
                <w:sz w:val="22"/>
                <w:szCs w:val="22"/>
              </w:rPr>
            </w:pPr>
            <w:r w:rsidRPr="0077539D">
              <w:rPr>
                <w:rFonts w:ascii="Calibri" w:eastAsia="Times New Roman" w:hAnsi="Calibri"/>
                <w:color w:val="000000"/>
                <w:sz w:val="22"/>
                <w:szCs w:val="22"/>
              </w:rPr>
              <w:t>Household food insecurity access scale</w:t>
            </w:r>
            <w:r>
              <w:rPr>
                <w:rFonts w:ascii="Calibri" w:eastAsia="Times New Roman" w:hAnsi="Calibri"/>
                <w:color w:val="000000"/>
                <w:sz w:val="22"/>
                <w:szCs w:val="22"/>
              </w:rPr>
              <w:t xml:space="preserve"> (HFIAS)</w:t>
            </w:r>
          </w:p>
        </w:tc>
        <w:tc>
          <w:tcPr>
            <w:tcW w:w="94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5.10</w:t>
            </w:r>
          </w:p>
        </w:tc>
        <w:tc>
          <w:tcPr>
            <w:tcW w:w="1049"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2.21</w:t>
            </w:r>
          </w:p>
        </w:tc>
        <w:tc>
          <w:tcPr>
            <w:tcW w:w="777"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1.41</w:t>
            </w:r>
          </w:p>
        </w:tc>
        <w:tc>
          <w:tcPr>
            <w:tcW w:w="94"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p>
        </w:tc>
        <w:tc>
          <w:tcPr>
            <w:tcW w:w="62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2.64</w:t>
            </w:r>
          </w:p>
        </w:tc>
      </w:tr>
      <w:tr w:rsidR="0077539D" w:rsidRPr="0077539D" w:rsidTr="0077539D">
        <w:trPr>
          <w:trHeight w:val="300"/>
        </w:trPr>
        <w:tc>
          <w:tcPr>
            <w:tcW w:w="5650" w:type="dxa"/>
            <w:tcBorders>
              <w:top w:val="nil"/>
              <w:left w:val="nil"/>
              <w:bottom w:val="nil"/>
              <w:right w:val="nil"/>
            </w:tcBorders>
            <w:shd w:val="clear" w:color="auto" w:fill="auto"/>
            <w:vAlign w:val="bottom"/>
            <w:hideMark/>
          </w:tcPr>
          <w:p w:rsidR="0077539D" w:rsidRPr="0077539D" w:rsidRDefault="0077539D" w:rsidP="0077539D">
            <w:pPr>
              <w:rPr>
                <w:rFonts w:ascii="Calibri" w:eastAsia="Times New Roman" w:hAnsi="Calibri"/>
                <w:color w:val="000000"/>
                <w:sz w:val="22"/>
                <w:szCs w:val="22"/>
              </w:rPr>
            </w:pPr>
            <w:r w:rsidRPr="0077539D">
              <w:rPr>
                <w:rFonts w:ascii="Calibri" w:eastAsia="Times New Roman" w:hAnsi="Calibri"/>
                <w:color w:val="000000"/>
                <w:sz w:val="22"/>
                <w:szCs w:val="22"/>
              </w:rPr>
              <w:t>Food consumption score</w:t>
            </w:r>
            <w:r>
              <w:rPr>
                <w:rFonts w:ascii="Calibri" w:eastAsia="Times New Roman" w:hAnsi="Calibri"/>
                <w:color w:val="000000"/>
                <w:sz w:val="22"/>
                <w:szCs w:val="22"/>
              </w:rPr>
              <w:t xml:space="preserve"> (FCS)</w:t>
            </w:r>
          </w:p>
        </w:tc>
        <w:tc>
          <w:tcPr>
            <w:tcW w:w="94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67.6</w:t>
            </w:r>
          </w:p>
        </w:tc>
        <w:tc>
          <w:tcPr>
            <w:tcW w:w="1049"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76.6</w:t>
            </w:r>
          </w:p>
        </w:tc>
        <w:tc>
          <w:tcPr>
            <w:tcW w:w="777"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80.5</w:t>
            </w:r>
          </w:p>
        </w:tc>
        <w:tc>
          <w:tcPr>
            <w:tcW w:w="94"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p>
        </w:tc>
        <w:tc>
          <w:tcPr>
            <w:tcW w:w="625" w:type="dxa"/>
            <w:tcBorders>
              <w:top w:val="nil"/>
              <w:left w:val="nil"/>
              <w:bottom w:val="nil"/>
              <w:right w:val="nil"/>
            </w:tcBorders>
            <w:shd w:val="clear" w:color="auto" w:fill="auto"/>
            <w:noWrap/>
            <w:vAlign w:val="bottom"/>
            <w:hideMark/>
          </w:tcPr>
          <w:p w:rsidR="0077539D" w:rsidRPr="0077539D" w:rsidRDefault="0077539D" w:rsidP="0077539D">
            <w:pPr>
              <w:jc w:val="center"/>
              <w:rPr>
                <w:rFonts w:ascii="Calibri" w:eastAsia="Times New Roman" w:hAnsi="Calibri"/>
                <w:color w:val="000000"/>
                <w:sz w:val="22"/>
                <w:szCs w:val="22"/>
              </w:rPr>
            </w:pPr>
            <w:r w:rsidRPr="0077539D">
              <w:rPr>
                <w:rFonts w:ascii="Calibri" w:eastAsia="Times New Roman" w:hAnsi="Calibri"/>
                <w:color w:val="000000"/>
                <w:sz w:val="22"/>
                <w:szCs w:val="22"/>
              </w:rPr>
              <w:t>75.20</w:t>
            </w:r>
          </w:p>
        </w:tc>
      </w:tr>
      <w:tr w:rsidR="0077539D" w:rsidRPr="0077539D" w:rsidTr="0077539D">
        <w:trPr>
          <w:trHeight w:val="135"/>
        </w:trPr>
        <w:tc>
          <w:tcPr>
            <w:tcW w:w="5650" w:type="dxa"/>
            <w:tcBorders>
              <w:top w:val="nil"/>
              <w:left w:val="nil"/>
              <w:bottom w:val="single" w:sz="8" w:space="0" w:color="auto"/>
              <w:right w:val="nil"/>
            </w:tcBorders>
            <w:shd w:val="clear" w:color="auto" w:fill="auto"/>
            <w:vAlign w:val="bottom"/>
            <w:hideMark/>
          </w:tcPr>
          <w:p w:rsidR="0077539D" w:rsidRPr="0077539D" w:rsidRDefault="0077539D" w:rsidP="0077539D">
            <w:pPr>
              <w:rPr>
                <w:rFonts w:ascii="Calibri" w:eastAsia="Times New Roman" w:hAnsi="Calibri"/>
                <w:color w:val="000000"/>
                <w:sz w:val="22"/>
                <w:szCs w:val="22"/>
              </w:rPr>
            </w:pPr>
            <w:r w:rsidRPr="0077539D">
              <w:rPr>
                <w:rFonts w:ascii="Calibri" w:eastAsia="Times New Roman" w:hAnsi="Calibri"/>
                <w:color w:val="000000"/>
                <w:sz w:val="22"/>
                <w:szCs w:val="22"/>
              </w:rPr>
              <w:t> </w:t>
            </w:r>
          </w:p>
        </w:tc>
        <w:tc>
          <w:tcPr>
            <w:tcW w:w="945" w:type="dxa"/>
            <w:tcBorders>
              <w:top w:val="nil"/>
              <w:left w:val="nil"/>
              <w:bottom w:val="single" w:sz="8" w:space="0" w:color="auto"/>
              <w:right w:val="nil"/>
            </w:tcBorders>
            <w:shd w:val="clear" w:color="auto" w:fill="auto"/>
            <w:vAlign w:val="bottom"/>
            <w:hideMark/>
          </w:tcPr>
          <w:p w:rsidR="0077539D" w:rsidRPr="0077539D" w:rsidRDefault="0077539D" w:rsidP="0077539D">
            <w:pPr>
              <w:rPr>
                <w:rFonts w:ascii="Calibri" w:eastAsia="Times New Roman" w:hAnsi="Calibri"/>
                <w:color w:val="000000"/>
                <w:sz w:val="22"/>
                <w:szCs w:val="22"/>
              </w:rPr>
            </w:pPr>
            <w:r w:rsidRPr="0077539D">
              <w:rPr>
                <w:rFonts w:ascii="Calibri" w:eastAsia="Times New Roman" w:hAnsi="Calibri"/>
                <w:color w:val="000000"/>
                <w:sz w:val="22"/>
                <w:szCs w:val="22"/>
              </w:rPr>
              <w:t> </w:t>
            </w:r>
          </w:p>
        </w:tc>
        <w:tc>
          <w:tcPr>
            <w:tcW w:w="1049" w:type="dxa"/>
            <w:tcBorders>
              <w:top w:val="nil"/>
              <w:left w:val="nil"/>
              <w:bottom w:val="single" w:sz="8" w:space="0" w:color="auto"/>
              <w:right w:val="nil"/>
            </w:tcBorders>
            <w:shd w:val="clear" w:color="auto" w:fill="auto"/>
            <w:noWrap/>
            <w:vAlign w:val="bottom"/>
            <w:hideMark/>
          </w:tcPr>
          <w:p w:rsidR="0077539D" w:rsidRPr="0077539D" w:rsidRDefault="0077539D" w:rsidP="0077539D">
            <w:pPr>
              <w:rPr>
                <w:rFonts w:ascii="Calibri" w:eastAsia="Times New Roman" w:hAnsi="Calibri"/>
                <w:color w:val="000000"/>
                <w:sz w:val="22"/>
                <w:szCs w:val="22"/>
              </w:rPr>
            </w:pPr>
            <w:r w:rsidRPr="0077539D">
              <w:rPr>
                <w:rFonts w:ascii="Calibri" w:eastAsia="Times New Roman" w:hAnsi="Calibri"/>
                <w:color w:val="000000"/>
                <w:sz w:val="22"/>
                <w:szCs w:val="22"/>
              </w:rPr>
              <w:t> </w:t>
            </w:r>
          </w:p>
        </w:tc>
        <w:tc>
          <w:tcPr>
            <w:tcW w:w="777" w:type="dxa"/>
            <w:tcBorders>
              <w:top w:val="nil"/>
              <w:left w:val="nil"/>
              <w:bottom w:val="single" w:sz="8" w:space="0" w:color="auto"/>
              <w:right w:val="nil"/>
            </w:tcBorders>
            <w:shd w:val="clear" w:color="auto" w:fill="auto"/>
            <w:noWrap/>
            <w:vAlign w:val="bottom"/>
            <w:hideMark/>
          </w:tcPr>
          <w:p w:rsidR="0077539D" w:rsidRPr="0077539D" w:rsidRDefault="0077539D" w:rsidP="0077539D">
            <w:pPr>
              <w:rPr>
                <w:rFonts w:ascii="Calibri" w:eastAsia="Times New Roman" w:hAnsi="Calibri"/>
                <w:color w:val="000000"/>
                <w:sz w:val="22"/>
                <w:szCs w:val="22"/>
              </w:rPr>
            </w:pPr>
            <w:r w:rsidRPr="0077539D">
              <w:rPr>
                <w:rFonts w:ascii="Calibri" w:eastAsia="Times New Roman" w:hAnsi="Calibri"/>
                <w:color w:val="000000"/>
                <w:sz w:val="22"/>
                <w:szCs w:val="22"/>
              </w:rPr>
              <w:t> </w:t>
            </w:r>
          </w:p>
        </w:tc>
        <w:tc>
          <w:tcPr>
            <w:tcW w:w="94" w:type="dxa"/>
            <w:tcBorders>
              <w:top w:val="nil"/>
              <w:left w:val="nil"/>
              <w:bottom w:val="single" w:sz="8" w:space="0" w:color="auto"/>
              <w:right w:val="nil"/>
            </w:tcBorders>
            <w:shd w:val="clear" w:color="auto" w:fill="auto"/>
            <w:noWrap/>
            <w:vAlign w:val="bottom"/>
            <w:hideMark/>
          </w:tcPr>
          <w:p w:rsidR="0077539D" w:rsidRPr="0077539D" w:rsidRDefault="0077539D" w:rsidP="0077539D">
            <w:pPr>
              <w:rPr>
                <w:rFonts w:ascii="Calibri" w:eastAsia="Times New Roman" w:hAnsi="Calibri"/>
                <w:color w:val="000000"/>
                <w:sz w:val="22"/>
                <w:szCs w:val="22"/>
              </w:rPr>
            </w:pPr>
            <w:r w:rsidRPr="0077539D">
              <w:rPr>
                <w:rFonts w:ascii="Calibri" w:eastAsia="Times New Roman" w:hAnsi="Calibri"/>
                <w:color w:val="000000"/>
                <w:sz w:val="22"/>
                <w:szCs w:val="22"/>
              </w:rPr>
              <w:t> </w:t>
            </w:r>
          </w:p>
        </w:tc>
        <w:tc>
          <w:tcPr>
            <w:tcW w:w="625" w:type="dxa"/>
            <w:tcBorders>
              <w:top w:val="nil"/>
              <w:left w:val="nil"/>
              <w:bottom w:val="single" w:sz="8" w:space="0" w:color="auto"/>
              <w:right w:val="nil"/>
            </w:tcBorders>
            <w:shd w:val="clear" w:color="auto" w:fill="auto"/>
            <w:noWrap/>
            <w:vAlign w:val="bottom"/>
            <w:hideMark/>
          </w:tcPr>
          <w:p w:rsidR="0077539D" w:rsidRPr="0077539D" w:rsidRDefault="0077539D" w:rsidP="0077539D">
            <w:pPr>
              <w:rPr>
                <w:rFonts w:ascii="Calibri" w:eastAsia="Times New Roman" w:hAnsi="Calibri"/>
                <w:color w:val="000000"/>
                <w:sz w:val="22"/>
                <w:szCs w:val="22"/>
              </w:rPr>
            </w:pPr>
            <w:r w:rsidRPr="0077539D">
              <w:rPr>
                <w:rFonts w:ascii="Calibri" w:eastAsia="Times New Roman" w:hAnsi="Calibri"/>
                <w:color w:val="000000"/>
                <w:sz w:val="22"/>
                <w:szCs w:val="22"/>
              </w:rPr>
              <w:t> </w:t>
            </w:r>
          </w:p>
        </w:tc>
      </w:tr>
      <w:tr w:rsidR="0077539D" w:rsidRPr="0077539D" w:rsidTr="0077539D">
        <w:trPr>
          <w:trHeight w:val="300"/>
        </w:trPr>
        <w:tc>
          <w:tcPr>
            <w:tcW w:w="5650" w:type="dxa"/>
            <w:tcBorders>
              <w:top w:val="nil"/>
              <w:left w:val="nil"/>
              <w:bottom w:val="nil"/>
              <w:right w:val="nil"/>
            </w:tcBorders>
            <w:shd w:val="clear" w:color="auto" w:fill="auto"/>
            <w:noWrap/>
            <w:vAlign w:val="bottom"/>
            <w:hideMark/>
          </w:tcPr>
          <w:p w:rsidR="0077539D" w:rsidRPr="0077539D" w:rsidRDefault="0077539D" w:rsidP="0077539D">
            <w:pPr>
              <w:rPr>
                <w:rFonts w:ascii="Calibri" w:eastAsia="Times New Roman" w:hAnsi="Calibri"/>
                <w:color w:val="000000"/>
                <w:sz w:val="22"/>
                <w:szCs w:val="22"/>
              </w:rPr>
            </w:pPr>
          </w:p>
        </w:tc>
        <w:tc>
          <w:tcPr>
            <w:tcW w:w="945" w:type="dxa"/>
            <w:tcBorders>
              <w:top w:val="nil"/>
              <w:left w:val="nil"/>
              <w:bottom w:val="nil"/>
              <w:right w:val="nil"/>
            </w:tcBorders>
            <w:shd w:val="clear" w:color="auto" w:fill="auto"/>
            <w:noWrap/>
            <w:vAlign w:val="bottom"/>
            <w:hideMark/>
          </w:tcPr>
          <w:p w:rsidR="0077539D" w:rsidRPr="0077539D" w:rsidRDefault="0077539D" w:rsidP="0077539D">
            <w:pPr>
              <w:rPr>
                <w:rFonts w:ascii="Calibri" w:eastAsia="Times New Roman" w:hAnsi="Calibri"/>
                <w:color w:val="000000"/>
                <w:sz w:val="22"/>
                <w:szCs w:val="22"/>
              </w:rPr>
            </w:pPr>
          </w:p>
        </w:tc>
        <w:tc>
          <w:tcPr>
            <w:tcW w:w="1049" w:type="dxa"/>
            <w:tcBorders>
              <w:top w:val="nil"/>
              <w:left w:val="nil"/>
              <w:bottom w:val="nil"/>
              <w:right w:val="nil"/>
            </w:tcBorders>
            <w:shd w:val="clear" w:color="auto" w:fill="auto"/>
            <w:noWrap/>
            <w:vAlign w:val="bottom"/>
            <w:hideMark/>
          </w:tcPr>
          <w:p w:rsidR="0077539D" w:rsidRPr="0077539D" w:rsidRDefault="0077539D" w:rsidP="0077539D">
            <w:pPr>
              <w:rPr>
                <w:rFonts w:ascii="Calibri" w:eastAsia="Times New Roman" w:hAnsi="Calibri"/>
                <w:color w:val="000000"/>
                <w:sz w:val="22"/>
                <w:szCs w:val="22"/>
              </w:rPr>
            </w:pPr>
          </w:p>
        </w:tc>
        <w:tc>
          <w:tcPr>
            <w:tcW w:w="777" w:type="dxa"/>
            <w:tcBorders>
              <w:top w:val="nil"/>
              <w:left w:val="nil"/>
              <w:bottom w:val="nil"/>
              <w:right w:val="nil"/>
            </w:tcBorders>
            <w:shd w:val="clear" w:color="auto" w:fill="auto"/>
            <w:noWrap/>
            <w:vAlign w:val="bottom"/>
            <w:hideMark/>
          </w:tcPr>
          <w:p w:rsidR="0077539D" w:rsidRPr="0077539D" w:rsidRDefault="0077539D" w:rsidP="0077539D">
            <w:pPr>
              <w:rPr>
                <w:rFonts w:ascii="Calibri" w:eastAsia="Times New Roman" w:hAnsi="Calibri"/>
                <w:color w:val="000000"/>
                <w:sz w:val="22"/>
                <w:szCs w:val="22"/>
              </w:rPr>
            </w:pPr>
          </w:p>
        </w:tc>
        <w:tc>
          <w:tcPr>
            <w:tcW w:w="94" w:type="dxa"/>
            <w:tcBorders>
              <w:top w:val="nil"/>
              <w:left w:val="nil"/>
              <w:bottom w:val="nil"/>
              <w:right w:val="nil"/>
            </w:tcBorders>
            <w:shd w:val="clear" w:color="auto" w:fill="auto"/>
            <w:noWrap/>
            <w:vAlign w:val="bottom"/>
            <w:hideMark/>
          </w:tcPr>
          <w:p w:rsidR="0077539D" w:rsidRPr="0077539D" w:rsidRDefault="0077539D" w:rsidP="0077539D">
            <w:pPr>
              <w:rPr>
                <w:rFonts w:ascii="Calibri" w:eastAsia="Times New Roman" w:hAnsi="Calibri"/>
                <w:color w:val="000000"/>
                <w:sz w:val="22"/>
                <w:szCs w:val="22"/>
              </w:rPr>
            </w:pPr>
          </w:p>
        </w:tc>
        <w:tc>
          <w:tcPr>
            <w:tcW w:w="625" w:type="dxa"/>
            <w:tcBorders>
              <w:top w:val="nil"/>
              <w:left w:val="nil"/>
              <w:bottom w:val="nil"/>
              <w:right w:val="nil"/>
            </w:tcBorders>
            <w:shd w:val="clear" w:color="auto" w:fill="auto"/>
            <w:noWrap/>
            <w:vAlign w:val="bottom"/>
            <w:hideMark/>
          </w:tcPr>
          <w:p w:rsidR="0077539D" w:rsidRPr="0077539D" w:rsidRDefault="0077539D" w:rsidP="0077539D">
            <w:pPr>
              <w:rPr>
                <w:rFonts w:ascii="Calibri" w:eastAsia="Times New Roman" w:hAnsi="Calibri"/>
                <w:color w:val="000000"/>
                <w:sz w:val="22"/>
                <w:szCs w:val="22"/>
              </w:rPr>
            </w:pPr>
          </w:p>
        </w:tc>
      </w:tr>
    </w:tbl>
    <w:p w:rsidR="00236F24" w:rsidRPr="0077539D" w:rsidRDefault="00F72B83" w:rsidP="006E64B7">
      <w:pPr>
        <w:pStyle w:val="ListParagraph"/>
        <w:ind w:left="0"/>
        <w:rPr>
          <w:rFonts w:asciiTheme="minorHAnsi" w:hAnsiTheme="minorHAnsi"/>
        </w:rPr>
      </w:pPr>
      <w:r>
        <w:rPr>
          <w:rFonts w:asciiTheme="minorHAnsi" w:hAnsiTheme="minorHAnsi"/>
        </w:rPr>
        <w:t xml:space="preserve">The classification also yields the expected relationship between </w:t>
      </w:r>
      <w:r w:rsidR="0077539D">
        <w:rPr>
          <w:rFonts w:asciiTheme="minorHAnsi" w:hAnsiTheme="minorHAnsi"/>
        </w:rPr>
        <w:t xml:space="preserve">resilience capacity </w:t>
      </w:r>
      <w:r>
        <w:rPr>
          <w:rFonts w:asciiTheme="minorHAnsi" w:hAnsiTheme="minorHAnsi"/>
        </w:rPr>
        <w:t>and</w:t>
      </w:r>
      <w:r w:rsidR="00613D35">
        <w:rPr>
          <w:rFonts w:asciiTheme="minorHAnsi" w:hAnsiTheme="minorHAnsi"/>
        </w:rPr>
        <w:t xml:space="preserve"> indicators of food consumption</w:t>
      </w:r>
      <w:r>
        <w:rPr>
          <w:rFonts w:asciiTheme="minorHAnsi" w:hAnsiTheme="minorHAnsi"/>
        </w:rPr>
        <w:t>:  t</w:t>
      </w:r>
      <w:r w:rsidR="0077539D">
        <w:rPr>
          <w:rFonts w:asciiTheme="minorHAnsi" w:hAnsiTheme="minorHAnsi"/>
        </w:rPr>
        <w:t xml:space="preserve">he higher </w:t>
      </w:r>
      <w:r>
        <w:rPr>
          <w:rFonts w:asciiTheme="minorHAnsi" w:hAnsiTheme="minorHAnsi"/>
        </w:rPr>
        <w:t xml:space="preserve">is </w:t>
      </w:r>
      <w:r w:rsidR="0077539D">
        <w:rPr>
          <w:rFonts w:asciiTheme="minorHAnsi" w:hAnsiTheme="minorHAnsi"/>
        </w:rPr>
        <w:t xml:space="preserve">resilience capacity, the lower is the mean HFIAS, </w:t>
      </w:r>
      <w:r w:rsidR="00613D35">
        <w:rPr>
          <w:rFonts w:asciiTheme="minorHAnsi" w:hAnsiTheme="minorHAnsi"/>
        </w:rPr>
        <w:t>(</w:t>
      </w:r>
      <w:r w:rsidR="0077539D">
        <w:rPr>
          <w:rFonts w:asciiTheme="minorHAnsi" w:hAnsiTheme="minorHAnsi"/>
        </w:rPr>
        <w:t xml:space="preserve">a scale measuring food </w:t>
      </w:r>
      <w:r w:rsidR="0077539D">
        <w:rPr>
          <w:rFonts w:asciiTheme="minorHAnsi" w:hAnsiTheme="minorHAnsi"/>
          <w:i/>
        </w:rPr>
        <w:t>in</w:t>
      </w:r>
      <w:r w:rsidR="0077539D">
        <w:rPr>
          <w:rFonts w:asciiTheme="minorHAnsi" w:hAnsiTheme="minorHAnsi"/>
        </w:rPr>
        <w:t>security</w:t>
      </w:r>
      <w:r w:rsidR="00613D35">
        <w:rPr>
          <w:rFonts w:asciiTheme="minorHAnsi" w:hAnsiTheme="minorHAnsi"/>
        </w:rPr>
        <w:t>)</w:t>
      </w:r>
      <w:r w:rsidR="0077539D">
        <w:rPr>
          <w:rFonts w:asciiTheme="minorHAnsi" w:hAnsiTheme="minorHAnsi"/>
        </w:rPr>
        <w:t>; the higher is resilience capacity the higher is the FCS</w:t>
      </w:r>
      <w:r w:rsidR="00A12695">
        <w:rPr>
          <w:rFonts w:asciiTheme="minorHAnsi" w:hAnsiTheme="minorHAnsi"/>
        </w:rPr>
        <w:t>, our indicator of dietary quality.</w:t>
      </w:r>
    </w:p>
    <w:p w:rsidR="00E17DE6" w:rsidRDefault="00E17DE6" w:rsidP="00236F24">
      <w:pPr>
        <w:pStyle w:val="ListParagraph"/>
        <w:ind w:firstLine="720"/>
        <w:rPr>
          <w:rFonts w:asciiTheme="minorHAnsi" w:hAnsiTheme="minorHAnsi"/>
        </w:rPr>
      </w:pPr>
    </w:p>
    <w:p w:rsidR="00CB791A" w:rsidRPr="00874196" w:rsidRDefault="00CB791A" w:rsidP="00874196">
      <w:pPr>
        <w:pStyle w:val="Heading3"/>
        <w:numPr>
          <w:ilvl w:val="0"/>
          <w:numId w:val="0"/>
        </w:numPr>
        <w:ind w:left="1260" w:hanging="540"/>
        <w:rPr>
          <w:rFonts w:asciiTheme="minorHAnsi" w:hAnsiTheme="minorHAnsi"/>
          <w:color w:val="365F91" w:themeColor="accent1" w:themeShade="BF"/>
          <w:sz w:val="28"/>
          <w:szCs w:val="28"/>
        </w:rPr>
      </w:pPr>
      <w:bookmarkStart w:id="32" w:name="_Toc395979714"/>
      <w:r w:rsidRPr="00874196">
        <w:rPr>
          <w:rFonts w:asciiTheme="minorHAnsi" w:hAnsiTheme="minorHAnsi"/>
          <w:color w:val="365F91" w:themeColor="accent1" w:themeShade="BF"/>
          <w:sz w:val="28"/>
          <w:szCs w:val="28"/>
        </w:rPr>
        <w:t xml:space="preserve">4.2   Implications </w:t>
      </w:r>
      <w:r w:rsidR="00053928" w:rsidRPr="00874196">
        <w:rPr>
          <w:rFonts w:asciiTheme="minorHAnsi" w:hAnsiTheme="minorHAnsi"/>
          <w:color w:val="365F91" w:themeColor="accent1" w:themeShade="BF"/>
          <w:sz w:val="28"/>
          <w:szCs w:val="28"/>
        </w:rPr>
        <w:t xml:space="preserve">for measuring food security </w:t>
      </w:r>
      <w:r w:rsidRPr="00874196">
        <w:rPr>
          <w:rFonts w:asciiTheme="minorHAnsi" w:hAnsiTheme="minorHAnsi"/>
          <w:color w:val="365F91" w:themeColor="accent1" w:themeShade="BF"/>
          <w:sz w:val="28"/>
          <w:szCs w:val="28"/>
        </w:rPr>
        <w:t>of including asset</w:t>
      </w:r>
      <w:r w:rsidR="00874196" w:rsidRPr="00874196">
        <w:rPr>
          <w:rFonts w:asciiTheme="minorHAnsi" w:hAnsiTheme="minorHAnsi"/>
          <w:color w:val="365F91" w:themeColor="accent1" w:themeShade="BF"/>
          <w:sz w:val="28"/>
          <w:szCs w:val="28"/>
        </w:rPr>
        <w:t xml:space="preserve"> </w:t>
      </w:r>
      <w:r w:rsidRPr="00874196">
        <w:rPr>
          <w:rFonts w:asciiTheme="minorHAnsi" w:hAnsiTheme="minorHAnsi"/>
          <w:color w:val="365F91" w:themeColor="accent1" w:themeShade="BF"/>
          <w:sz w:val="28"/>
          <w:szCs w:val="28"/>
        </w:rPr>
        <w:t xml:space="preserve">ownership </w:t>
      </w:r>
      <w:r w:rsidR="00874196">
        <w:rPr>
          <w:rFonts w:asciiTheme="minorHAnsi" w:hAnsiTheme="minorHAnsi"/>
          <w:color w:val="365F91" w:themeColor="accent1" w:themeShade="BF"/>
          <w:sz w:val="28"/>
          <w:szCs w:val="28"/>
        </w:rPr>
        <w:t xml:space="preserve"> </w:t>
      </w:r>
      <w:r w:rsidR="00053928" w:rsidRPr="00874196">
        <w:rPr>
          <w:rFonts w:asciiTheme="minorHAnsi" w:hAnsiTheme="minorHAnsi"/>
          <w:color w:val="365F91" w:themeColor="accent1" w:themeShade="BF"/>
          <w:sz w:val="28"/>
          <w:szCs w:val="28"/>
        </w:rPr>
        <w:t>in measures of both poverty and re</w:t>
      </w:r>
      <w:r w:rsidRPr="00874196">
        <w:rPr>
          <w:rFonts w:asciiTheme="minorHAnsi" w:hAnsiTheme="minorHAnsi"/>
          <w:color w:val="365F91" w:themeColor="accent1" w:themeShade="BF"/>
          <w:sz w:val="28"/>
          <w:szCs w:val="28"/>
        </w:rPr>
        <w:t>silience</w:t>
      </w:r>
      <w:bookmarkEnd w:id="32"/>
    </w:p>
    <w:p w:rsidR="002E19A9" w:rsidRPr="005C2695" w:rsidRDefault="002E19A9" w:rsidP="00A12695">
      <w:pPr>
        <w:pStyle w:val="ListParagraph"/>
        <w:spacing w:after="200"/>
        <w:ind w:left="763"/>
        <w:rPr>
          <w:rFonts w:asciiTheme="minorHAnsi" w:hAnsiTheme="minorHAnsi"/>
        </w:rPr>
      </w:pPr>
    </w:p>
    <w:p w:rsidR="00A12695" w:rsidRPr="002E19A9" w:rsidRDefault="00A12695" w:rsidP="003C2563">
      <w:pPr>
        <w:rPr>
          <w:b/>
          <w:lang w:val="en-GB"/>
        </w:rPr>
      </w:pPr>
      <w:r>
        <w:rPr>
          <w:rFonts w:asciiTheme="minorHAnsi" w:hAnsiTheme="minorHAnsi"/>
        </w:rPr>
        <w:t xml:space="preserve">As part of the Phase II analysis </w:t>
      </w:r>
      <w:r w:rsidR="00F72B83">
        <w:rPr>
          <w:rFonts w:asciiTheme="minorHAnsi" w:hAnsiTheme="minorHAnsi"/>
        </w:rPr>
        <w:t xml:space="preserve">agenda </w:t>
      </w:r>
      <w:r>
        <w:rPr>
          <w:rFonts w:asciiTheme="minorHAnsi" w:hAnsiTheme="minorHAnsi"/>
        </w:rPr>
        <w:t>the question as to whether employing indicator</w:t>
      </w:r>
      <w:r w:rsidR="00F72B83">
        <w:rPr>
          <w:rFonts w:asciiTheme="minorHAnsi" w:hAnsiTheme="minorHAnsi"/>
        </w:rPr>
        <w:t>s</w:t>
      </w:r>
      <w:r>
        <w:rPr>
          <w:rFonts w:asciiTheme="minorHAnsi" w:hAnsiTheme="minorHAnsi"/>
        </w:rPr>
        <w:t xml:space="preserve"> of asset ownership in </w:t>
      </w:r>
      <w:r w:rsidR="00F72B83">
        <w:rPr>
          <w:rFonts w:asciiTheme="minorHAnsi" w:hAnsiTheme="minorHAnsi"/>
        </w:rPr>
        <w:t xml:space="preserve">both the </w:t>
      </w:r>
      <w:r>
        <w:rPr>
          <w:rFonts w:asciiTheme="minorHAnsi" w:hAnsiTheme="minorHAnsi"/>
        </w:rPr>
        <w:t xml:space="preserve">resilience index </w:t>
      </w:r>
      <w:r w:rsidR="00F72B83">
        <w:rPr>
          <w:rFonts w:asciiTheme="minorHAnsi" w:hAnsiTheme="minorHAnsi"/>
        </w:rPr>
        <w:t xml:space="preserve">and poverty measure </w:t>
      </w:r>
      <w:r>
        <w:rPr>
          <w:rFonts w:asciiTheme="minorHAnsi" w:hAnsiTheme="minorHAnsi"/>
        </w:rPr>
        <w:t>“weakens or introduces any statistical problem to the final food security estimates”</w:t>
      </w:r>
      <w:r w:rsidR="00F72B83">
        <w:rPr>
          <w:rFonts w:asciiTheme="minorHAnsi" w:hAnsiTheme="minorHAnsi"/>
        </w:rPr>
        <w:t xml:space="preserve"> was raised</w:t>
      </w:r>
      <w:r>
        <w:rPr>
          <w:rFonts w:asciiTheme="minorHAnsi" w:hAnsiTheme="minorHAnsi"/>
        </w:rPr>
        <w:t>.   As mentioned in the Phase I report, empirically, measuring both poverty and resilience using asset ownership is not a problem as long as the final measures are not perfectly correlated.  In this case, resilience is measured using a wide variety of other variables than the asset index, and the final resilience index is formulated based on the inter-correlations of the asset index with these other indicators.  Further, the asset index does not dominate in calculation of the resilience index</w:t>
      </w:r>
      <w:r w:rsidR="00874196" w:rsidRPr="00B30983">
        <w:rPr>
          <w:rFonts w:asciiTheme="minorHAnsi" w:hAnsiTheme="minorHAnsi"/>
        </w:rPr>
        <w:t>—</w:t>
      </w:r>
      <w:r>
        <w:rPr>
          <w:rFonts w:asciiTheme="minorHAnsi" w:hAnsiTheme="minorHAnsi"/>
        </w:rPr>
        <w:t xml:space="preserve">its </w:t>
      </w:r>
      <w:r>
        <w:rPr>
          <w:rFonts w:asciiTheme="minorHAnsi" w:hAnsiTheme="minorHAnsi"/>
        </w:rPr>
        <w:lastRenderedPageBreak/>
        <w:t>factor loading ranks fourth out of the seven indicators included in the index.  Finally, only 8 assets are used for measuring poverty, while 24 are used for measuring resilience</w:t>
      </w:r>
      <w:r w:rsidR="003C2563">
        <w:rPr>
          <w:rFonts w:asciiTheme="minorHAnsi" w:hAnsiTheme="minorHAnsi"/>
        </w:rPr>
        <w:t xml:space="preserve">.   </w:t>
      </w:r>
      <w:r>
        <w:rPr>
          <w:rFonts w:asciiTheme="minorHAnsi" w:hAnsiTheme="minorHAnsi"/>
        </w:rPr>
        <w:t xml:space="preserve">We would thus not expect the two measures to be </w:t>
      </w:r>
      <w:r w:rsidR="00556EB1">
        <w:rPr>
          <w:rFonts w:asciiTheme="minorHAnsi" w:hAnsiTheme="minorHAnsi"/>
        </w:rPr>
        <w:t xml:space="preserve">strongly </w:t>
      </w:r>
      <w:r>
        <w:rPr>
          <w:rFonts w:asciiTheme="minorHAnsi" w:hAnsiTheme="minorHAnsi"/>
        </w:rPr>
        <w:t>correlated</w:t>
      </w:r>
      <w:r w:rsidR="00556EB1">
        <w:rPr>
          <w:rFonts w:asciiTheme="minorHAnsi" w:hAnsiTheme="minorHAnsi"/>
        </w:rPr>
        <w:t>.</w:t>
      </w:r>
      <w:r>
        <w:rPr>
          <w:rFonts w:asciiTheme="minorHAnsi" w:hAnsiTheme="minorHAnsi"/>
        </w:rPr>
        <w:t xml:space="preserve"> </w:t>
      </w:r>
    </w:p>
    <w:p w:rsidR="00556EB1" w:rsidRDefault="00556EB1">
      <w:pPr>
        <w:rPr>
          <w:rFonts w:asciiTheme="minorHAnsi" w:hAnsiTheme="minorHAnsi"/>
          <w:b/>
          <w:color w:val="365F91" w:themeColor="accent1" w:themeShade="BF"/>
          <w:sz w:val="28"/>
          <w:szCs w:val="28"/>
        </w:rPr>
      </w:pPr>
    </w:p>
    <w:p w:rsidR="00953514" w:rsidRDefault="00953514">
      <w:pPr>
        <w:rPr>
          <w:rFonts w:asciiTheme="minorHAnsi" w:eastAsiaTheme="majorEastAsia" w:hAnsiTheme="minorHAnsi" w:cstheme="majorBidi"/>
          <w:b/>
          <w:bCs/>
          <w:color w:val="365F91" w:themeColor="accent1" w:themeShade="BF"/>
          <w:sz w:val="28"/>
          <w:szCs w:val="28"/>
          <w:lang w:eastAsia="ja-JP"/>
        </w:rPr>
      </w:pPr>
      <w:r>
        <w:rPr>
          <w:rFonts w:asciiTheme="minorHAnsi" w:hAnsiTheme="minorHAnsi"/>
        </w:rPr>
        <w:br w:type="page"/>
      </w:r>
    </w:p>
    <w:p w:rsidR="00FA5E35" w:rsidRPr="00613506" w:rsidRDefault="00FA5E35" w:rsidP="0098190D">
      <w:pPr>
        <w:pStyle w:val="Heading1"/>
        <w:rPr>
          <w:rFonts w:asciiTheme="minorHAnsi" w:hAnsiTheme="minorHAnsi"/>
        </w:rPr>
      </w:pPr>
      <w:bookmarkStart w:id="33" w:name="_Toc395979715"/>
      <w:r w:rsidRPr="00613506">
        <w:rPr>
          <w:rFonts w:asciiTheme="minorHAnsi" w:hAnsiTheme="minorHAnsi"/>
        </w:rPr>
        <w:lastRenderedPageBreak/>
        <w:t>5.  Update of the definitions and terminologies of the SEFSec food security groups</w:t>
      </w:r>
      <w:bookmarkEnd w:id="33"/>
      <w:r w:rsidRPr="00613506">
        <w:rPr>
          <w:rFonts w:asciiTheme="minorHAnsi" w:hAnsiTheme="minorHAnsi"/>
        </w:rPr>
        <w:t xml:space="preserve"> </w:t>
      </w:r>
    </w:p>
    <w:p w:rsidR="00FA5E35" w:rsidRDefault="00FA5E35">
      <w:pPr>
        <w:rPr>
          <w:rFonts w:asciiTheme="minorHAnsi" w:hAnsiTheme="minorHAnsi"/>
          <w:b/>
          <w:color w:val="365F91" w:themeColor="accent1" w:themeShade="BF"/>
          <w:sz w:val="28"/>
          <w:szCs w:val="28"/>
        </w:rPr>
      </w:pPr>
    </w:p>
    <w:p w:rsidR="00953514" w:rsidRDefault="00953514">
      <w:pPr>
        <w:rPr>
          <w:rFonts w:asciiTheme="minorHAnsi" w:hAnsiTheme="minorHAnsi"/>
        </w:rPr>
      </w:pPr>
      <w:r>
        <w:rPr>
          <w:rFonts w:asciiTheme="minorHAnsi" w:hAnsiTheme="minorHAnsi"/>
        </w:rPr>
        <w:t xml:space="preserve">Table 5.1 contains the decision matrix from the Phase I report for creating the food security groupings.   The measures of poverty, resilience and food consumption status proposed in this report have the same number of categories for classifying households into groups (three each) and yield the same decision matrix (containing 27 groups).  The definitions of the SEFSec food security groups </w:t>
      </w:r>
      <w:r w:rsidR="00874196">
        <w:rPr>
          <w:rFonts w:asciiTheme="minorHAnsi" w:hAnsiTheme="minorHAnsi"/>
        </w:rPr>
        <w:t xml:space="preserve">(see Table 5.2) </w:t>
      </w:r>
      <w:r>
        <w:rPr>
          <w:rFonts w:asciiTheme="minorHAnsi" w:hAnsiTheme="minorHAnsi"/>
        </w:rPr>
        <w:t xml:space="preserve">similarly remain the same as those given in the Phase I report. </w:t>
      </w:r>
    </w:p>
    <w:p w:rsidR="00953514" w:rsidRDefault="00953514">
      <w:pPr>
        <w:rPr>
          <w:rFonts w:asciiTheme="minorHAnsi" w:hAnsiTheme="minorHAnsi"/>
        </w:rPr>
      </w:pPr>
    </w:p>
    <w:tbl>
      <w:tblPr>
        <w:tblW w:w="6961" w:type="dxa"/>
        <w:jc w:val="center"/>
        <w:tblLook w:val="04A0" w:firstRow="1" w:lastRow="0" w:firstColumn="1" w:lastColumn="0" w:noHBand="0" w:noVBand="1"/>
      </w:tblPr>
      <w:tblGrid>
        <w:gridCol w:w="1178"/>
        <w:gridCol w:w="1146"/>
        <w:gridCol w:w="1649"/>
        <w:gridCol w:w="1572"/>
        <w:gridCol w:w="1416"/>
      </w:tblGrid>
      <w:tr w:rsidR="00FA5E35" w:rsidRPr="00515C36" w:rsidTr="000A052A">
        <w:trPr>
          <w:trHeight w:val="315"/>
          <w:jc w:val="center"/>
        </w:trPr>
        <w:tc>
          <w:tcPr>
            <w:tcW w:w="6961" w:type="dxa"/>
            <w:gridSpan w:val="5"/>
            <w:tcBorders>
              <w:top w:val="nil"/>
              <w:left w:val="nil"/>
              <w:bottom w:val="nil"/>
              <w:right w:val="nil"/>
            </w:tcBorders>
            <w:shd w:val="clear" w:color="auto" w:fill="auto"/>
            <w:noWrap/>
            <w:vAlign w:val="center"/>
          </w:tcPr>
          <w:p w:rsidR="00FA5E35" w:rsidRPr="00515C36" w:rsidRDefault="00FA5E35" w:rsidP="00953514">
            <w:pPr>
              <w:pStyle w:val="Caption"/>
              <w:rPr>
                <w:rFonts w:ascii="Calibri" w:eastAsia="Times New Roman" w:hAnsi="Calibri"/>
                <w:color w:val="000000"/>
              </w:rPr>
            </w:pPr>
            <w:bookmarkStart w:id="34" w:name="_Toc382813963"/>
            <w:r>
              <w:t>Table</w:t>
            </w:r>
            <w:r w:rsidR="00953514">
              <w:t xml:space="preserve"> 5.1</w:t>
            </w:r>
            <w:r>
              <w:t xml:space="preserve">: </w:t>
            </w:r>
            <w:r w:rsidRPr="009F5C76">
              <w:t xml:space="preserve">Decision matrix for creating food security groupings for scenarios based on poverty, resilience and food </w:t>
            </w:r>
            <w:r>
              <w:t xml:space="preserve">consumption </w:t>
            </w:r>
            <w:r w:rsidRPr="009F5C76">
              <w:t>status</w:t>
            </w:r>
            <w:bookmarkEnd w:id="34"/>
          </w:p>
        </w:tc>
      </w:tr>
      <w:tr w:rsidR="00FA5E35" w:rsidRPr="00515C36" w:rsidTr="000A052A">
        <w:trPr>
          <w:trHeight w:val="300"/>
          <w:jc w:val="center"/>
        </w:trPr>
        <w:tc>
          <w:tcPr>
            <w:tcW w:w="1178" w:type="dxa"/>
            <w:tcBorders>
              <w:top w:val="nil"/>
              <w:left w:val="nil"/>
              <w:bottom w:val="nil"/>
              <w:right w:val="nil"/>
            </w:tcBorders>
            <w:shd w:val="clear" w:color="auto" w:fill="auto"/>
            <w:noWrap/>
            <w:vAlign w:val="bottom"/>
            <w:hideMark/>
          </w:tcPr>
          <w:p w:rsidR="00FA5E35" w:rsidRPr="00515C36" w:rsidRDefault="00FA5E35" w:rsidP="000A052A">
            <w:pPr>
              <w:rPr>
                <w:rFonts w:ascii="Calibri" w:eastAsia="Times New Roman" w:hAnsi="Calibri"/>
                <w:color w:val="000000"/>
                <w:sz w:val="22"/>
                <w:szCs w:val="22"/>
              </w:rPr>
            </w:pPr>
          </w:p>
        </w:tc>
        <w:tc>
          <w:tcPr>
            <w:tcW w:w="1146" w:type="dxa"/>
            <w:tcBorders>
              <w:top w:val="nil"/>
              <w:left w:val="nil"/>
              <w:bottom w:val="single" w:sz="4" w:space="0" w:color="auto"/>
              <w:right w:val="single" w:sz="4" w:space="0" w:color="auto"/>
            </w:tcBorders>
            <w:shd w:val="clear" w:color="auto" w:fill="auto"/>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c>
          <w:tcPr>
            <w:tcW w:w="4637" w:type="dxa"/>
            <w:gridSpan w:val="3"/>
            <w:tcBorders>
              <w:top w:val="single" w:sz="4" w:space="0" w:color="auto"/>
              <w:left w:val="nil"/>
              <w:bottom w:val="single" w:sz="4" w:space="0" w:color="auto"/>
              <w:right w:val="single" w:sz="4" w:space="0" w:color="000000"/>
            </w:tcBorders>
            <w:shd w:val="clear" w:color="auto" w:fill="auto"/>
            <w:vAlign w:val="bottom"/>
            <w:hideMark/>
          </w:tcPr>
          <w:p w:rsidR="00FA5E35" w:rsidRPr="00515C36" w:rsidRDefault="00FA5E35" w:rsidP="000A052A">
            <w:pPr>
              <w:jc w:val="center"/>
              <w:rPr>
                <w:rFonts w:ascii="Calibri" w:eastAsia="Times New Roman" w:hAnsi="Calibri"/>
                <w:color w:val="000000"/>
                <w:sz w:val="22"/>
                <w:szCs w:val="22"/>
              </w:rPr>
            </w:pPr>
            <w:r w:rsidRPr="00515C36">
              <w:rPr>
                <w:rFonts w:ascii="Calibri" w:eastAsia="Times New Roman" w:hAnsi="Calibri"/>
                <w:color w:val="000000"/>
                <w:sz w:val="22"/>
                <w:szCs w:val="22"/>
              </w:rPr>
              <w:t xml:space="preserve">Current food </w:t>
            </w:r>
            <w:r>
              <w:rPr>
                <w:rFonts w:ascii="Calibri" w:eastAsia="Times New Roman" w:hAnsi="Calibri"/>
                <w:color w:val="000000"/>
                <w:sz w:val="22"/>
                <w:szCs w:val="22"/>
              </w:rPr>
              <w:t xml:space="preserve">consumption </w:t>
            </w:r>
            <w:r w:rsidRPr="00515C36">
              <w:rPr>
                <w:rFonts w:ascii="Calibri" w:eastAsia="Times New Roman" w:hAnsi="Calibri"/>
                <w:color w:val="000000"/>
                <w:sz w:val="22"/>
                <w:szCs w:val="22"/>
              </w:rPr>
              <w:t>status</w:t>
            </w:r>
          </w:p>
        </w:tc>
      </w:tr>
      <w:tr w:rsidR="00FA5E35" w:rsidRPr="00515C36" w:rsidTr="000A052A">
        <w:trPr>
          <w:trHeight w:val="915"/>
          <w:jc w:val="center"/>
        </w:trPr>
        <w:tc>
          <w:tcPr>
            <w:tcW w:w="1178" w:type="dxa"/>
            <w:tcBorders>
              <w:top w:val="nil"/>
              <w:left w:val="nil"/>
              <w:bottom w:val="single" w:sz="4" w:space="0" w:color="auto"/>
              <w:right w:val="single" w:sz="4" w:space="0" w:color="auto"/>
            </w:tcBorders>
            <w:shd w:val="clear" w:color="auto" w:fill="auto"/>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c>
          <w:tcPr>
            <w:tcW w:w="1146" w:type="dxa"/>
            <w:tcBorders>
              <w:top w:val="nil"/>
              <w:left w:val="nil"/>
              <w:bottom w:val="single" w:sz="4" w:space="0" w:color="auto"/>
              <w:right w:val="single" w:sz="4" w:space="0" w:color="auto"/>
            </w:tcBorders>
            <w:shd w:val="clear" w:color="auto" w:fill="auto"/>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Resilience</w:t>
            </w:r>
          </w:p>
        </w:tc>
        <w:tc>
          <w:tcPr>
            <w:tcW w:w="1649" w:type="dxa"/>
            <w:tcBorders>
              <w:top w:val="nil"/>
              <w:left w:val="nil"/>
              <w:bottom w:val="single" w:sz="4" w:space="0" w:color="auto"/>
              <w:right w:val="single" w:sz="4" w:space="0" w:color="auto"/>
            </w:tcBorders>
            <w:shd w:val="clear" w:color="auto" w:fill="auto"/>
            <w:vAlign w:val="center"/>
            <w:hideMark/>
          </w:tcPr>
          <w:p w:rsidR="00FA5E35" w:rsidRDefault="00FA5E35" w:rsidP="000A052A">
            <w:pPr>
              <w:jc w:val="center"/>
              <w:rPr>
                <w:rFonts w:ascii="Calibri" w:eastAsia="Times New Roman" w:hAnsi="Calibri"/>
                <w:color w:val="000000"/>
                <w:sz w:val="22"/>
                <w:szCs w:val="22"/>
              </w:rPr>
            </w:pPr>
            <w:r w:rsidRPr="00515C36">
              <w:rPr>
                <w:rFonts w:ascii="Calibri" w:eastAsia="Times New Roman" w:hAnsi="Calibri"/>
                <w:color w:val="000000"/>
                <w:sz w:val="22"/>
                <w:szCs w:val="22"/>
              </w:rPr>
              <w:t xml:space="preserve">Severely </w:t>
            </w:r>
          </w:p>
          <w:p w:rsidR="00FA5E35" w:rsidRPr="00515C36" w:rsidRDefault="00FA5E35" w:rsidP="000A052A">
            <w:pPr>
              <w:jc w:val="center"/>
              <w:rPr>
                <w:rFonts w:ascii="Calibri" w:eastAsia="Times New Roman" w:hAnsi="Calibri"/>
                <w:color w:val="000000"/>
                <w:sz w:val="22"/>
                <w:szCs w:val="22"/>
              </w:rPr>
            </w:pPr>
            <w:r w:rsidRPr="00515C36">
              <w:rPr>
                <w:rFonts w:ascii="Calibri" w:eastAsia="Times New Roman" w:hAnsi="Calibri"/>
                <w:color w:val="000000"/>
                <w:sz w:val="22"/>
                <w:szCs w:val="22"/>
              </w:rPr>
              <w:t>food deprived</w:t>
            </w:r>
          </w:p>
        </w:tc>
        <w:tc>
          <w:tcPr>
            <w:tcW w:w="1572" w:type="dxa"/>
            <w:tcBorders>
              <w:top w:val="nil"/>
              <w:left w:val="nil"/>
              <w:bottom w:val="single" w:sz="4" w:space="0" w:color="auto"/>
              <w:right w:val="single" w:sz="4" w:space="0" w:color="auto"/>
            </w:tcBorders>
            <w:shd w:val="clear" w:color="auto" w:fill="auto"/>
            <w:vAlign w:val="center"/>
            <w:hideMark/>
          </w:tcPr>
          <w:p w:rsidR="00FA5E35" w:rsidRPr="00515C36" w:rsidRDefault="00FA5E35" w:rsidP="000A052A">
            <w:pPr>
              <w:jc w:val="center"/>
              <w:rPr>
                <w:rFonts w:ascii="Calibri" w:eastAsia="Times New Roman" w:hAnsi="Calibri"/>
                <w:color w:val="000000"/>
                <w:sz w:val="22"/>
                <w:szCs w:val="22"/>
              </w:rPr>
            </w:pPr>
            <w:r w:rsidRPr="00515C36">
              <w:rPr>
                <w:rFonts w:ascii="Calibri" w:eastAsia="Times New Roman" w:hAnsi="Calibri"/>
                <w:color w:val="000000"/>
                <w:sz w:val="22"/>
                <w:szCs w:val="22"/>
              </w:rPr>
              <w:t>Moderately food deprived</w:t>
            </w:r>
          </w:p>
        </w:tc>
        <w:tc>
          <w:tcPr>
            <w:tcW w:w="1416" w:type="dxa"/>
            <w:tcBorders>
              <w:top w:val="nil"/>
              <w:left w:val="nil"/>
              <w:bottom w:val="single" w:sz="4" w:space="0" w:color="auto"/>
              <w:right w:val="single" w:sz="4" w:space="0" w:color="auto"/>
            </w:tcBorders>
            <w:shd w:val="clear" w:color="auto" w:fill="auto"/>
            <w:vAlign w:val="center"/>
            <w:hideMark/>
          </w:tcPr>
          <w:p w:rsidR="00FA5E35" w:rsidRPr="00515C36" w:rsidRDefault="00FA5E35" w:rsidP="000A052A">
            <w:pPr>
              <w:jc w:val="center"/>
              <w:rPr>
                <w:rFonts w:ascii="Calibri" w:eastAsia="Times New Roman" w:hAnsi="Calibri"/>
                <w:color w:val="000000"/>
                <w:sz w:val="22"/>
                <w:szCs w:val="22"/>
              </w:rPr>
            </w:pPr>
            <w:r w:rsidRPr="00515C36">
              <w:rPr>
                <w:rFonts w:ascii="Calibri" w:eastAsia="Times New Roman" w:hAnsi="Calibri"/>
                <w:color w:val="000000"/>
                <w:sz w:val="22"/>
                <w:szCs w:val="22"/>
              </w:rPr>
              <w:t>Not food deprived</w:t>
            </w:r>
          </w:p>
        </w:tc>
      </w:tr>
      <w:tr w:rsidR="00FA5E35" w:rsidRPr="00515C36" w:rsidTr="000A052A">
        <w:trPr>
          <w:trHeight w:val="330"/>
          <w:jc w:val="center"/>
        </w:trPr>
        <w:tc>
          <w:tcPr>
            <w:tcW w:w="1178" w:type="dxa"/>
            <w:vMerge w:val="restart"/>
            <w:tcBorders>
              <w:top w:val="nil"/>
              <w:left w:val="single" w:sz="4" w:space="0" w:color="auto"/>
              <w:bottom w:val="single" w:sz="4" w:space="0" w:color="auto"/>
              <w:right w:val="single" w:sz="4" w:space="0" w:color="auto"/>
            </w:tcBorders>
            <w:shd w:val="clear" w:color="auto" w:fill="auto"/>
            <w:vAlign w:val="center"/>
            <w:hideMark/>
          </w:tcPr>
          <w:p w:rsidR="00FA5E35" w:rsidRPr="00515C36" w:rsidRDefault="00FA5E35" w:rsidP="000A052A">
            <w:pPr>
              <w:jc w:val="center"/>
              <w:rPr>
                <w:rFonts w:ascii="Calibri" w:eastAsia="Times New Roman" w:hAnsi="Calibri"/>
                <w:color w:val="000000"/>
                <w:sz w:val="22"/>
                <w:szCs w:val="22"/>
              </w:rPr>
            </w:pPr>
            <w:r w:rsidRPr="00515C36">
              <w:rPr>
                <w:rFonts w:ascii="Calibri" w:eastAsia="Times New Roman" w:hAnsi="Calibri"/>
                <w:color w:val="000000"/>
                <w:sz w:val="22"/>
                <w:szCs w:val="22"/>
              </w:rPr>
              <w:t xml:space="preserve">Deep </w:t>
            </w:r>
            <w:r w:rsidRPr="00515C36">
              <w:rPr>
                <w:rFonts w:ascii="Calibri" w:eastAsia="Times New Roman" w:hAnsi="Calibri"/>
                <w:color w:val="000000"/>
                <w:sz w:val="22"/>
                <w:szCs w:val="22"/>
              </w:rPr>
              <w:br/>
              <w:t>poor</w:t>
            </w:r>
          </w:p>
        </w:tc>
        <w:tc>
          <w:tcPr>
            <w:tcW w:w="1146" w:type="dxa"/>
            <w:tcBorders>
              <w:top w:val="nil"/>
              <w:left w:val="nil"/>
              <w:bottom w:val="single" w:sz="4" w:space="0" w:color="auto"/>
              <w:right w:val="single" w:sz="4" w:space="0" w:color="auto"/>
            </w:tcBorders>
            <w:shd w:val="clear" w:color="auto" w:fill="auto"/>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Low</w:t>
            </w:r>
          </w:p>
        </w:tc>
        <w:tc>
          <w:tcPr>
            <w:tcW w:w="1649" w:type="dxa"/>
            <w:tcBorders>
              <w:top w:val="nil"/>
              <w:left w:val="nil"/>
              <w:bottom w:val="single" w:sz="4" w:space="0" w:color="auto"/>
              <w:right w:val="single" w:sz="4" w:space="0" w:color="auto"/>
            </w:tcBorders>
            <w:shd w:val="clear" w:color="000000" w:fill="FF0000"/>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c>
          <w:tcPr>
            <w:tcW w:w="1572" w:type="dxa"/>
            <w:tcBorders>
              <w:top w:val="nil"/>
              <w:left w:val="nil"/>
              <w:bottom w:val="single" w:sz="4" w:space="0" w:color="auto"/>
              <w:right w:val="single" w:sz="4" w:space="0" w:color="auto"/>
            </w:tcBorders>
            <w:shd w:val="clear" w:color="000000" w:fill="FF0000"/>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c>
          <w:tcPr>
            <w:tcW w:w="1416" w:type="dxa"/>
            <w:tcBorders>
              <w:top w:val="nil"/>
              <w:left w:val="nil"/>
              <w:bottom w:val="single" w:sz="4" w:space="0" w:color="auto"/>
              <w:right w:val="single" w:sz="4" w:space="0" w:color="auto"/>
            </w:tcBorders>
            <w:shd w:val="clear" w:color="000000" w:fill="C4EC46"/>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r>
      <w:tr w:rsidR="00FA5E35" w:rsidRPr="00515C36" w:rsidTr="000A052A">
        <w:trPr>
          <w:trHeight w:val="300"/>
          <w:jc w:val="center"/>
        </w:trPr>
        <w:tc>
          <w:tcPr>
            <w:tcW w:w="1178" w:type="dxa"/>
            <w:vMerge/>
            <w:tcBorders>
              <w:top w:val="nil"/>
              <w:left w:val="single" w:sz="4" w:space="0" w:color="auto"/>
              <w:bottom w:val="single" w:sz="4" w:space="0" w:color="auto"/>
              <w:right w:val="single" w:sz="4" w:space="0" w:color="auto"/>
            </w:tcBorders>
            <w:vAlign w:val="center"/>
            <w:hideMark/>
          </w:tcPr>
          <w:p w:rsidR="00FA5E35" w:rsidRPr="00515C36" w:rsidRDefault="00FA5E35" w:rsidP="000A052A">
            <w:pPr>
              <w:rPr>
                <w:rFonts w:ascii="Calibri" w:eastAsia="Times New Roman" w:hAnsi="Calibri"/>
                <w:color w:val="000000"/>
                <w:sz w:val="22"/>
                <w:szCs w:val="22"/>
              </w:rPr>
            </w:pPr>
          </w:p>
        </w:tc>
        <w:tc>
          <w:tcPr>
            <w:tcW w:w="1146" w:type="dxa"/>
            <w:tcBorders>
              <w:top w:val="nil"/>
              <w:left w:val="nil"/>
              <w:bottom w:val="single" w:sz="4" w:space="0" w:color="auto"/>
              <w:right w:val="single" w:sz="4" w:space="0" w:color="auto"/>
            </w:tcBorders>
            <w:shd w:val="clear" w:color="auto" w:fill="auto"/>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Medium</w:t>
            </w:r>
          </w:p>
        </w:tc>
        <w:tc>
          <w:tcPr>
            <w:tcW w:w="1649" w:type="dxa"/>
            <w:tcBorders>
              <w:top w:val="nil"/>
              <w:left w:val="nil"/>
              <w:bottom w:val="single" w:sz="4" w:space="0" w:color="auto"/>
              <w:right w:val="single" w:sz="4" w:space="0" w:color="auto"/>
            </w:tcBorders>
            <w:shd w:val="clear" w:color="000000" w:fill="FF0000"/>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c>
          <w:tcPr>
            <w:tcW w:w="1572" w:type="dxa"/>
            <w:tcBorders>
              <w:top w:val="nil"/>
              <w:left w:val="nil"/>
              <w:bottom w:val="single" w:sz="4" w:space="0" w:color="auto"/>
              <w:right w:val="single" w:sz="4" w:space="0" w:color="auto"/>
            </w:tcBorders>
            <w:shd w:val="clear" w:color="000000" w:fill="FF0000"/>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c>
          <w:tcPr>
            <w:tcW w:w="1416" w:type="dxa"/>
            <w:tcBorders>
              <w:top w:val="nil"/>
              <w:left w:val="nil"/>
              <w:bottom w:val="single" w:sz="4" w:space="0" w:color="auto"/>
              <w:right w:val="single" w:sz="4" w:space="0" w:color="auto"/>
            </w:tcBorders>
            <w:shd w:val="clear" w:color="000000" w:fill="C4EC46"/>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r>
      <w:tr w:rsidR="00FA5E35" w:rsidRPr="00515C36" w:rsidTr="000A052A">
        <w:trPr>
          <w:trHeight w:val="300"/>
          <w:jc w:val="center"/>
        </w:trPr>
        <w:tc>
          <w:tcPr>
            <w:tcW w:w="1178" w:type="dxa"/>
            <w:vMerge/>
            <w:tcBorders>
              <w:top w:val="nil"/>
              <w:left w:val="single" w:sz="4" w:space="0" w:color="auto"/>
              <w:bottom w:val="single" w:sz="4" w:space="0" w:color="auto"/>
              <w:right w:val="single" w:sz="4" w:space="0" w:color="auto"/>
            </w:tcBorders>
            <w:vAlign w:val="center"/>
            <w:hideMark/>
          </w:tcPr>
          <w:p w:rsidR="00FA5E35" w:rsidRPr="00515C36" w:rsidRDefault="00FA5E35" w:rsidP="000A052A">
            <w:pPr>
              <w:rPr>
                <w:rFonts w:ascii="Calibri" w:eastAsia="Times New Roman" w:hAnsi="Calibri"/>
                <w:color w:val="000000"/>
                <w:sz w:val="22"/>
                <w:szCs w:val="22"/>
              </w:rPr>
            </w:pPr>
          </w:p>
        </w:tc>
        <w:tc>
          <w:tcPr>
            <w:tcW w:w="1146" w:type="dxa"/>
            <w:tcBorders>
              <w:top w:val="nil"/>
              <w:left w:val="nil"/>
              <w:bottom w:val="single" w:sz="4" w:space="0" w:color="auto"/>
              <w:right w:val="single" w:sz="4" w:space="0" w:color="auto"/>
            </w:tcBorders>
            <w:shd w:val="clear" w:color="auto" w:fill="auto"/>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High</w:t>
            </w:r>
          </w:p>
        </w:tc>
        <w:tc>
          <w:tcPr>
            <w:tcW w:w="1649" w:type="dxa"/>
            <w:tcBorders>
              <w:top w:val="nil"/>
              <w:left w:val="nil"/>
              <w:bottom w:val="single" w:sz="4" w:space="0" w:color="auto"/>
              <w:right w:val="single" w:sz="4" w:space="0" w:color="auto"/>
            </w:tcBorders>
            <w:shd w:val="clear" w:color="000000" w:fill="FF0000"/>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c>
          <w:tcPr>
            <w:tcW w:w="1572" w:type="dxa"/>
            <w:tcBorders>
              <w:top w:val="nil"/>
              <w:left w:val="nil"/>
              <w:bottom w:val="single" w:sz="4" w:space="0" w:color="auto"/>
              <w:right w:val="single" w:sz="4" w:space="0" w:color="auto"/>
            </w:tcBorders>
            <w:shd w:val="clear" w:color="000000" w:fill="FF0000"/>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c>
          <w:tcPr>
            <w:tcW w:w="1416" w:type="dxa"/>
            <w:tcBorders>
              <w:top w:val="nil"/>
              <w:left w:val="nil"/>
              <w:bottom w:val="single" w:sz="4" w:space="0" w:color="auto"/>
              <w:right w:val="single" w:sz="4" w:space="0" w:color="auto"/>
            </w:tcBorders>
            <w:shd w:val="clear" w:color="000000" w:fill="C4EC46"/>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r>
      <w:tr w:rsidR="00FA5E35" w:rsidRPr="00515C36" w:rsidTr="000A052A">
        <w:trPr>
          <w:trHeight w:val="300"/>
          <w:jc w:val="center"/>
        </w:trPr>
        <w:tc>
          <w:tcPr>
            <w:tcW w:w="1178" w:type="dxa"/>
            <w:vMerge w:val="restart"/>
            <w:tcBorders>
              <w:top w:val="nil"/>
              <w:left w:val="single" w:sz="4" w:space="0" w:color="auto"/>
              <w:bottom w:val="single" w:sz="4" w:space="0" w:color="auto"/>
              <w:right w:val="single" w:sz="4" w:space="0" w:color="auto"/>
            </w:tcBorders>
            <w:shd w:val="clear" w:color="auto" w:fill="auto"/>
            <w:vAlign w:val="center"/>
            <w:hideMark/>
          </w:tcPr>
          <w:p w:rsidR="00FA5E35" w:rsidRDefault="00FA5E35" w:rsidP="000A052A">
            <w:pPr>
              <w:jc w:val="center"/>
              <w:rPr>
                <w:rFonts w:ascii="Calibri" w:eastAsia="Times New Roman" w:hAnsi="Calibri"/>
                <w:color w:val="000000"/>
                <w:sz w:val="22"/>
                <w:szCs w:val="22"/>
              </w:rPr>
            </w:pPr>
            <w:r w:rsidRPr="00515C36">
              <w:rPr>
                <w:rFonts w:ascii="Calibri" w:eastAsia="Times New Roman" w:hAnsi="Calibri"/>
                <w:color w:val="000000"/>
                <w:sz w:val="22"/>
                <w:szCs w:val="22"/>
              </w:rPr>
              <w:t>Poor</w:t>
            </w:r>
          </w:p>
          <w:p w:rsidR="00FA5E35" w:rsidRPr="00A22DB9" w:rsidRDefault="00FA5E35" w:rsidP="000A052A">
            <w:pPr>
              <w:jc w:val="center"/>
              <w:rPr>
                <w:rFonts w:ascii="Calibri" w:eastAsia="Times New Roman" w:hAnsi="Calibri"/>
                <w:color w:val="000000"/>
                <w:sz w:val="16"/>
                <w:szCs w:val="16"/>
              </w:rPr>
            </w:pPr>
            <w:r w:rsidRPr="00A22DB9">
              <w:rPr>
                <w:rFonts w:ascii="Calibri" w:eastAsia="Times New Roman" w:hAnsi="Calibri"/>
                <w:color w:val="000000"/>
                <w:sz w:val="16"/>
                <w:szCs w:val="16"/>
              </w:rPr>
              <w:t>(but not deep poor)</w:t>
            </w:r>
          </w:p>
        </w:tc>
        <w:tc>
          <w:tcPr>
            <w:tcW w:w="1146" w:type="dxa"/>
            <w:tcBorders>
              <w:top w:val="nil"/>
              <w:left w:val="nil"/>
              <w:bottom w:val="single" w:sz="4" w:space="0" w:color="auto"/>
              <w:right w:val="single" w:sz="4" w:space="0" w:color="auto"/>
            </w:tcBorders>
            <w:shd w:val="clear" w:color="auto" w:fill="auto"/>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Low</w:t>
            </w:r>
          </w:p>
        </w:tc>
        <w:tc>
          <w:tcPr>
            <w:tcW w:w="1649" w:type="dxa"/>
            <w:tcBorders>
              <w:top w:val="nil"/>
              <w:left w:val="nil"/>
              <w:bottom w:val="single" w:sz="4" w:space="0" w:color="auto"/>
              <w:right w:val="single" w:sz="4" w:space="0" w:color="auto"/>
            </w:tcBorders>
            <w:shd w:val="clear" w:color="000000" w:fill="FF0000"/>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c>
          <w:tcPr>
            <w:tcW w:w="1572" w:type="dxa"/>
            <w:tcBorders>
              <w:top w:val="nil"/>
              <w:left w:val="nil"/>
              <w:bottom w:val="single" w:sz="4" w:space="0" w:color="auto"/>
              <w:right w:val="single" w:sz="4" w:space="0" w:color="auto"/>
            </w:tcBorders>
            <w:shd w:val="clear" w:color="000000" w:fill="FF0000"/>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c>
          <w:tcPr>
            <w:tcW w:w="1416" w:type="dxa"/>
            <w:tcBorders>
              <w:top w:val="nil"/>
              <w:left w:val="nil"/>
              <w:bottom w:val="single" w:sz="4" w:space="0" w:color="auto"/>
              <w:right w:val="single" w:sz="4" w:space="0" w:color="auto"/>
            </w:tcBorders>
            <w:shd w:val="clear" w:color="000000" w:fill="C4EC46"/>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r>
      <w:tr w:rsidR="00FA5E35" w:rsidRPr="00515C36" w:rsidTr="000A052A">
        <w:trPr>
          <w:trHeight w:val="300"/>
          <w:jc w:val="center"/>
        </w:trPr>
        <w:tc>
          <w:tcPr>
            <w:tcW w:w="1178" w:type="dxa"/>
            <w:vMerge/>
            <w:tcBorders>
              <w:top w:val="nil"/>
              <w:left w:val="single" w:sz="4" w:space="0" w:color="auto"/>
              <w:bottom w:val="single" w:sz="4" w:space="0" w:color="auto"/>
              <w:right w:val="single" w:sz="4" w:space="0" w:color="auto"/>
            </w:tcBorders>
            <w:vAlign w:val="center"/>
            <w:hideMark/>
          </w:tcPr>
          <w:p w:rsidR="00FA5E35" w:rsidRPr="00515C36" w:rsidRDefault="00FA5E35" w:rsidP="000A052A">
            <w:pPr>
              <w:rPr>
                <w:rFonts w:ascii="Calibri" w:eastAsia="Times New Roman" w:hAnsi="Calibri"/>
                <w:color w:val="000000"/>
                <w:sz w:val="22"/>
                <w:szCs w:val="22"/>
              </w:rPr>
            </w:pPr>
          </w:p>
        </w:tc>
        <w:tc>
          <w:tcPr>
            <w:tcW w:w="1146" w:type="dxa"/>
            <w:tcBorders>
              <w:top w:val="nil"/>
              <w:left w:val="nil"/>
              <w:bottom w:val="single" w:sz="4" w:space="0" w:color="auto"/>
              <w:right w:val="single" w:sz="4" w:space="0" w:color="auto"/>
            </w:tcBorders>
            <w:shd w:val="clear" w:color="auto" w:fill="auto"/>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Medium</w:t>
            </w:r>
          </w:p>
        </w:tc>
        <w:tc>
          <w:tcPr>
            <w:tcW w:w="1649" w:type="dxa"/>
            <w:tcBorders>
              <w:top w:val="nil"/>
              <w:left w:val="nil"/>
              <w:bottom w:val="single" w:sz="4" w:space="0" w:color="auto"/>
              <w:right w:val="single" w:sz="4" w:space="0" w:color="auto"/>
            </w:tcBorders>
            <w:shd w:val="clear" w:color="000000" w:fill="FF0000"/>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c>
          <w:tcPr>
            <w:tcW w:w="1572" w:type="dxa"/>
            <w:tcBorders>
              <w:top w:val="nil"/>
              <w:left w:val="nil"/>
              <w:bottom w:val="single" w:sz="4" w:space="0" w:color="auto"/>
              <w:right w:val="single" w:sz="4" w:space="0" w:color="auto"/>
            </w:tcBorders>
            <w:shd w:val="clear" w:color="000000" w:fill="F79646"/>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c>
          <w:tcPr>
            <w:tcW w:w="1416" w:type="dxa"/>
            <w:tcBorders>
              <w:top w:val="nil"/>
              <w:left w:val="nil"/>
              <w:bottom w:val="single" w:sz="4" w:space="0" w:color="auto"/>
              <w:right w:val="single" w:sz="4" w:space="0" w:color="auto"/>
            </w:tcBorders>
            <w:shd w:val="clear" w:color="000000" w:fill="C4EC46"/>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r>
      <w:tr w:rsidR="00FA5E35" w:rsidRPr="00515C36" w:rsidTr="000A052A">
        <w:trPr>
          <w:trHeight w:val="300"/>
          <w:jc w:val="center"/>
        </w:trPr>
        <w:tc>
          <w:tcPr>
            <w:tcW w:w="1178" w:type="dxa"/>
            <w:vMerge/>
            <w:tcBorders>
              <w:top w:val="nil"/>
              <w:left w:val="single" w:sz="4" w:space="0" w:color="auto"/>
              <w:bottom w:val="single" w:sz="4" w:space="0" w:color="auto"/>
              <w:right w:val="single" w:sz="4" w:space="0" w:color="auto"/>
            </w:tcBorders>
            <w:vAlign w:val="center"/>
            <w:hideMark/>
          </w:tcPr>
          <w:p w:rsidR="00FA5E35" w:rsidRPr="00515C36" w:rsidRDefault="00FA5E35" w:rsidP="000A052A">
            <w:pPr>
              <w:rPr>
                <w:rFonts w:ascii="Calibri" w:eastAsia="Times New Roman" w:hAnsi="Calibri"/>
                <w:color w:val="000000"/>
                <w:sz w:val="22"/>
                <w:szCs w:val="22"/>
              </w:rPr>
            </w:pPr>
          </w:p>
        </w:tc>
        <w:tc>
          <w:tcPr>
            <w:tcW w:w="1146" w:type="dxa"/>
            <w:tcBorders>
              <w:top w:val="nil"/>
              <w:left w:val="nil"/>
              <w:bottom w:val="single" w:sz="4" w:space="0" w:color="auto"/>
              <w:right w:val="single" w:sz="4" w:space="0" w:color="auto"/>
            </w:tcBorders>
            <w:shd w:val="clear" w:color="auto" w:fill="auto"/>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High</w:t>
            </w:r>
          </w:p>
        </w:tc>
        <w:tc>
          <w:tcPr>
            <w:tcW w:w="1649" w:type="dxa"/>
            <w:tcBorders>
              <w:top w:val="nil"/>
              <w:left w:val="nil"/>
              <w:bottom w:val="single" w:sz="4" w:space="0" w:color="auto"/>
              <w:right w:val="single" w:sz="4" w:space="0" w:color="auto"/>
            </w:tcBorders>
            <w:shd w:val="clear" w:color="000000" w:fill="FF0000"/>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c>
          <w:tcPr>
            <w:tcW w:w="1572" w:type="dxa"/>
            <w:tcBorders>
              <w:top w:val="nil"/>
              <w:left w:val="nil"/>
              <w:bottom w:val="single" w:sz="4" w:space="0" w:color="auto"/>
              <w:right w:val="single" w:sz="4" w:space="0" w:color="auto"/>
            </w:tcBorders>
            <w:shd w:val="clear" w:color="000000" w:fill="F79646"/>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c>
          <w:tcPr>
            <w:tcW w:w="1416" w:type="dxa"/>
            <w:tcBorders>
              <w:top w:val="nil"/>
              <w:left w:val="nil"/>
              <w:bottom w:val="single" w:sz="4" w:space="0" w:color="auto"/>
              <w:right w:val="single" w:sz="4" w:space="0" w:color="auto"/>
            </w:tcBorders>
            <w:shd w:val="clear" w:color="000000" w:fill="C4EC46"/>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r>
      <w:tr w:rsidR="00FA5E35" w:rsidRPr="00515C36" w:rsidTr="000A052A">
        <w:trPr>
          <w:trHeight w:val="300"/>
          <w:jc w:val="center"/>
        </w:trPr>
        <w:tc>
          <w:tcPr>
            <w:tcW w:w="1178" w:type="dxa"/>
            <w:vMerge w:val="restart"/>
            <w:tcBorders>
              <w:top w:val="nil"/>
              <w:left w:val="single" w:sz="4" w:space="0" w:color="auto"/>
              <w:bottom w:val="single" w:sz="4" w:space="0" w:color="auto"/>
              <w:right w:val="single" w:sz="4" w:space="0" w:color="auto"/>
            </w:tcBorders>
            <w:shd w:val="clear" w:color="auto" w:fill="auto"/>
            <w:vAlign w:val="center"/>
            <w:hideMark/>
          </w:tcPr>
          <w:p w:rsidR="00FA5E35" w:rsidRPr="00515C36" w:rsidRDefault="00FA5E35" w:rsidP="000A052A">
            <w:pPr>
              <w:jc w:val="center"/>
              <w:rPr>
                <w:rFonts w:ascii="Calibri" w:eastAsia="Times New Roman" w:hAnsi="Calibri"/>
                <w:color w:val="000000"/>
                <w:sz w:val="22"/>
                <w:szCs w:val="22"/>
              </w:rPr>
            </w:pPr>
            <w:r w:rsidRPr="00515C36">
              <w:rPr>
                <w:rFonts w:ascii="Calibri" w:eastAsia="Times New Roman" w:hAnsi="Calibri"/>
                <w:color w:val="000000"/>
                <w:sz w:val="22"/>
                <w:szCs w:val="22"/>
              </w:rPr>
              <w:t>Non-poor</w:t>
            </w:r>
          </w:p>
        </w:tc>
        <w:tc>
          <w:tcPr>
            <w:tcW w:w="1146" w:type="dxa"/>
            <w:tcBorders>
              <w:top w:val="nil"/>
              <w:left w:val="nil"/>
              <w:bottom w:val="single" w:sz="4" w:space="0" w:color="auto"/>
              <w:right w:val="single" w:sz="4" w:space="0" w:color="auto"/>
            </w:tcBorders>
            <w:shd w:val="clear" w:color="auto" w:fill="auto"/>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Low</w:t>
            </w:r>
          </w:p>
        </w:tc>
        <w:tc>
          <w:tcPr>
            <w:tcW w:w="1649" w:type="dxa"/>
            <w:tcBorders>
              <w:top w:val="nil"/>
              <w:left w:val="nil"/>
              <w:bottom w:val="single" w:sz="4" w:space="0" w:color="auto"/>
              <w:right w:val="single" w:sz="4" w:space="0" w:color="auto"/>
            </w:tcBorders>
            <w:shd w:val="clear" w:color="000000" w:fill="FF0000"/>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c>
          <w:tcPr>
            <w:tcW w:w="1572" w:type="dxa"/>
            <w:tcBorders>
              <w:top w:val="nil"/>
              <w:left w:val="nil"/>
              <w:bottom w:val="single" w:sz="4" w:space="0" w:color="auto"/>
              <w:right w:val="single" w:sz="4" w:space="0" w:color="auto"/>
            </w:tcBorders>
            <w:shd w:val="clear" w:color="000000" w:fill="F79646"/>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c>
          <w:tcPr>
            <w:tcW w:w="1416" w:type="dxa"/>
            <w:tcBorders>
              <w:top w:val="nil"/>
              <w:left w:val="nil"/>
              <w:bottom w:val="single" w:sz="4" w:space="0" w:color="auto"/>
              <w:right w:val="single" w:sz="4" w:space="0" w:color="auto"/>
            </w:tcBorders>
            <w:shd w:val="clear" w:color="000000" w:fill="C4EC46"/>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r>
      <w:tr w:rsidR="00FA5E35" w:rsidRPr="00515C36" w:rsidTr="000A052A">
        <w:trPr>
          <w:trHeight w:val="300"/>
          <w:jc w:val="center"/>
        </w:trPr>
        <w:tc>
          <w:tcPr>
            <w:tcW w:w="1178" w:type="dxa"/>
            <w:vMerge/>
            <w:tcBorders>
              <w:top w:val="nil"/>
              <w:left w:val="single" w:sz="4" w:space="0" w:color="auto"/>
              <w:bottom w:val="single" w:sz="4" w:space="0" w:color="auto"/>
              <w:right w:val="single" w:sz="4" w:space="0" w:color="auto"/>
            </w:tcBorders>
            <w:vAlign w:val="center"/>
            <w:hideMark/>
          </w:tcPr>
          <w:p w:rsidR="00FA5E35" w:rsidRPr="00515C36" w:rsidRDefault="00FA5E35" w:rsidP="000A052A">
            <w:pPr>
              <w:rPr>
                <w:rFonts w:ascii="Calibri" w:eastAsia="Times New Roman" w:hAnsi="Calibri"/>
                <w:color w:val="000000"/>
                <w:sz w:val="22"/>
                <w:szCs w:val="22"/>
              </w:rPr>
            </w:pPr>
          </w:p>
        </w:tc>
        <w:tc>
          <w:tcPr>
            <w:tcW w:w="1146" w:type="dxa"/>
            <w:tcBorders>
              <w:top w:val="nil"/>
              <w:left w:val="nil"/>
              <w:bottom w:val="single" w:sz="4" w:space="0" w:color="auto"/>
              <w:right w:val="single" w:sz="4" w:space="0" w:color="auto"/>
            </w:tcBorders>
            <w:shd w:val="clear" w:color="auto" w:fill="auto"/>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Medium</w:t>
            </w:r>
          </w:p>
        </w:tc>
        <w:tc>
          <w:tcPr>
            <w:tcW w:w="1649" w:type="dxa"/>
            <w:tcBorders>
              <w:top w:val="nil"/>
              <w:left w:val="nil"/>
              <w:bottom w:val="single" w:sz="4" w:space="0" w:color="auto"/>
              <w:right w:val="single" w:sz="4" w:space="0" w:color="auto"/>
            </w:tcBorders>
            <w:shd w:val="clear" w:color="000000" w:fill="F79646"/>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c>
          <w:tcPr>
            <w:tcW w:w="1572" w:type="dxa"/>
            <w:tcBorders>
              <w:top w:val="nil"/>
              <w:left w:val="nil"/>
              <w:bottom w:val="single" w:sz="4" w:space="0" w:color="auto"/>
              <w:right w:val="single" w:sz="4" w:space="0" w:color="auto"/>
            </w:tcBorders>
            <w:shd w:val="clear" w:color="000000" w:fill="F79646"/>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c>
          <w:tcPr>
            <w:tcW w:w="1416" w:type="dxa"/>
            <w:tcBorders>
              <w:top w:val="nil"/>
              <w:left w:val="nil"/>
              <w:bottom w:val="single" w:sz="4" w:space="0" w:color="auto"/>
              <w:right w:val="single" w:sz="4" w:space="0" w:color="auto"/>
            </w:tcBorders>
            <w:shd w:val="clear" w:color="000000" w:fill="8FCF27"/>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r>
      <w:tr w:rsidR="00FA5E35" w:rsidRPr="00515C36" w:rsidTr="000A052A">
        <w:trPr>
          <w:trHeight w:val="300"/>
          <w:jc w:val="center"/>
        </w:trPr>
        <w:tc>
          <w:tcPr>
            <w:tcW w:w="1178" w:type="dxa"/>
            <w:vMerge/>
            <w:tcBorders>
              <w:top w:val="nil"/>
              <w:left w:val="single" w:sz="4" w:space="0" w:color="auto"/>
              <w:bottom w:val="single" w:sz="4" w:space="0" w:color="auto"/>
              <w:right w:val="single" w:sz="4" w:space="0" w:color="auto"/>
            </w:tcBorders>
            <w:vAlign w:val="center"/>
            <w:hideMark/>
          </w:tcPr>
          <w:p w:rsidR="00FA5E35" w:rsidRPr="00515C36" w:rsidRDefault="00FA5E35" w:rsidP="000A052A">
            <w:pPr>
              <w:rPr>
                <w:rFonts w:ascii="Calibri" w:eastAsia="Times New Roman" w:hAnsi="Calibri"/>
                <w:color w:val="000000"/>
                <w:sz w:val="22"/>
                <w:szCs w:val="22"/>
              </w:rPr>
            </w:pPr>
          </w:p>
        </w:tc>
        <w:tc>
          <w:tcPr>
            <w:tcW w:w="1146" w:type="dxa"/>
            <w:tcBorders>
              <w:top w:val="nil"/>
              <w:left w:val="nil"/>
              <w:bottom w:val="single" w:sz="4" w:space="0" w:color="auto"/>
              <w:right w:val="single" w:sz="4" w:space="0" w:color="auto"/>
            </w:tcBorders>
            <w:shd w:val="clear" w:color="auto" w:fill="auto"/>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High</w:t>
            </w:r>
          </w:p>
        </w:tc>
        <w:tc>
          <w:tcPr>
            <w:tcW w:w="1649" w:type="dxa"/>
            <w:tcBorders>
              <w:top w:val="nil"/>
              <w:left w:val="nil"/>
              <w:bottom w:val="single" w:sz="4" w:space="0" w:color="auto"/>
              <w:right w:val="single" w:sz="4" w:space="0" w:color="auto"/>
            </w:tcBorders>
            <w:shd w:val="clear" w:color="000000" w:fill="F79646"/>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c>
          <w:tcPr>
            <w:tcW w:w="1572" w:type="dxa"/>
            <w:tcBorders>
              <w:top w:val="nil"/>
              <w:left w:val="nil"/>
              <w:bottom w:val="single" w:sz="4" w:space="0" w:color="auto"/>
              <w:right w:val="single" w:sz="4" w:space="0" w:color="auto"/>
            </w:tcBorders>
            <w:shd w:val="clear" w:color="000000" w:fill="C4EC46"/>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c>
          <w:tcPr>
            <w:tcW w:w="1416" w:type="dxa"/>
            <w:tcBorders>
              <w:top w:val="nil"/>
              <w:left w:val="nil"/>
              <w:bottom w:val="single" w:sz="4" w:space="0" w:color="auto"/>
              <w:right w:val="single" w:sz="4" w:space="0" w:color="auto"/>
            </w:tcBorders>
            <w:shd w:val="clear" w:color="000000" w:fill="8FCF27"/>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r>
      <w:tr w:rsidR="00FA5E35" w:rsidRPr="00515C36" w:rsidTr="000A052A">
        <w:trPr>
          <w:trHeight w:val="300"/>
          <w:jc w:val="center"/>
        </w:trPr>
        <w:tc>
          <w:tcPr>
            <w:tcW w:w="1178" w:type="dxa"/>
            <w:tcBorders>
              <w:top w:val="nil"/>
              <w:left w:val="nil"/>
              <w:bottom w:val="nil"/>
              <w:right w:val="nil"/>
            </w:tcBorders>
            <w:shd w:val="clear" w:color="auto" w:fill="auto"/>
            <w:noWrap/>
            <w:vAlign w:val="bottom"/>
            <w:hideMark/>
          </w:tcPr>
          <w:p w:rsidR="00FA5E35" w:rsidRPr="00515C36" w:rsidRDefault="00FA5E35" w:rsidP="000A052A">
            <w:pPr>
              <w:rPr>
                <w:rFonts w:ascii="Calibri" w:eastAsia="Times New Roman" w:hAnsi="Calibri"/>
                <w:color w:val="000000"/>
                <w:sz w:val="22"/>
                <w:szCs w:val="22"/>
              </w:rPr>
            </w:pPr>
          </w:p>
        </w:tc>
        <w:tc>
          <w:tcPr>
            <w:tcW w:w="1146" w:type="dxa"/>
            <w:tcBorders>
              <w:top w:val="nil"/>
              <w:left w:val="nil"/>
              <w:bottom w:val="nil"/>
              <w:right w:val="nil"/>
            </w:tcBorders>
            <w:shd w:val="clear" w:color="auto" w:fill="auto"/>
            <w:noWrap/>
            <w:vAlign w:val="bottom"/>
            <w:hideMark/>
          </w:tcPr>
          <w:p w:rsidR="00FA5E35" w:rsidRPr="00515C36" w:rsidRDefault="00FA5E35" w:rsidP="000A052A">
            <w:pPr>
              <w:rPr>
                <w:rFonts w:ascii="Calibri" w:eastAsia="Times New Roman" w:hAnsi="Calibri"/>
                <w:color w:val="000000"/>
                <w:sz w:val="22"/>
                <w:szCs w:val="22"/>
              </w:rPr>
            </w:pPr>
          </w:p>
        </w:tc>
        <w:tc>
          <w:tcPr>
            <w:tcW w:w="1649" w:type="dxa"/>
            <w:tcBorders>
              <w:top w:val="nil"/>
              <w:left w:val="nil"/>
              <w:bottom w:val="nil"/>
              <w:right w:val="nil"/>
            </w:tcBorders>
            <w:shd w:val="clear" w:color="auto" w:fill="auto"/>
            <w:noWrap/>
            <w:vAlign w:val="bottom"/>
            <w:hideMark/>
          </w:tcPr>
          <w:p w:rsidR="00FA5E35" w:rsidRPr="00515C36" w:rsidRDefault="00FA5E35" w:rsidP="000A052A">
            <w:pPr>
              <w:rPr>
                <w:rFonts w:ascii="Calibri" w:eastAsia="Times New Roman" w:hAnsi="Calibri"/>
                <w:color w:val="000000"/>
                <w:sz w:val="22"/>
                <w:szCs w:val="22"/>
              </w:rPr>
            </w:pPr>
          </w:p>
        </w:tc>
        <w:tc>
          <w:tcPr>
            <w:tcW w:w="1572" w:type="dxa"/>
            <w:tcBorders>
              <w:top w:val="nil"/>
              <w:left w:val="nil"/>
              <w:bottom w:val="nil"/>
              <w:right w:val="nil"/>
            </w:tcBorders>
            <w:shd w:val="clear" w:color="auto" w:fill="auto"/>
            <w:noWrap/>
            <w:vAlign w:val="bottom"/>
            <w:hideMark/>
          </w:tcPr>
          <w:p w:rsidR="00FA5E35" w:rsidRPr="00515C36" w:rsidRDefault="00FA5E35" w:rsidP="000A052A">
            <w:pPr>
              <w:rPr>
                <w:rFonts w:ascii="Calibri" w:eastAsia="Times New Roman" w:hAnsi="Calibri"/>
                <w:color w:val="000000"/>
                <w:sz w:val="22"/>
                <w:szCs w:val="22"/>
              </w:rPr>
            </w:pPr>
          </w:p>
        </w:tc>
        <w:tc>
          <w:tcPr>
            <w:tcW w:w="1416" w:type="dxa"/>
            <w:tcBorders>
              <w:top w:val="nil"/>
              <w:left w:val="nil"/>
              <w:bottom w:val="nil"/>
              <w:right w:val="nil"/>
            </w:tcBorders>
            <w:shd w:val="clear" w:color="auto" w:fill="auto"/>
            <w:noWrap/>
            <w:vAlign w:val="bottom"/>
            <w:hideMark/>
          </w:tcPr>
          <w:p w:rsidR="00FA5E35" w:rsidRPr="00515C36" w:rsidRDefault="00FA5E35" w:rsidP="000A052A">
            <w:pPr>
              <w:rPr>
                <w:rFonts w:ascii="Calibri" w:eastAsia="Times New Roman" w:hAnsi="Calibri"/>
                <w:color w:val="000000"/>
                <w:sz w:val="22"/>
                <w:szCs w:val="22"/>
              </w:rPr>
            </w:pPr>
          </w:p>
        </w:tc>
      </w:tr>
      <w:tr w:rsidR="00FA5E35" w:rsidRPr="00515C36" w:rsidTr="000A052A">
        <w:trPr>
          <w:trHeight w:val="300"/>
          <w:jc w:val="center"/>
        </w:trPr>
        <w:tc>
          <w:tcPr>
            <w:tcW w:w="1178" w:type="dxa"/>
            <w:tcBorders>
              <w:top w:val="nil"/>
              <w:left w:val="nil"/>
              <w:bottom w:val="nil"/>
              <w:right w:val="nil"/>
            </w:tcBorders>
            <w:shd w:val="clear" w:color="auto" w:fill="auto"/>
            <w:noWrap/>
            <w:vAlign w:val="bottom"/>
            <w:hideMark/>
          </w:tcPr>
          <w:p w:rsidR="00FA5E35" w:rsidRPr="00515C36" w:rsidRDefault="00FA5E35" w:rsidP="000A052A">
            <w:pPr>
              <w:rPr>
                <w:rFonts w:ascii="Calibri" w:eastAsia="Times New Roman" w:hAnsi="Calibri"/>
                <w:color w:val="000000"/>
                <w:sz w:val="22"/>
                <w:szCs w:val="22"/>
              </w:rPr>
            </w:pPr>
          </w:p>
        </w:tc>
        <w:tc>
          <w:tcPr>
            <w:tcW w:w="1146" w:type="dxa"/>
            <w:tcBorders>
              <w:top w:val="nil"/>
              <w:left w:val="nil"/>
              <w:bottom w:val="nil"/>
              <w:right w:val="nil"/>
            </w:tcBorders>
            <w:shd w:val="clear" w:color="000000" w:fill="FF0000"/>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c>
          <w:tcPr>
            <w:tcW w:w="3221" w:type="dxa"/>
            <w:gridSpan w:val="2"/>
            <w:tcBorders>
              <w:top w:val="nil"/>
              <w:left w:val="nil"/>
              <w:bottom w:val="nil"/>
              <w:right w:val="nil"/>
            </w:tcBorders>
            <w:shd w:val="clear" w:color="auto" w:fill="auto"/>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Extremely food insecure</w:t>
            </w:r>
          </w:p>
        </w:tc>
        <w:tc>
          <w:tcPr>
            <w:tcW w:w="1416" w:type="dxa"/>
            <w:tcBorders>
              <w:top w:val="nil"/>
              <w:left w:val="nil"/>
              <w:bottom w:val="nil"/>
              <w:right w:val="nil"/>
            </w:tcBorders>
            <w:shd w:val="clear" w:color="auto" w:fill="auto"/>
            <w:noWrap/>
            <w:vAlign w:val="bottom"/>
            <w:hideMark/>
          </w:tcPr>
          <w:p w:rsidR="00FA5E35" w:rsidRPr="00515C36" w:rsidRDefault="00FA5E35" w:rsidP="000A052A">
            <w:pPr>
              <w:rPr>
                <w:rFonts w:ascii="Calibri" w:eastAsia="Times New Roman" w:hAnsi="Calibri"/>
                <w:color w:val="000000"/>
                <w:sz w:val="22"/>
                <w:szCs w:val="22"/>
              </w:rPr>
            </w:pPr>
          </w:p>
        </w:tc>
      </w:tr>
      <w:tr w:rsidR="00FA5E35" w:rsidRPr="00515C36" w:rsidTr="000A052A">
        <w:trPr>
          <w:trHeight w:val="300"/>
          <w:jc w:val="center"/>
        </w:trPr>
        <w:tc>
          <w:tcPr>
            <w:tcW w:w="1178" w:type="dxa"/>
            <w:tcBorders>
              <w:top w:val="nil"/>
              <w:left w:val="nil"/>
              <w:bottom w:val="nil"/>
              <w:right w:val="nil"/>
            </w:tcBorders>
            <w:shd w:val="clear" w:color="auto" w:fill="auto"/>
            <w:noWrap/>
            <w:vAlign w:val="bottom"/>
            <w:hideMark/>
          </w:tcPr>
          <w:p w:rsidR="00FA5E35" w:rsidRPr="00515C36" w:rsidRDefault="00FA5E35" w:rsidP="000A052A">
            <w:pPr>
              <w:rPr>
                <w:rFonts w:ascii="Calibri" w:eastAsia="Times New Roman" w:hAnsi="Calibri"/>
                <w:color w:val="000000"/>
                <w:sz w:val="22"/>
                <w:szCs w:val="22"/>
              </w:rPr>
            </w:pPr>
          </w:p>
        </w:tc>
        <w:tc>
          <w:tcPr>
            <w:tcW w:w="1146" w:type="dxa"/>
            <w:tcBorders>
              <w:top w:val="nil"/>
              <w:left w:val="nil"/>
              <w:bottom w:val="nil"/>
              <w:right w:val="nil"/>
            </w:tcBorders>
            <w:shd w:val="clear" w:color="000000" w:fill="F79646"/>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c>
          <w:tcPr>
            <w:tcW w:w="3221" w:type="dxa"/>
            <w:gridSpan w:val="2"/>
            <w:tcBorders>
              <w:top w:val="nil"/>
              <w:left w:val="nil"/>
              <w:bottom w:val="nil"/>
              <w:right w:val="nil"/>
            </w:tcBorders>
            <w:shd w:val="clear" w:color="auto" w:fill="auto"/>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Moderately food insecure</w:t>
            </w:r>
          </w:p>
        </w:tc>
        <w:tc>
          <w:tcPr>
            <w:tcW w:w="1416" w:type="dxa"/>
            <w:tcBorders>
              <w:top w:val="nil"/>
              <w:left w:val="nil"/>
              <w:bottom w:val="nil"/>
              <w:right w:val="nil"/>
            </w:tcBorders>
            <w:shd w:val="clear" w:color="auto" w:fill="auto"/>
            <w:noWrap/>
            <w:vAlign w:val="bottom"/>
            <w:hideMark/>
          </w:tcPr>
          <w:p w:rsidR="00FA5E35" w:rsidRPr="00515C36" w:rsidRDefault="00FA5E35" w:rsidP="000A052A">
            <w:pPr>
              <w:rPr>
                <w:rFonts w:ascii="Calibri" w:eastAsia="Times New Roman" w:hAnsi="Calibri"/>
                <w:color w:val="000000"/>
                <w:sz w:val="22"/>
                <w:szCs w:val="22"/>
              </w:rPr>
            </w:pPr>
          </w:p>
        </w:tc>
      </w:tr>
      <w:tr w:rsidR="00FA5E35" w:rsidRPr="00515C36" w:rsidTr="000A052A">
        <w:trPr>
          <w:trHeight w:val="330"/>
          <w:jc w:val="center"/>
        </w:trPr>
        <w:tc>
          <w:tcPr>
            <w:tcW w:w="1178" w:type="dxa"/>
            <w:tcBorders>
              <w:top w:val="nil"/>
              <w:left w:val="nil"/>
              <w:bottom w:val="nil"/>
              <w:right w:val="nil"/>
            </w:tcBorders>
            <w:shd w:val="clear" w:color="auto" w:fill="auto"/>
            <w:noWrap/>
            <w:vAlign w:val="bottom"/>
            <w:hideMark/>
          </w:tcPr>
          <w:p w:rsidR="00FA5E35" w:rsidRPr="00515C36" w:rsidRDefault="00FA5E35" w:rsidP="000A052A">
            <w:pPr>
              <w:rPr>
                <w:rFonts w:ascii="Calibri" w:eastAsia="Times New Roman" w:hAnsi="Calibri"/>
                <w:color w:val="000000"/>
                <w:sz w:val="22"/>
                <w:szCs w:val="22"/>
              </w:rPr>
            </w:pPr>
          </w:p>
        </w:tc>
        <w:tc>
          <w:tcPr>
            <w:tcW w:w="1146" w:type="dxa"/>
            <w:tcBorders>
              <w:top w:val="nil"/>
              <w:left w:val="nil"/>
              <w:bottom w:val="nil"/>
              <w:right w:val="nil"/>
            </w:tcBorders>
            <w:shd w:val="clear" w:color="000000" w:fill="C4EC46"/>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c>
          <w:tcPr>
            <w:tcW w:w="3221" w:type="dxa"/>
            <w:gridSpan w:val="2"/>
            <w:tcBorders>
              <w:top w:val="nil"/>
              <w:left w:val="nil"/>
              <w:bottom w:val="nil"/>
              <w:right w:val="nil"/>
            </w:tcBorders>
            <w:shd w:val="clear" w:color="auto" w:fill="auto"/>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Vulnerable to food insecurity</w:t>
            </w:r>
          </w:p>
        </w:tc>
        <w:tc>
          <w:tcPr>
            <w:tcW w:w="1416" w:type="dxa"/>
            <w:tcBorders>
              <w:top w:val="nil"/>
              <w:left w:val="nil"/>
              <w:bottom w:val="nil"/>
              <w:right w:val="nil"/>
            </w:tcBorders>
            <w:shd w:val="clear" w:color="auto" w:fill="auto"/>
            <w:noWrap/>
            <w:vAlign w:val="bottom"/>
            <w:hideMark/>
          </w:tcPr>
          <w:p w:rsidR="00FA5E35" w:rsidRPr="00515C36" w:rsidRDefault="00FA5E35" w:rsidP="000A052A">
            <w:pPr>
              <w:rPr>
                <w:rFonts w:ascii="Calibri" w:eastAsia="Times New Roman" w:hAnsi="Calibri"/>
                <w:color w:val="000000"/>
                <w:sz w:val="22"/>
                <w:szCs w:val="22"/>
              </w:rPr>
            </w:pPr>
          </w:p>
        </w:tc>
      </w:tr>
      <w:tr w:rsidR="00FA5E35" w:rsidRPr="00515C36" w:rsidTr="000A052A">
        <w:trPr>
          <w:trHeight w:val="300"/>
          <w:jc w:val="center"/>
        </w:trPr>
        <w:tc>
          <w:tcPr>
            <w:tcW w:w="1178" w:type="dxa"/>
            <w:tcBorders>
              <w:top w:val="nil"/>
              <w:left w:val="nil"/>
              <w:bottom w:val="nil"/>
              <w:right w:val="nil"/>
            </w:tcBorders>
            <w:shd w:val="clear" w:color="auto" w:fill="auto"/>
            <w:noWrap/>
            <w:vAlign w:val="bottom"/>
            <w:hideMark/>
          </w:tcPr>
          <w:p w:rsidR="00FA5E35" w:rsidRPr="00515C36" w:rsidRDefault="00FA5E35" w:rsidP="000A052A">
            <w:pPr>
              <w:rPr>
                <w:rFonts w:ascii="Calibri" w:eastAsia="Times New Roman" w:hAnsi="Calibri"/>
                <w:color w:val="000000"/>
                <w:sz w:val="22"/>
                <w:szCs w:val="22"/>
              </w:rPr>
            </w:pPr>
          </w:p>
        </w:tc>
        <w:tc>
          <w:tcPr>
            <w:tcW w:w="1146" w:type="dxa"/>
            <w:tcBorders>
              <w:top w:val="nil"/>
              <w:left w:val="nil"/>
              <w:bottom w:val="nil"/>
              <w:right w:val="nil"/>
            </w:tcBorders>
            <w:shd w:val="clear" w:color="000000" w:fill="8FCF27"/>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 </w:t>
            </w:r>
          </w:p>
        </w:tc>
        <w:tc>
          <w:tcPr>
            <w:tcW w:w="1649" w:type="dxa"/>
            <w:tcBorders>
              <w:top w:val="nil"/>
              <w:left w:val="nil"/>
              <w:bottom w:val="nil"/>
              <w:right w:val="nil"/>
            </w:tcBorders>
            <w:shd w:val="clear" w:color="auto" w:fill="auto"/>
            <w:noWrap/>
            <w:vAlign w:val="bottom"/>
            <w:hideMark/>
          </w:tcPr>
          <w:p w:rsidR="00FA5E35" w:rsidRPr="00515C36" w:rsidRDefault="00FA5E35" w:rsidP="000A052A">
            <w:pPr>
              <w:rPr>
                <w:rFonts w:ascii="Calibri" w:eastAsia="Times New Roman" w:hAnsi="Calibri"/>
                <w:color w:val="000000"/>
                <w:sz w:val="22"/>
                <w:szCs w:val="22"/>
              </w:rPr>
            </w:pPr>
            <w:r w:rsidRPr="00515C36">
              <w:rPr>
                <w:rFonts w:ascii="Calibri" w:eastAsia="Times New Roman" w:hAnsi="Calibri"/>
                <w:color w:val="000000"/>
                <w:sz w:val="22"/>
                <w:szCs w:val="22"/>
              </w:rPr>
              <w:t>Food secure</w:t>
            </w:r>
          </w:p>
        </w:tc>
        <w:tc>
          <w:tcPr>
            <w:tcW w:w="1572" w:type="dxa"/>
            <w:tcBorders>
              <w:top w:val="nil"/>
              <w:left w:val="nil"/>
              <w:bottom w:val="nil"/>
              <w:right w:val="nil"/>
            </w:tcBorders>
            <w:shd w:val="clear" w:color="auto" w:fill="auto"/>
            <w:noWrap/>
            <w:vAlign w:val="bottom"/>
            <w:hideMark/>
          </w:tcPr>
          <w:p w:rsidR="00FA5E35" w:rsidRPr="00515C36" w:rsidRDefault="00FA5E35" w:rsidP="000A052A">
            <w:pPr>
              <w:rPr>
                <w:rFonts w:ascii="Calibri" w:eastAsia="Times New Roman" w:hAnsi="Calibri"/>
                <w:color w:val="000000"/>
                <w:sz w:val="22"/>
                <w:szCs w:val="22"/>
              </w:rPr>
            </w:pPr>
          </w:p>
        </w:tc>
        <w:tc>
          <w:tcPr>
            <w:tcW w:w="1416" w:type="dxa"/>
            <w:tcBorders>
              <w:top w:val="nil"/>
              <w:left w:val="nil"/>
              <w:bottom w:val="nil"/>
              <w:right w:val="nil"/>
            </w:tcBorders>
            <w:shd w:val="clear" w:color="auto" w:fill="auto"/>
            <w:noWrap/>
            <w:vAlign w:val="bottom"/>
            <w:hideMark/>
          </w:tcPr>
          <w:p w:rsidR="00FA5E35" w:rsidRPr="00515C36" w:rsidRDefault="00FA5E35" w:rsidP="000A052A">
            <w:pPr>
              <w:rPr>
                <w:rFonts w:ascii="Calibri" w:eastAsia="Times New Roman" w:hAnsi="Calibri"/>
                <w:color w:val="000000"/>
                <w:sz w:val="22"/>
                <w:szCs w:val="22"/>
              </w:rPr>
            </w:pPr>
          </w:p>
        </w:tc>
      </w:tr>
    </w:tbl>
    <w:p w:rsidR="00FA5E35" w:rsidRDefault="00FA5E35" w:rsidP="00FA5E35">
      <w:pPr>
        <w:rPr>
          <w:rFonts w:asciiTheme="minorHAnsi" w:hAnsiTheme="minorHAnsi"/>
        </w:rPr>
        <w:sectPr w:rsidR="00FA5E35" w:rsidSect="00465AE7">
          <w:pgSz w:w="12240" w:h="15840"/>
          <w:pgMar w:top="1440" w:right="1440" w:bottom="1440" w:left="1440" w:header="720" w:footer="720" w:gutter="0"/>
          <w:cols w:space="720"/>
          <w:docGrid w:linePitch="360"/>
        </w:sectPr>
      </w:pPr>
    </w:p>
    <w:p w:rsidR="00FA5E35" w:rsidRDefault="00FA5E35" w:rsidP="00FA5E35">
      <w:pPr>
        <w:pStyle w:val="Caption"/>
        <w:keepNext/>
      </w:pPr>
    </w:p>
    <w:tbl>
      <w:tblPr>
        <w:tblW w:w="13380" w:type="dxa"/>
        <w:tblInd w:w="93" w:type="dxa"/>
        <w:tblLook w:val="04A0" w:firstRow="1" w:lastRow="0" w:firstColumn="1" w:lastColumn="0" w:noHBand="0" w:noVBand="1"/>
      </w:tblPr>
      <w:tblGrid>
        <w:gridCol w:w="2100"/>
        <w:gridCol w:w="6300"/>
        <w:gridCol w:w="4980"/>
      </w:tblGrid>
      <w:tr w:rsidR="00FA5E35" w:rsidRPr="00A22DB9" w:rsidTr="000A052A">
        <w:trPr>
          <w:trHeight w:val="330"/>
        </w:trPr>
        <w:tc>
          <w:tcPr>
            <w:tcW w:w="13380" w:type="dxa"/>
            <w:gridSpan w:val="3"/>
            <w:tcBorders>
              <w:top w:val="nil"/>
              <w:left w:val="nil"/>
              <w:bottom w:val="nil"/>
              <w:right w:val="nil"/>
            </w:tcBorders>
            <w:shd w:val="clear" w:color="auto" w:fill="auto"/>
            <w:noWrap/>
            <w:vAlign w:val="center"/>
            <w:hideMark/>
          </w:tcPr>
          <w:p w:rsidR="00FA5E35" w:rsidRPr="00A22DB9" w:rsidRDefault="00FA5E35" w:rsidP="00953514">
            <w:pPr>
              <w:pStyle w:val="Caption"/>
              <w:rPr>
                <w:rFonts w:ascii="Calibri" w:eastAsia="Times New Roman" w:hAnsi="Calibri"/>
                <w:color w:val="000000"/>
                <w:sz w:val="22"/>
                <w:szCs w:val="22"/>
              </w:rPr>
            </w:pPr>
            <w:bookmarkStart w:id="35" w:name="_Toc382813964"/>
            <w:r>
              <w:t>Table</w:t>
            </w:r>
            <w:r w:rsidR="00953514">
              <w:t xml:space="preserve"> 5.2</w:t>
            </w:r>
            <w:r>
              <w:t>: Definition of food security groups</w:t>
            </w:r>
            <w:bookmarkEnd w:id="35"/>
            <w:r w:rsidRPr="00A22DB9">
              <w:rPr>
                <w:rFonts w:ascii="Calibri" w:eastAsia="Times New Roman" w:hAnsi="Calibri"/>
                <w:color w:val="000000"/>
                <w:sz w:val="22"/>
                <w:szCs w:val="22"/>
              </w:rPr>
              <w:t xml:space="preserve"> </w:t>
            </w:r>
          </w:p>
        </w:tc>
      </w:tr>
      <w:tr w:rsidR="00FA5E35" w:rsidRPr="007740E1" w:rsidTr="000A052A">
        <w:trPr>
          <w:trHeight w:val="300"/>
        </w:trPr>
        <w:tc>
          <w:tcPr>
            <w:tcW w:w="2100" w:type="dxa"/>
            <w:tcBorders>
              <w:top w:val="single" w:sz="8" w:space="0" w:color="auto"/>
              <w:left w:val="nil"/>
              <w:bottom w:val="single" w:sz="4" w:space="0" w:color="auto"/>
              <w:right w:val="nil"/>
            </w:tcBorders>
            <w:shd w:val="clear" w:color="000000" w:fill="DDD9C4"/>
            <w:noWrap/>
            <w:vAlign w:val="bottom"/>
            <w:hideMark/>
          </w:tcPr>
          <w:p w:rsidR="00FA5E35" w:rsidRPr="007740E1" w:rsidRDefault="00FA5E35" w:rsidP="000A052A">
            <w:pPr>
              <w:rPr>
                <w:rFonts w:ascii="Calibri" w:eastAsia="Times New Roman" w:hAnsi="Calibri"/>
                <w:b/>
                <w:bCs/>
                <w:color w:val="000000"/>
                <w:sz w:val="20"/>
                <w:szCs w:val="20"/>
              </w:rPr>
            </w:pPr>
            <w:r w:rsidRPr="007740E1">
              <w:rPr>
                <w:rFonts w:ascii="Calibri" w:eastAsia="Times New Roman" w:hAnsi="Calibri"/>
                <w:b/>
                <w:bCs/>
                <w:color w:val="000000"/>
                <w:sz w:val="20"/>
                <w:szCs w:val="20"/>
              </w:rPr>
              <w:t>Food insecurity category</w:t>
            </w:r>
          </w:p>
        </w:tc>
        <w:tc>
          <w:tcPr>
            <w:tcW w:w="6300" w:type="dxa"/>
            <w:tcBorders>
              <w:top w:val="single" w:sz="8" w:space="0" w:color="auto"/>
              <w:left w:val="dashed" w:sz="4" w:space="0" w:color="auto"/>
              <w:bottom w:val="single" w:sz="4" w:space="0" w:color="auto"/>
              <w:right w:val="dashed" w:sz="4" w:space="0" w:color="auto"/>
            </w:tcBorders>
            <w:shd w:val="clear" w:color="000000" w:fill="DDD9C4"/>
            <w:noWrap/>
            <w:vAlign w:val="bottom"/>
            <w:hideMark/>
          </w:tcPr>
          <w:p w:rsidR="00FA5E35" w:rsidRPr="007740E1" w:rsidRDefault="00FA5E35" w:rsidP="000A052A">
            <w:pPr>
              <w:rPr>
                <w:rFonts w:ascii="Calibri" w:eastAsia="Times New Roman" w:hAnsi="Calibri"/>
                <w:b/>
                <w:bCs/>
                <w:color w:val="000000"/>
                <w:sz w:val="20"/>
                <w:szCs w:val="20"/>
              </w:rPr>
            </w:pPr>
            <w:r w:rsidRPr="007740E1">
              <w:rPr>
                <w:rFonts w:ascii="Calibri" w:eastAsia="Times New Roman" w:hAnsi="Calibri"/>
                <w:b/>
                <w:bCs/>
                <w:color w:val="000000"/>
                <w:sz w:val="20"/>
                <w:szCs w:val="20"/>
              </w:rPr>
              <w:t xml:space="preserve">   Definition</w:t>
            </w:r>
          </w:p>
        </w:tc>
        <w:tc>
          <w:tcPr>
            <w:tcW w:w="4980" w:type="dxa"/>
            <w:tcBorders>
              <w:top w:val="single" w:sz="8" w:space="0" w:color="auto"/>
              <w:left w:val="nil"/>
              <w:bottom w:val="single" w:sz="4" w:space="0" w:color="auto"/>
              <w:right w:val="nil"/>
            </w:tcBorders>
            <w:shd w:val="clear" w:color="000000" w:fill="DDD9C4"/>
            <w:noWrap/>
            <w:vAlign w:val="bottom"/>
            <w:hideMark/>
          </w:tcPr>
          <w:p w:rsidR="00FA5E35" w:rsidRPr="007740E1" w:rsidRDefault="00FA5E35" w:rsidP="000A052A">
            <w:pPr>
              <w:rPr>
                <w:rFonts w:ascii="Calibri" w:eastAsia="Times New Roman" w:hAnsi="Calibri"/>
                <w:b/>
                <w:bCs/>
                <w:color w:val="000000"/>
                <w:sz w:val="20"/>
                <w:szCs w:val="20"/>
              </w:rPr>
            </w:pPr>
            <w:r w:rsidRPr="007740E1">
              <w:rPr>
                <w:rFonts w:ascii="Calibri" w:eastAsia="Times New Roman" w:hAnsi="Calibri"/>
                <w:b/>
                <w:bCs/>
                <w:color w:val="000000"/>
                <w:sz w:val="20"/>
                <w:szCs w:val="20"/>
              </w:rPr>
              <w:t xml:space="preserve">   Intuition</w:t>
            </w:r>
          </w:p>
        </w:tc>
      </w:tr>
      <w:tr w:rsidR="00FA5E35" w:rsidRPr="007740E1" w:rsidTr="000A052A">
        <w:trPr>
          <w:trHeight w:val="1290"/>
        </w:trPr>
        <w:tc>
          <w:tcPr>
            <w:tcW w:w="2100" w:type="dxa"/>
            <w:tcBorders>
              <w:top w:val="nil"/>
              <w:left w:val="nil"/>
              <w:bottom w:val="dotted" w:sz="4" w:space="0" w:color="auto"/>
              <w:right w:val="nil"/>
            </w:tcBorders>
            <w:shd w:val="clear" w:color="auto" w:fill="auto"/>
            <w:vAlign w:val="center"/>
            <w:hideMark/>
          </w:tcPr>
          <w:p w:rsidR="00FA5E35" w:rsidRPr="007740E1" w:rsidRDefault="00FA5E35" w:rsidP="000A052A">
            <w:pPr>
              <w:rPr>
                <w:rFonts w:ascii="Calibri" w:eastAsia="Times New Roman" w:hAnsi="Calibri"/>
                <w:color w:val="000000"/>
                <w:sz w:val="20"/>
                <w:szCs w:val="20"/>
              </w:rPr>
            </w:pPr>
            <w:r w:rsidRPr="007740E1">
              <w:rPr>
                <w:rFonts w:ascii="Calibri" w:eastAsia="Times New Roman" w:hAnsi="Calibri"/>
                <w:color w:val="000000"/>
                <w:sz w:val="20"/>
                <w:szCs w:val="20"/>
              </w:rPr>
              <w:t>Extremely food insecure</w:t>
            </w:r>
          </w:p>
        </w:tc>
        <w:tc>
          <w:tcPr>
            <w:tcW w:w="6300" w:type="dxa"/>
            <w:tcBorders>
              <w:top w:val="nil"/>
              <w:left w:val="dashed" w:sz="4" w:space="0" w:color="auto"/>
              <w:bottom w:val="dotted" w:sz="4" w:space="0" w:color="auto"/>
              <w:right w:val="dashed" w:sz="4" w:space="0" w:color="auto"/>
            </w:tcBorders>
            <w:shd w:val="clear" w:color="auto" w:fill="auto"/>
            <w:hideMark/>
          </w:tcPr>
          <w:p w:rsidR="00FA5E35" w:rsidRPr="007740E1" w:rsidRDefault="00FA5E35" w:rsidP="00953514">
            <w:pPr>
              <w:rPr>
                <w:rFonts w:ascii="Calibri" w:eastAsia="Times New Roman" w:hAnsi="Calibri"/>
                <w:color w:val="000000"/>
                <w:sz w:val="20"/>
                <w:szCs w:val="20"/>
              </w:rPr>
            </w:pPr>
            <w:r w:rsidRPr="007740E1">
              <w:rPr>
                <w:rFonts w:ascii="Calibri" w:eastAsia="Times New Roman" w:hAnsi="Calibri"/>
                <w:color w:val="000000"/>
                <w:sz w:val="20"/>
                <w:szCs w:val="20"/>
              </w:rPr>
              <w:t xml:space="preserve">Households classified as extremely food insecure are either </w:t>
            </w:r>
            <w:r>
              <w:rPr>
                <w:rFonts w:ascii="Calibri" w:eastAsia="Times New Roman" w:hAnsi="Calibri"/>
                <w:color w:val="000000"/>
                <w:sz w:val="20"/>
                <w:szCs w:val="20"/>
              </w:rPr>
              <w:t>(</w:t>
            </w:r>
            <w:r w:rsidRPr="007740E1">
              <w:rPr>
                <w:rFonts w:ascii="Calibri" w:eastAsia="Times New Roman" w:hAnsi="Calibri"/>
                <w:color w:val="000000"/>
                <w:sz w:val="20"/>
                <w:szCs w:val="20"/>
              </w:rPr>
              <w:t xml:space="preserve">1) currently severely food deprived, living in poverty (“poor” or “deep poor”), or if they are not poor, they have low resilience; or </w:t>
            </w:r>
            <w:r>
              <w:rPr>
                <w:rFonts w:ascii="Calibri" w:eastAsia="Times New Roman" w:hAnsi="Calibri"/>
                <w:color w:val="000000"/>
                <w:sz w:val="20"/>
                <w:szCs w:val="20"/>
              </w:rPr>
              <w:t>(</w:t>
            </w:r>
            <w:r w:rsidRPr="007740E1">
              <w:rPr>
                <w:rFonts w:ascii="Calibri" w:eastAsia="Times New Roman" w:hAnsi="Calibri"/>
                <w:color w:val="000000"/>
                <w:sz w:val="20"/>
                <w:szCs w:val="20"/>
              </w:rPr>
              <w:t>2) currently only moderately food deprived, but either deep poor or poor with low resilience.</w:t>
            </w:r>
          </w:p>
        </w:tc>
        <w:tc>
          <w:tcPr>
            <w:tcW w:w="4980" w:type="dxa"/>
            <w:tcBorders>
              <w:top w:val="nil"/>
              <w:left w:val="nil"/>
              <w:bottom w:val="dotted" w:sz="4" w:space="0" w:color="auto"/>
              <w:right w:val="nil"/>
            </w:tcBorders>
            <w:shd w:val="clear" w:color="auto" w:fill="auto"/>
            <w:hideMark/>
          </w:tcPr>
          <w:p w:rsidR="00FA5E35" w:rsidRPr="007740E1" w:rsidRDefault="00FA5E35" w:rsidP="000A052A">
            <w:pPr>
              <w:rPr>
                <w:rFonts w:ascii="Calibri" w:eastAsia="Times New Roman" w:hAnsi="Calibri"/>
                <w:color w:val="000000"/>
                <w:sz w:val="20"/>
                <w:szCs w:val="20"/>
              </w:rPr>
            </w:pPr>
            <w:r w:rsidRPr="007740E1">
              <w:rPr>
                <w:rFonts w:ascii="Calibri" w:eastAsia="Times New Roman" w:hAnsi="Calibri"/>
                <w:color w:val="000000"/>
                <w:sz w:val="20"/>
                <w:szCs w:val="20"/>
              </w:rPr>
              <w:t xml:space="preserve">Households in this category are the most food deprived and poorest; If they are currently severely food deprived yet not poor, they have low resilience such that they are likely to suffer continuous consumption shortfalls in the face of shocks. </w:t>
            </w:r>
          </w:p>
        </w:tc>
      </w:tr>
      <w:tr w:rsidR="00FA5E35" w:rsidRPr="007740E1" w:rsidTr="000A052A">
        <w:trPr>
          <w:trHeight w:val="990"/>
        </w:trPr>
        <w:tc>
          <w:tcPr>
            <w:tcW w:w="2100" w:type="dxa"/>
            <w:tcBorders>
              <w:top w:val="nil"/>
              <w:left w:val="nil"/>
              <w:bottom w:val="dotted" w:sz="4" w:space="0" w:color="auto"/>
              <w:right w:val="nil"/>
            </w:tcBorders>
            <w:shd w:val="clear" w:color="auto" w:fill="auto"/>
            <w:vAlign w:val="center"/>
            <w:hideMark/>
          </w:tcPr>
          <w:p w:rsidR="00FA5E35" w:rsidRPr="007740E1" w:rsidRDefault="00FA5E35" w:rsidP="000A052A">
            <w:pPr>
              <w:rPr>
                <w:rFonts w:ascii="Calibri" w:eastAsia="Times New Roman" w:hAnsi="Calibri"/>
                <w:color w:val="000000"/>
                <w:sz w:val="20"/>
                <w:szCs w:val="20"/>
              </w:rPr>
            </w:pPr>
            <w:r w:rsidRPr="007740E1">
              <w:rPr>
                <w:rFonts w:ascii="Calibri" w:eastAsia="Times New Roman" w:hAnsi="Calibri"/>
                <w:color w:val="000000"/>
                <w:sz w:val="20"/>
                <w:szCs w:val="20"/>
              </w:rPr>
              <w:t>Moderately food insecure</w:t>
            </w:r>
          </w:p>
        </w:tc>
        <w:tc>
          <w:tcPr>
            <w:tcW w:w="6300" w:type="dxa"/>
            <w:tcBorders>
              <w:top w:val="nil"/>
              <w:left w:val="dashed" w:sz="4" w:space="0" w:color="auto"/>
              <w:bottom w:val="dotted" w:sz="4" w:space="0" w:color="auto"/>
              <w:right w:val="dashed" w:sz="4" w:space="0" w:color="auto"/>
            </w:tcBorders>
            <w:shd w:val="clear" w:color="auto" w:fill="auto"/>
            <w:hideMark/>
          </w:tcPr>
          <w:p w:rsidR="00FA5E35" w:rsidRPr="007740E1" w:rsidRDefault="00FA5E35" w:rsidP="000A052A">
            <w:pPr>
              <w:rPr>
                <w:rFonts w:ascii="Calibri" w:eastAsia="Times New Roman" w:hAnsi="Calibri"/>
                <w:color w:val="000000"/>
                <w:sz w:val="20"/>
                <w:szCs w:val="20"/>
              </w:rPr>
            </w:pPr>
            <w:r w:rsidRPr="007740E1">
              <w:rPr>
                <w:rFonts w:ascii="Calibri" w:eastAsia="Times New Roman" w:hAnsi="Calibri"/>
                <w:color w:val="000000"/>
                <w:sz w:val="20"/>
                <w:szCs w:val="20"/>
              </w:rPr>
              <w:t>Households classified as moderately food insecure are currently food deprived, whether severely or moderately.    If severely food deprived, they are non-poor and have medium-to-high resilience.  If moderately food deprived, they are poor with medium-to-high resilience or non-poor with low-to-medium resilience.</w:t>
            </w:r>
          </w:p>
        </w:tc>
        <w:tc>
          <w:tcPr>
            <w:tcW w:w="4980" w:type="dxa"/>
            <w:tcBorders>
              <w:top w:val="nil"/>
              <w:left w:val="nil"/>
              <w:bottom w:val="dotted" w:sz="4" w:space="0" w:color="auto"/>
              <w:right w:val="nil"/>
            </w:tcBorders>
            <w:shd w:val="clear" w:color="auto" w:fill="auto"/>
            <w:hideMark/>
          </w:tcPr>
          <w:p w:rsidR="00FA5E35" w:rsidRPr="007740E1" w:rsidRDefault="00FA5E35" w:rsidP="000A052A">
            <w:pPr>
              <w:rPr>
                <w:rFonts w:ascii="Calibri" w:eastAsia="Times New Roman" w:hAnsi="Calibri"/>
                <w:color w:val="000000"/>
                <w:sz w:val="20"/>
                <w:szCs w:val="20"/>
              </w:rPr>
            </w:pPr>
            <w:r w:rsidRPr="007740E1">
              <w:rPr>
                <w:rFonts w:ascii="Calibri" w:eastAsia="Times New Roman" w:hAnsi="Calibri"/>
                <w:color w:val="000000"/>
                <w:sz w:val="20"/>
                <w:szCs w:val="20"/>
              </w:rPr>
              <w:t>These households are either food deprived, poor, or have low resilience, but are not facing all of these conditions at once.</w:t>
            </w:r>
          </w:p>
        </w:tc>
      </w:tr>
      <w:tr w:rsidR="00FA5E35" w:rsidRPr="007740E1" w:rsidTr="000A052A">
        <w:trPr>
          <w:trHeight w:val="1800"/>
        </w:trPr>
        <w:tc>
          <w:tcPr>
            <w:tcW w:w="2100" w:type="dxa"/>
            <w:tcBorders>
              <w:top w:val="nil"/>
              <w:left w:val="nil"/>
              <w:bottom w:val="dotted" w:sz="4" w:space="0" w:color="auto"/>
              <w:right w:val="nil"/>
            </w:tcBorders>
            <w:shd w:val="clear" w:color="auto" w:fill="auto"/>
            <w:vAlign w:val="center"/>
            <w:hideMark/>
          </w:tcPr>
          <w:p w:rsidR="00FA5E35" w:rsidRPr="007740E1" w:rsidRDefault="00FA5E35" w:rsidP="000A052A">
            <w:pPr>
              <w:rPr>
                <w:rFonts w:ascii="Calibri" w:eastAsia="Times New Roman" w:hAnsi="Calibri"/>
                <w:color w:val="000000"/>
                <w:sz w:val="20"/>
                <w:szCs w:val="20"/>
              </w:rPr>
            </w:pPr>
            <w:r w:rsidRPr="007740E1">
              <w:rPr>
                <w:rFonts w:ascii="Calibri" w:eastAsia="Times New Roman" w:hAnsi="Calibri"/>
                <w:color w:val="000000"/>
                <w:sz w:val="20"/>
                <w:szCs w:val="20"/>
              </w:rPr>
              <w:t>Vulnerable to food insecurity</w:t>
            </w:r>
          </w:p>
        </w:tc>
        <w:tc>
          <w:tcPr>
            <w:tcW w:w="6300" w:type="dxa"/>
            <w:tcBorders>
              <w:top w:val="nil"/>
              <w:left w:val="dashed" w:sz="4" w:space="0" w:color="auto"/>
              <w:bottom w:val="dotted" w:sz="4" w:space="0" w:color="auto"/>
              <w:right w:val="dashed" w:sz="4" w:space="0" w:color="auto"/>
            </w:tcBorders>
            <w:shd w:val="clear" w:color="auto" w:fill="auto"/>
            <w:hideMark/>
          </w:tcPr>
          <w:p w:rsidR="00FA5E35" w:rsidRPr="007740E1" w:rsidRDefault="00FA5E35" w:rsidP="000A052A">
            <w:pPr>
              <w:rPr>
                <w:rFonts w:ascii="Calibri" w:eastAsia="Times New Roman" w:hAnsi="Calibri"/>
                <w:color w:val="000000"/>
                <w:sz w:val="20"/>
                <w:szCs w:val="20"/>
              </w:rPr>
            </w:pPr>
            <w:r w:rsidRPr="007740E1">
              <w:rPr>
                <w:rFonts w:ascii="Calibri" w:eastAsia="Times New Roman" w:hAnsi="Calibri"/>
                <w:color w:val="000000"/>
                <w:sz w:val="20"/>
                <w:szCs w:val="20"/>
              </w:rPr>
              <w:t xml:space="preserve">Households classified as vulnerable to food insecurity are either </w:t>
            </w:r>
            <w:r>
              <w:rPr>
                <w:rFonts w:ascii="Calibri" w:eastAsia="Times New Roman" w:hAnsi="Calibri"/>
                <w:color w:val="000000"/>
                <w:sz w:val="20"/>
                <w:szCs w:val="20"/>
              </w:rPr>
              <w:t>(</w:t>
            </w:r>
            <w:r w:rsidRPr="007740E1">
              <w:rPr>
                <w:rFonts w:ascii="Calibri" w:eastAsia="Times New Roman" w:hAnsi="Calibri"/>
                <w:color w:val="000000"/>
                <w:sz w:val="20"/>
                <w:szCs w:val="20"/>
              </w:rPr>
              <w:t xml:space="preserve">1) not currently food deprived, but are poor or have low resilience; or </w:t>
            </w:r>
            <w:r>
              <w:rPr>
                <w:rFonts w:ascii="Calibri" w:eastAsia="Times New Roman" w:hAnsi="Calibri"/>
                <w:color w:val="000000"/>
                <w:sz w:val="20"/>
                <w:szCs w:val="20"/>
              </w:rPr>
              <w:t>(</w:t>
            </w:r>
            <w:r w:rsidRPr="007740E1">
              <w:rPr>
                <w:rFonts w:ascii="Calibri" w:eastAsia="Times New Roman" w:hAnsi="Calibri"/>
                <w:color w:val="000000"/>
                <w:sz w:val="20"/>
                <w:szCs w:val="20"/>
              </w:rPr>
              <w:t>2) are currently moderately food deprived but are not poor and have high resil</w:t>
            </w:r>
            <w:r>
              <w:rPr>
                <w:rFonts w:ascii="Calibri" w:eastAsia="Times New Roman" w:hAnsi="Calibri"/>
                <w:color w:val="000000"/>
                <w:sz w:val="20"/>
                <w:szCs w:val="20"/>
              </w:rPr>
              <w:t>i</w:t>
            </w:r>
            <w:r w:rsidRPr="007740E1">
              <w:rPr>
                <w:rFonts w:ascii="Calibri" w:eastAsia="Times New Roman" w:hAnsi="Calibri"/>
                <w:color w:val="000000"/>
                <w:sz w:val="20"/>
                <w:szCs w:val="20"/>
              </w:rPr>
              <w:t>ence.</w:t>
            </w:r>
          </w:p>
        </w:tc>
        <w:tc>
          <w:tcPr>
            <w:tcW w:w="4980" w:type="dxa"/>
            <w:tcBorders>
              <w:top w:val="nil"/>
              <w:left w:val="nil"/>
              <w:bottom w:val="dotted" w:sz="4" w:space="0" w:color="auto"/>
              <w:right w:val="nil"/>
            </w:tcBorders>
            <w:shd w:val="clear" w:color="auto" w:fill="auto"/>
            <w:hideMark/>
          </w:tcPr>
          <w:p w:rsidR="00FA5E35" w:rsidRPr="007740E1" w:rsidRDefault="00FA5E35" w:rsidP="000A052A">
            <w:pPr>
              <w:rPr>
                <w:rFonts w:ascii="Calibri" w:eastAsia="Times New Roman" w:hAnsi="Calibri"/>
                <w:color w:val="000000"/>
                <w:sz w:val="20"/>
                <w:szCs w:val="20"/>
              </w:rPr>
            </w:pPr>
            <w:r w:rsidRPr="007740E1">
              <w:rPr>
                <w:rFonts w:ascii="Calibri" w:eastAsia="Times New Roman" w:hAnsi="Calibri"/>
                <w:color w:val="000000"/>
                <w:sz w:val="20"/>
                <w:szCs w:val="20"/>
              </w:rPr>
              <w:t>Households in this category are not currently food deprived (or are only moderately so), but could easily become so because they are poor or have low resilience.   Another circumstance covered here that signals vulnerabil</w:t>
            </w:r>
            <w:r>
              <w:rPr>
                <w:rFonts w:ascii="Calibri" w:eastAsia="Times New Roman" w:hAnsi="Calibri"/>
                <w:color w:val="000000"/>
                <w:sz w:val="20"/>
                <w:szCs w:val="20"/>
              </w:rPr>
              <w:t>i</w:t>
            </w:r>
            <w:r w:rsidRPr="007740E1">
              <w:rPr>
                <w:rFonts w:ascii="Calibri" w:eastAsia="Times New Roman" w:hAnsi="Calibri"/>
                <w:color w:val="000000"/>
                <w:sz w:val="20"/>
                <w:szCs w:val="20"/>
              </w:rPr>
              <w:t>ty is the case of a household that is not poor and is resilient, but nevertheless is currently experiencing moderate food deprivation.</w:t>
            </w:r>
          </w:p>
        </w:tc>
      </w:tr>
      <w:tr w:rsidR="00FA5E35" w:rsidRPr="007740E1" w:rsidTr="000A052A">
        <w:trPr>
          <w:trHeight w:val="780"/>
        </w:trPr>
        <w:tc>
          <w:tcPr>
            <w:tcW w:w="2100" w:type="dxa"/>
            <w:tcBorders>
              <w:top w:val="nil"/>
              <w:left w:val="nil"/>
              <w:bottom w:val="single" w:sz="8" w:space="0" w:color="auto"/>
              <w:right w:val="nil"/>
            </w:tcBorders>
            <w:shd w:val="clear" w:color="auto" w:fill="auto"/>
            <w:vAlign w:val="center"/>
            <w:hideMark/>
          </w:tcPr>
          <w:p w:rsidR="00FA5E35" w:rsidRPr="007740E1" w:rsidRDefault="00FA5E35" w:rsidP="000A052A">
            <w:pPr>
              <w:rPr>
                <w:rFonts w:ascii="Calibri" w:eastAsia="Times New Roman" w:hAnsi="Calibri"/>
                <w:color w:val="000000"/>
                <w:sz w:val="20"/>
                <w:szCs w:val="20"/>
              </w:rPr>
            </w:pPr>
            <w:r w:rsidRPr="007740E1">
              <w:rPr>
                <w:rFonts w:ascii="Calibri" w:eastAsia="Times New Roman" w:hAnsi="Calibri"/>
                <w:color w:val="000000"/>
                <w:sz w:val="20"/>
                <w:szCs w:val="20"/>
              </w:rPr>
              <w:t>Food secure</w:t>
            </w:r>
          </w:p>
        </w:tc>
        <w:tc>
          <w:tcPr>
            <w:tcW w:w="6300" w:type="dxa"/>
            <w:tcBorders>
              <w:top w:val="nil"/>
              <w:left w:val="dashed" w:sz="4" w:space="0" w:color="auto"/>
              <w:bottom w:val="single" w:sz="8" w:space="0" w:color="auto"/>
              <w:right w:val="dashed" w:sz="4" w:space="0" w:color="auto"/>
            </w:tcBorders>
            <w:shd w:val="clear" w:color="auto" w:fill="auto"/>
            <w:hideMark/>
          </w:tcPr>
          <w:p w:rsidR="00FA5E35" w:rsidRPr="007740E1" w:rsidRDefault="00FA5E35" w:rsidP="000A052A">
            <w:pPr>
              <w:rPr>
                <w:rFonts w:ascii="Calibri" w:eastAsia="Times New Roman" w:hAnsi="Calibri"/>
                <w:color w:val="000000"/>
                <w:sz w:val="20"/>
                <w:szCs w:val="20"/>
              </w:rPr>
            </w:pPr>
            <w:r w:rsidRPr="007740E1">
              <w:rPr>
                <w:rFonts w:ascii="Calibri" w:eastAsia="Times New Roman" w:hAnsi="Calibri"/>
                <w:color w:val="000000"/>
                <w:sz w:val="20"/>
                <w:szCs w:val="20"/>
              </w:rPr>
              <w:t>Households classified as "food secure" are not currently food deprived, are not poor, and have medium-to-high resilience.</w:t>
            </w:r>
          </w:p>
        </w:tc>
        <w:tc>
          <w:tcPr>
            <w:tcW w:w="4980" w:type="dxa"/>
            <w:tcBorders>
              <w:top w:val="nil"/>
              <w:left w:val="nil"/>
              <w:bottom w:val="single" w:sz="8" w:space="0" w:color="auto"/>
              <w:right w:val="nil"/>
            </w:tcBorders>
            <w:shd w:val="clear" w:color="auto" w:fill="auto"/>
            <w:hideMark/>
          </w:tcPr>
          <w:p w:rsidR="00FA5E35" w:rsidRPr="007740E1" w:rsidRDefault="00FA5E35" w:rsidP="000A052A">
            <w:pPr>
              <w:rPr>
                <w:rFonts w:ascii="Calibri" w:eastAsia="Times New Roman" w:hAnsi="Calibri"/>
                <w:color w:val="000000"/>
                <w:sz w:val="20"/>
                <w:szCs w:val="20"/>
              </w:rPr>
            </w:pPr>
            <w:r w:rsidRPr="007740E1">
              <w:rPr>
                <w:rFonts w:ascii="Calibri" w:eastAsia="Times New Roman" w:hAnsi="Calibri"/>
                <w:color w:val="000000"/>
                <w:sz w:val="20"/>
                <w:szCs w:val="20"/>
              </w:rPr>
              <w:t>Households in this category are not currently food deprived, are not poor</w:t>
            </w:r>
            <w:r>
              <w:rPr>
                <w:rFonts w:ascii="Calibri" w:eastAsia="Times New Roman" w:hAnsi="Calibri"/>
                <w:color w:val="000000"/>
                <w:sz w:val="20"/>
                <w:szCs w:val="20"/>
              </w:rPr>
              <w:t>,</w:t>
            </w:r>
            <w:r w:rsidRPr="007740E1">
              <w:rPr>
                <w:rFonts w:ascii="Calibri" w:eastAsia="Times New Roman" w:hAnsi="Calibri"/>
                <w:color w:val="000000"/>
                <w:sz w:val="20"/>
                <w:szCs w:val="20"/>
              </w:rPr>
              <w:t xml:space="preserve"> and are resil</w:t>
            </w:r>
            <w:r>
              <w:rPr>
                <w:rFonts w:ascii="Calibri" w:eastAsia="Times New Roman" w:hAnsi="Calibri"/>
                <w:color w:val="000000"/>
                <w:sz w:val="20"/>
                <w:szCs w:val="20"/>
              </w:rPr>
              <w:t>i</w:t>
            </w:r>
            <w:r w:rsidRPr="007740E1">
              <w:rPr>
                <w:rFonts w:ascii="Calibri" w:eastAsia="Times New Roman" w:hAnsi="Calibri"/>
                <w:color w:val="000000"/>
                <w:sz w:val="20"/>
                <w:szCs w:val="20"/>
              </w:rPr>
              <w:t>ent to future shocks to their food consumption.</w:t>
            </w:r>
          </w:p>
        </w:tc>
      </w:tr>
    </w:tbl>
    <w:p w:rsidR="00FA5E35" w:rsidRDefault="00FA5E35" w:rsidP="00FA5E35">
      <w:pPr>
        <w:rPr>
          <w:rFonts w:asciiTheme="minorHAnsi" w:hAnsiTheme="minorHAnsi"/>
        </w:rPr>
        <w:sectPr w:rsidR="00FA5E35" w:rsidSect="00465AE7">
          <w:pgSz w:w="15840" w:h="12240" w:orient="landscape"/>
          <w:pgMar w:top="1440" w:right="1440" w:bottom="1440" w:left="1440" w:header="720" w:footer="720" w:gutter="0"/>
          <w:cols w:space="720"/>
          <w:docGrid w:linePitch="360"/>
        </w:sectPr>
      </w:pPr>
    </w:p>
    <w:p w:rsidR="00D02B9E" w:rsidRPr="00613506" w:rsidRDefault="00D02B9E" w:rsidP="0098190D">
      <w:pPr>
        <w:pStyle w:val="Heading1"/>
        <w:rPr>
          <w:rFonts w:asciiTheme="minorHAnsi" w:hAnsiTheme="minorHAnsi"/>
        </w:rPr>
      </w:pPr>
      <w:bookmarkStart w:id="36" w:name="_Toc395979716"/>
      <w:r w:rsidRPr="00613506">
        <w:rPr>
          <w:rFonts w:asciiTheme="minorHAnsi" w:hAnsiTheme="minorHAnsi"/>
        </w:rPr>
        <w:lastRenderedPageBreak/>
        <w:t>6.  Assessment of options for measuring pre-assistance food insecurity rates</w:t>
      </w:r>
      <w:bookmarkEnd w:id="36"/>
      <w:r w:rsidRPr="00613506">
        <w:rPr>
          <w:rFonts w:asciiTheme="minorHAnsi" w:hAnsiTheme="minorHAnsi"/>
        </w:rPr>
        <w:t xml:space="preserve"> </w:t>
      </w:r>
    </w:p>
    <w:p w:rsidR="00D02B9E" w:rsidRDefault="00D02B9E">
      <w:pPr>
        <w:rPr>
          <w:rFonts w:asciiTheme="minorHAnsi" w:hAnsiTheme="minorHAnsi"/>
          <w:b/>
          <w:color w:val="365F91" w:themeColor="accent1" w:themeShade="BF"/>
          <w:sz w:val="28"/>
          <w:szCs w:val="28"/>
        </w:rPr>
      </w:pPr>
    </w:p>
    <w:p w:rsidR="00D02B9E" w:rsidRPr="000A052A" w:rsidRDefault="00D02B9E">
      <w:pPr>
        <w:rPr>
          <w:rFonts w:asciiTheme="minorHAnsi" w:hAnsiTheme="minorHAnsi"/>
        </w:rPr>
      </w:pPr>
      <w:r>
        <w:rPr>
          <w:rFonts w:asciiTheme="minorHAnsi" w:hAnsiTheme="minorHAnsi"/>
        </w:rPr>
        <w:t>Measuring pre-assistance food insecurity rates in Palestine require</w:t>
      </w:r>
      <w:r w:rsidR="0066763F">
        <w:rPr>
          <w:rFonts w:asciiTheme="minorHAnsi" w:hAnsiTheme="minorHAnsi"/>
        </w:rPr>
        <w:t>s</w:t>
      </w:r>
      <w:r>
        <w:rPr>
          <w:rFonts w:asciiTheme="minorHAnsi" w:hAnsiTheme="minorHAnsi"/>
        </w:rPr>
        <w:t xml:space="preserve"> estimating the food insecurity prevalence that would have occurred in the absence of assistance.    </w:t>
      </w:r>
      <w:r w:rsidR="009A0A04">
        <w:rPr>
          <w:rFonts w:asciiTheme="minorHAnsi" w:hAnsiTheme="minorHAnsi"/>
        </w:rPr>
        <w:t xml:space="preserve">A valid estimate of this “counterfactual” prevalence could potentially </w:t>
      </w:r>
      <w:r>
        <w:rPr>
          <w:rFonts w:asciiTheme="minorHAnsi" w:hAnsiTheme="minorHAnsi"/>
        </w:rPr>
        <w:t xml:space="preserve">be obtained using various impact evaluation techniques, where impact </w:t>
      </w:r>
      <w:r w:rsidRPr="000A052A">
        <w:rPr>
          <w:rFonts w:asciiTheme="minorHAnsi" w:hAnsiTheme="minorHAnsi"/>
        </w:rPr>
        <w:t xml:space="preserve">evaluation is </w:t>
      </w:r>
      <w:r w:rsidR="000A052A" w:rsidRPr="000A052A">
        <w:rPr>
          <w:rFonts w:asciiTheme="minorHAnsi" w:hAnsiTheme="minorHAnsi"/>
        </w:rPr>
        <w:t xml:space="preserve">described </w:t>
      </w:r>
      <w:r w:rsidRPr="000A052A">
        <w:rPr>
          <w:rFonts w:asciiTheme="minorHAnsi" w:hAnsiTheme="minorHAnsi"/>
        </w:rPr>
        <w:t>as follows:</w:t>
      </w:r>
    </w:p>
    <w:p w:rsidR="000A052A" w:rsidRPr="000A052A" w:rsidRDefault="000A052A">
      <w:pPr>
        <w:rPr>
          <w:rFonts w:asciiTheme="minorHAnsi" w:hAnsiTheme="minorHAnsi"/>
        </w:rPr>
      </w:pPr>
    </w:p>
    <w:p w:rsidR="000A052A" w:rsidRPr="000A052A" w:rsidRDefault="000A052A" w:rsidP="000A052A">
      <w:pPr>
        <w:ind w:left="810" w:right="1170"/>
        <w:rPr>
          <w:rFonts w:asciiTheme="minorHAnsi" w:hAnsiTheme="minorHAnsi" w:cs="Arial"/>
          <w:color w:val="000000"/>
        </w:rPr>
      </w:pPr>
      <w:r w:rsidRPr="000A052A">
        <w:rPr>
          <w:rFonts w:asciiTheme="minorHAnsi" w:hAnsiTheme="minorHAnsi" w:cs="Arial"/>
          <w:color w:val="000000"/>
        </w:rPr>
        <w:t>An impact evaluation assesses changes in the well-being of individuals, households, communities or firms that can be attributed to a particular project, program or policy. The central impact evaluation question is what would have happened to those receiving the inte</w:t>
      </w:r>
      <w:r w:rsidRPr="00692319">
        <w:rPr>
          <w:rFonts w:asciiTheme="minorHAnsi" w:hAnsiTheme="minorHAnsi" w:cs="Arial"/>
          <w:color w:val="000000"/>
        </w:rPr>
        <w:t>rvention if they had not in fact received the program.  Since we cannot observe this group both with and without the intervention, the key challenge is to develop a counterfactual – that is, a group which is as similar as possible (in observable and unobservable dimensions) to those receiving the intervention.  This comparison allows for the establishment of definitive causality – attributing observed changes in welfa</w:t>
      </w:r>
      <w:r w:rsidRPr="000A052A">
        <w:rPr>
          <w:rFonts w:asciiTheme="minorHAnsi" w:hAnsiTheme="minorHAnsi" w:cs="Arial"/>
          <w:color w:val="000000"/>
        </w:rPr>
        <w:t>re to the program, while removing confounding factors (World Bank 2014).</w:t>
      </w:r>
    </w:p>
    <w:p w:rsidR="000A052A" w:rsidRDefault="000A052A">
      <w:pPr>
        <w:rPr>
          <w:rFonts w:asciiTheme="minorHAnsi" w:hAnsiTheme="minorHAnsi"/>
        </w:rPr>
      </w:pPr>
    </w:p>
    <w:p w:rsidR="00320102" w:rsidRDefault="009A0A04">
      <w:pPr>
        <w:rPr>
          <w:rFonts w:asciiTheme="minorHAnsi" w:hAnsiTheme="minorHAnsi"/>
        </w:rPr>
      </w:pPr>
      <w:r>
        <w:rPr>
          <w:rFonts w:asciiTheme="minorHAnsi" w:hAnsiTheme="minorHAnsi"/>
        </w:rPr>
        <w:t xml:space="preserve">As noted </w:t>
      </w:r>
      <w:r w:rsidR="00320102">
        <w:rPr>
          <w:rFonts w:asciiTheme="minorHAnsi" w:hAnsiTheme="minorHAnsi"/>
        </w:rPr>
        <w:t>in this description, because</w:t>
      </w:r>
      <w:r w:rsidR="00322A69">
        <w:rPr>
          <w:rFonts w:asciiTheme="minorHAnsi" w:hAnsiTheme="minorHAnsi"/>
        </w:rPr>
        <w:t xml:space="preserve"> it is not possible to observe the food security status of one household both with and without assistance (since only one of these cases actually occurs), estimating a counterfactual requires identifying a comparison </w:t>
      </w:r>
      <w:r w:rsidR="0066763F">
        <w:rPr>
          <w:rFonts w:asciiTheme="minorHAnsi" w:hAnsiTheme="minorHAnsi"/>
        </w:rPr>
        <w:t xml:space="preserve">or “control” </w:t>
      </w:r>
      <w:r w:rsidR="00322A69">
        <w:rPr>
          <w:rFonts w:asciiTheme="minorHAnsi" w:hAnsiTheme="minorHAnsi"/>
        </w:rPr>
        <w:t xml:space="preserve">group of households </w:t>
      </w:r>
      <w:r w:rsidR="00C73B9D">
        <w:rPr>
          <w:rFonts w:asciiTheme="minorHAnsi" w:hAnsiTheme="minorHAnsi"/>
        </w:rPr>
        <w:t xml:space="preserve">that do not </w:t>
      </w:r>
      <w:r w:rsidR="00322A69">
        <w:rPr>
          <w:rFonts w:asciiTheme="minorHAnsi" w:hAnsiTheme="minorHAnsi"/>
        </w:rPr>
        <w:t>receiv</w:t>
      </w:r>
      <w:r w:rsidR="00C73B9D">
        <w:rPr>
          <w:rFonts w:asciiTheme="minorHAnsi" w:hAnsiTheme="minorHAnsi"/>
        </w:rPr>
        <w:t>e</w:t>
      </w:r>
      <w:r>
        <w:rPr>
          <w:rFonts w:asciiTheme="minorHAnsi" w:hAnsiTheme="minorHAnsi"/>
        </w:rPr>
        <w:t xml:space="preserve"> assistance</w:t>
      </w:r>
      <w:r w:rsidR="00322A69">
        <w:rPr>
          <w:rFonts w:asciiTheme="minorHAnsi" w:hAnsiTheme="minorHAnsi"/>
        </w:rPr>
        <w:t>.</w:t>
      </w:r>
      <w:r w:rsidR="0066763F">
        <w:rPr>
          <w:rFonts w:asciiTheme="minorHAnsi" w:hAnsiTheme="minorHAnsi"/>
        </w:rPr>
        <w:t xml:space="preserve">  </w:t>
      </w:r>
    </w:p>
    <w:p w:rsidR="00320102" w:rsidRDefault="00320102">
      <w:pPr>
        <w:rPr>
          <w:rFonts w:asciiTheme="minorHAnsi" w:hAnsiTheme="minorHAnsi"/>
        </w:rPr>
      </w:pPr>
    </w:p>
    <w:p w:rsidR="00322A69" w:rsidRDefault="00320102">
      <w:pPr>
        <w:rPr>
          <w:rFonts w:asciiTheme="minorHAnsi" w:hAnsiTheme="minorHAnsi"/>
        </w:rPr>
      </w:pPr>
      <w:r>
        <w:rPr>
          <w:rFonts w:asciiTheme="minorHAnsi" w:hAnsiTheme="minorHAnsi"/>
        </w:rPr>
        <w:t xml:space="preserve">In the case of </w:t>
      </w:r>
      <w:r w:rsidR="009A0A04">
        <w:rPr>
          <w:rFonts w:asciiTheme="minorHAnsi" w:hAnsiTheme="minorHAnsi"/>
        </w:rPr>
        <w:t xml:space="preserve">assistance </w:t>
      </w:r>
      <w:r w:rsidR="00322A69">
        <w:rPr>
          <w:rFonts w:asciiTheme="minorHAnsi" w:hAnsiTheme="minorHAnsi"/>
        </w:rPr>
        <w:t>programs that are specifically and intentionally targeted to the poorest</w:t>
      </w:r>
      <w:r w:rsidR="009A0A04">
        <w:rPr>
          <w:rFonts w:asciiTheme="minorHAnsi" w:hAnsiTheme="minorHAnsi"/>
        </w:rPr>
        <w:t>--</w:t>
      </w:r>
      <w:r w:rsidR="00322A69">
        <w:rPr>
          <w:rFonts w:asciiTheme="minorHAnsi" w:hAnsiTheme="minorHAnsi"/>
        </w:rPr>
        <w:t>such as th</w:t>
      </w:r>
      <w:r w:rsidR="009A0A04">
        <w:rPr>
          <w:rFonts w:asciiTheme="minorHAnsi" w:hAnsiTheme="minorHAnsi"/>
        </w:rPr>
        <w:t>os</w:t>
      </w:r>
      <w:r w:rsidR="00322A69">
        <w:rPr>
          <w:rFonts w:asciiTheme="minorHAnsi" w:hAnsiTheme="minorHAnsi"/>
        </w:rPr>
        <w:t>e in Palestine</w:t>
      </w:r>
      <w:r w:rsidR="009A0A04">
        <w:rPr>
          <w:rFonts w:asciiTheme="minorHAnsi" w:hAnsiTheme="minorHAnsi"/>
        </w:rPr>
        <w:t>--</w:t>
      </w:r>
      <w:r w:rsidR="00322A69">
        <w:rPr>
          <w:rFonts w:asciiTheme="minorHAnsi" w:hAnsiTheme="minorHAnsi"/>
        </w:rPr>
        <w:t>the households that do not receive assistance cannot be used as a comparison group because these households are inherently different from the households that do receive assistance</w:t>
      </w:r>
      <w:r>
        <w:rPr>
          <w:rFonts w:asciiTheme="minorHAnsi" w:hAnsiTheme="minorHAnsi"/>
        </w:rPr>
        <w:t xml:space="preserve"> (they are richer and less food insecure, hopefully)</w:t>
      </w:r>
      <w:r w:rsidR="00C73B9D">
        <w:rPr>
          <w:rFonts w:asciiTheme="minorHAnsi" w:hAnsiTheme="minorHAnsi"/>
        </w:rPr>
        <w:t xml:space="preserve">.  This issue is referred to as </w:t>
      </w:r>
      <w:r w:rsidR="00095FF4">
        <w:rPr>
          <w:rFonts w:asciiTheme="minorHAnsi" w:hAnsiTheme="minorHAnsi"/>
        </w:rPr>
        <w:t xml:space="preserve">targeting-based </w:t>
      </w:r>
      <w:r w:rsidR="00C73B9D">
        <w:rPr>
          <w:rFonts w:asciiTheme="minorHAnsi" w:hAnsiTheme="minorHAnsi"/>
        </w:rPr>
        <w:t xml:space="preserve">“selection bias”.  </w:t>
      </w:r>
      <w:r w:rsidR="00095FF4">
        <w:rPr>
          <w:rFonts w:asciiTheme="minorHAnsi" w:hAnsiTheme="minorHAnsi"/>
        </w:rPr>
        <w:t>Selection bias can also occur due to “self selection” of households into an assistance program.  For example, richer households who don’t need assistance don’t even apply.</w:t>
      </w:r>
      <w:r w:rsidR="00692319">
        <w:rPr>
          <w:rFonts w:asciiTheme="minorHAnsi" w:hAnsiTheme="minorHAnsi"/>
        </w:rPr>
        <w:t xml:space="preserve">  Certain ethnic groups </w:t>
      </w:r>
      <w:r>
        <w:rPr>
          <w:rFonts w:asciiTheme="minorHAnsi" w:hAnsiTheme="minorHAnsi"/>
        </w:rPr>
        <w:t xml:space="preserve">with distinct characteristics </w:t>
      </w:r>
      <w:r w:rsidR="00692319">
        <w:rPr>
          <w:rFonts w:asciiTheme="minorHAnsi" w:hAnsiTheme="minorHAnsi"/>
        </w:rPr>
        <w:t>may be able to rely more on friends and relatives and thus self-select out of formal assistance programs.</w:t>
      </w:r>
    </w:p>
    <w:p w:rsidR="00322A69" w:rsidRDefault="00322A69">
      <w:pPr>
        <w:rPr>
          <w:rFonts w:asciiTheme="minorHAnsi" w:hAnsiTheme="minorHAnsi"/>
        </w:rPr>
      </w:pPr>
    </w:p>
    <w:p w:rsidR="0071441A" w:rsidRDefault="0071441A">
      <w:pPr>
        <w:rPr>
          <w:rFonts w:asciiTheme="minorHAnsi" w:hAnsiTheme="minorHAnsi"/>
        </w:rPr>
      </w:pPr>
      <w:r>
        <w:rPr>
          <w:rFonts w:asciiTheme="minorHAnsi" w:hAnsiTheme="minorHAnsi"/>
        </w:rPr>
        <w:t xml:space="preserve">There are a number of techniques that can be used to </w:t>
      </w:r>
      <w:r w:rsidR="009A0A04">
        <w:rPr>
          <w:rFonts w:asciiTheme="minorHAnsi" w:hAnsiTheme="minorHAnsi"/>
        </w:rPr>
        <w:t xml:space="preserve">identify a control group for </w:t>
      </w:r>
      <w:r>
        <w:rPr>
          <w:rFonts w:asciiTheme="minorHAnsi" w:hAnsiTheme="minorHAnsi"/>
        </w:rPr>
        <w:t>estimat</w:t>
      </w:r>
      <w:r w:rsidR="009A0A04">
        <w:rPr>
          <w:rFonts w:asciiTheme="minorHAnsi" w:hAnsiTheme="minorHAnsi"/>
        </w:rPr>
        <w:t>ing</w:t>
      </w:r>
      <w:r>
        <w:rPr>
          <w:rFonts w:asciiTheme="minorHAnsi" w:hAnsiTheme="minorHAnsi"/>
        </w:rPr>
        <w:t xml:space="preserve"> a </w:t>
      </w:r>
      <w:r w:rsidR="003F3F01">
        <w:rPr>
          <w:rFonts w:asciiTheme="minorHAnsi" w:hAnsiTheme="minorHAnsi"/>
        </w:rPr>
        <w:t xml:space="preserve">true </w:t>
      </w:r>
      <w:r>
        <w:rPr>
          <w:rFonts w:asciiTheme="minorHAnsi" w:hAnsiTheme="minorHAnsi"/>
        </w:rPr>
        <w:t xml:space="preserve">counterfactual </w:t>
      </w:r>
      <w:r w:rsidR="003F3F01">
        <w:rPr>
          <w:rFonts w:asciiTheme="minorHAnsi" w:hAnsiTheme="minorHAnsi"/>
        </w:rPr>
        <w:t>that takes into account selection bias.</w:t>
      </w:r>
      <w:r>
        <w:rPr>
          <w:rFonts w:asciiTheme="minorHAnsi" w:hAnsiTheme="minorHAnsi"/>
        </w:rPr>
        <w:t xml:space="preserve">   Following is a description of </w:t>
      </w:r>
      <w:r w:rsidR="009A0A04">
        <w:rPr>
          <w:rFonts w:asciiTheme="minorHAnsi" w:hAnsiTheme="minorHAnsi"/>
        </w:rPr>
        <w:t xml:space="preserve">three prominent techniques </w:t>
      </w:r>
      <w:r>
        <w:rPr>
          <w:rFonts w:asciiTheme="minorHAnsi" w:hAnsiTheme="minorHAnsi"/>
        </w:rPr>
        <w:t xml:space="preserve">as well as discussion of whether or not </w:t>
      </w:r>
      <w:r w:rsidR="009A0A04">
        <w:rPr>
          <w:rFonts w:asciiTheme="minorHAnsi" w:hAnsiTheme="minorHAnsi"/>
        </w:rPr>
        <w:t>each</w:t>
      </w:r>
      <w:r>
        <w:rPr>
          <w:rFonts w:asciiTheme="minorHAnsi" w:hAnsiTheme="minorHAnsi"/>
        </w:rPr>
        <w:t xml:space="preserve"> can be applied given the current SEFSec data collection methodology.</w:t>
      </w:r>
      <w:r w:rsidR="009A0A04">
        <w:rPr>
          <w:rStyle w:val="FootnoteReference"/>
          <w:rFonts w:asciiTheme="minorHAnsi" w:hAnsiTheme="minorHAnsi"/>
        </w:rPr>
        <w:footnoteReference w:id="11"/>
      </w:r>
    </w:p>
    <w:p w:rsidR="0071441A" w:rsidRDefault="0071441A">
      <w:pPr>
        <w:rPr>
          <w:rFonts w:asciiTheme="minorHAnsi" w:hAnsiTheme="minorHAnsi"/>
        </w:rPr>
      </w:pPr>
    </w:p>
    <w:p w:rsidR="0071441A" w:rsidRDefault="0071441A">
      <w:pPr>
        <w:rPr>
          <w:rFonts w:asciiTheme="minorHAnsi" w:hAnsiTheme="minorHAnsi"/>
        </w:rPr>
      </w:pPr>
      <w:r>
        <w:rPr>
          <w:rFonts w:asciiTheme="minorHAnsi" w:hAnsiTheme="minorHAnsi"/>
        </w:rPr>
        <w:lastRenderedPageBreak/>
        <w:t xml:space="preserve">1.  Randomized controlled trial (RCT).  </w:t>
      </w:r>
      <w:r w:rsidR="00095FF4">
        <w:rPr>
          <w:rFonts w:asciiTheme="minorHAnsi" w:hAnsiTheme="minorHAnsi"/>
        </w:rPr>
        <w:t>The allocation of assistance is randomly assigned to households (perhaps only those determined to be “poor”) and</w:t>
      </w:r>
      <w:r w:rsidR="009A0A04">
        <w:rPr>
          <w:rFonts w:asciiTheme="minorHAnsi" w:hAnsiTheme="minorHAnsi"/>
        </w:rPr>
        <w:t>,</w:t>
      </w:r>
      <w:r w:rsidR="00095FF4">
        <w:rPr>
          <w:rFonts w:asciiTheme="minorHAnsi" w:hAnsiTheme="minorHAnsi"/>
        </w:rPr>
        <w:t xml:space="preserve"> after time has passed</w:t>
      </w:r>
      <w:r w:rsidR="009A0A04">
        <w:rPr>
          <w:rFonts w:asciiTheme="minorHAnsi" w:hAnsiTheme="minorHAnsi"/>
        </w:rPr>
        <w:t>,</w:t>
      </w:r>
      <w:r w:rsidR="00095FF4">
        <w:rPr>
          <w:rFonts w:asciiTheme="minorHAnsi" w:hAnsiTheme="minorHAnsi"/>
        </w:rPr>
        <w:t xml:space="preserve"> the food security prevalences of the assistance and non-assistance groups are compared.  Obviously this</w:t>
      </w:r>
      <w:r w:rsidR="009A0A04">
        <w:rPr>
          <w:rFonts w:asciiTheme="minorHAnsi" w:hAnsiTheme="minorHAnsi"/>
        </w:rPr>
        <w:t xml:space="preserve"> technique</w:t>
      </w:r>
      <w:r w:rsidR="00095FF4">
        <w:rPr>
          <w:rFonts w:asciiTheme="minorHAnsi" w:hAnsiTheme="minorHAnsi"/>
        </w:rPr>
        <w:t xml:space="preserve"> is not feasible using the current SEFSec data collection methodology and would not be desirable from an ethical standpoint.</w:t>
      </w:r>
    </w:p>
    <w:p w:rsidR="0071441A" w:rsidRDefault="0071441A">
      <w:pPr>
        <w:rPr>
          <w:rFonts w:asciiTheme="minorHAnsi" w:hAnsiTheme="minorHAnsi"/>
        </w:rPr>
      </w:pPr>
    </w:p>
    <w:p w:rsidR="003F3F01" w:rsidRDefault="00095FF4">
      <w:pPr>
        <w:rPr>
          <w:rFonts w:asciiTheme="minorHAnsi" w:hAnsiTheme="minorHAnsi"/>
        </w:rPr>
      </w:pPr>
      <w:r>
        <w:rPr>
          <w:rFonts w:asciiTheme="minorHAnsi" w:hAnsiTheme="minorHAnsi"/>
        </w:rPr>
        <w:t>2</w:t>
      </w:r>
      <w:r w:rsidR="003F3F01">
        <w:rPr>
          <w:rFonts w:asciiTheme="minorHAnsi" w:hAnsiTheme="minorHAnsi"/>
        </w:rPr>
        <w:t>.  Double-difference estimation with panel data</w:t>
      </w:r>
      <w:r>
        <w:rPr>
          <w:rFonts w:asciiTheme="minorHAnsi" w:hAnsiTheme="minorHAnsi"/>
        </w:rPr>
        <w:t>.    A baseline survey of a random sample of households i</w:t>
      </w:r>
      <w:r w:rsidR="00320102">
        <w:rPr>
          <w:rFonts w:asciiTheme="minorHAnsi" w:hAnsiTheme="minorHAnsi"/>
        </w:rPr>
        <w:t>s</w:t>
      </w:r>
      <w:r>
        <w:rPr>
          <w:rFonts w:asciiTheme="minorHAnsi" w:hAnsiTheme="minorHAnsi"/>
        </w:rPr>
        <w:t xml:space="preserve"> undertaken prior to the allocation of assistance.  A follow-up survey is administered after some time and the change in the food </w:t>
      </w:r>
      <w:r w:rsidR="00320102">
        <w:rPr>
          <w:rFonts w:asciiTheme="minorHAnsi" w:hAnsiTheme="minorHAnsi"/>
        </w:rPr>
        <w:t>in</w:t>
      </w:r>
      <w:r>
        <w:rPr>
          <w:rFonts w:asciiTheme="minorHAnsi" w:hAnsiTheme="minorHAnsi"/>
        </w:rPr>
        <w:t xml:space="preserve">security prevalence for the assistance group is compared to that of </w:t>
      </w:r>
      <w:r w:rsidR="00320102">
        <w:rPr>
          <w:rFonts w:asciiTheme="minorHAnsi" w:hAnsiTheme="minorHAnsi"/>
        </w:rPr>
        <w:t>a</w:t>
      </w:r>
      <w:r>
        <w:rPr>
          <w:rFonts w:asciiTheme="minorHAnsi" w:hAnsiTheme="minorHAnsi"/>
        </w:rPr>
        <w:t xml:space="preserve"> non-assistance group.    Th</w:t>
      </w:r>
      <w:r w:rsidR="00320102">
        <w:rPr>
          <w:rFonts w:asciiTheme="minorHAnsi" w:hAnsiTheme="minorHAnsi"/>
        </w:rPr>
        <w:t>e</w:t>
      </w:r>
      <w:r>
        <w:rPr>
          <w:rFonts w:asciiTheme="minorHAnsi" w:hAnsiTheme="minorHAnsi"/>
        </w:rPr>
        <w:t xml:space="preserve"> method removes the influence of selection bias due to time invariant factors.   This </w:t>
      </w:r>
      <w:r w:rsidR="009A0A04">
        <w:rPr>
          <w:rFonts w:asciiTheme="minorHAnsi" w:hAnsiTheme="minorHAnsi"/>
        </w:rPr>
        <w:t xml:space="preserve">technique </w:t>
      </w:r>
      <w:r>
        <w:rPr>
          <w:rFonts w:asciiTheme="minorHAnsi" w:hAnsiTheme="minorHAnsi"/>
        </w:rPr>
        <w:t xml:space="preserve">would be possible </w:t>
      </w:r>
      <w:r w:rsidR="009A0A04">
        <w:rPr>
          <w:rFonts w:asciiTheme="minorHAnsi" w:hAnsiTheme="minorHAnsi"/>
        </w:rPr>
        <w:t xml:space="preserve">to apply within the SEFSec framework </w:t>
      </w:r>
      <w:r>
        <w:rPr>
          <w:rFonts w:asciiTheme="minorHAnsi" w:hAnsiTheme="minorHAnsi"/>
        </w:rPr>
        <w:t>if the same households were included in consecutive surveys (or at least a sub-set of households were the same).   Currently the SEFSecs are not set up for this type of panel data analysis</w:t>
      </w:r>
      <w:r w:rsidR="009A0A04">
        <w:rPr>
          <w:rFonts w:asciiTheme="minorHAnsi" w:hAnsiTheme="minorHAnsi"/>
        </w:rPr>
        <w:t>,</w:t>
      </w:r>
      <w:r>
        <w:rPr>
          <w:rFonts w:asciiTheme="minorHAnsi" w:hAnsiTheme="minorHAnsi"/>
        </w:rPr>
        <w:t xml:space="preserve"> and </w:t>
      </w:r>
      <w:r w:rsidR="00F23CF3">
        <w:rPr>
          <w:rFonts w:asciiTheme="minorHAnsi" w:hAnsiTheme="minorHAnsi"/>
        </w:rPr>
        <w:t xml:space="preserve">if a population is very mobile or under </w:t>
      </w:r>
      <w:r w:rsidR="009A0A04">
        <w:rPr>
          <w:rFonts w:asciiTheme="minorHAnsi" w:hAnsiTheme="minorHAnsi"/>
        </w:rPr>
        <w:t xml:space="preserve">unstable </w:t>
      </w:r>
      <w:r w:rsidR="00F23CF3">
        <w:rPr>
          <w:rFonts w:asciiTheme="minorHAnsi" w:hAnsiTheme="minorHAnsi"/>
        </w:rPr>
        <w:t xml:space="preserve">crisis </w:t>
      </w:r>
      <w:r>
        <w:rPr>
          <w:rFonts w:asciiTheme="minorHAnsi" w:hAnsiTheme="minorHAnsi"/>
        </w:rPr>
        <w:t>conditions</w:t>
      </w:r>
      <w:r w:rsidR="009A0A04">
        <w:rPr>
          <w:rFonts w:asciiTheme="minorHAnsi" w:hAnsiTheme="minorHAnsi"/>
        </w:rPr>
        <w:t>,</w:t>
      </w:r>
      <w:r w:rsidR="00F23CF3">
        <w:rPr>
          <w:rFonts w:asciiTheme="minorHAnsi" w:hAnsiTheme="minorHAnsi"/>
        </w:rPr>
        <w:t xml:space="preserve"> panel data </w:t>
      </w:r>
      <w:r w:rsidR="00320102">
        <w:rPr>
          <w:rFonts w:asciiTheme="minorHAnsi" w:hAnsiTheme="minorHAnsi"/>
        </w:rPr>
        <w:t xml:space="preserve">collection </w:t>
      </w:r>
      <w:r w:rsidR="00F23CF3">
        <w:rPr>
          <w:rFonts w:asciiTheme="minorHAnsi" w:hAnsiTheme="minorHAnsi"/>
        </w:rPr>
        <w:t xml:space="preserve">would not be recommended due to a high </w:t>
      </w:r>
      <w:r w:rsidR="009A0A04">
        <w:rPr>
          <w:rFonts w:asciiTheme="minorHAnsi" w:hAnsiTheme="minorHAnsi"/>
        </w:rPr>
        <w:t xml:space="preserve">expected </w:t>
      </w:r>
      <w:r w:rsidR="00F23CF3">
        <w:rPr>
          <w:rFonts w:asciiTheme="minorHAnsi" w:hAnsiTheme="minorHAnsi"/>
        </w:rPr>
        <w:t xml:space="preserve">percentage of drop outs. </w:t>
      </w:r>
    </w:p>
    <w:p w:rsidR="00095FF4" w:rsidRDefault="00095FF4">
      <w:pPr>
        <w:rPr>
          <w:rFonts w:asciiTheme="minorHAnsi" w:hAnsiTheme="minorHAnsi"/>
        </w:rPr>
      </w:pPr>
    </w:p>
    <w:p w:rsidR="0071441A" w:rsidRDefault="00320102">
      <w:pPr>
        <w:rPr>
          <w:rFonts w:asciiTheme="minorHAnsi" w:hAnsiTheme="minorHAnsi"/>
        </w:rPr>
      </w:pPr>
      <w:r>
        <w:rPr>
          <w:rFonts w:asciiTheme="minorHAnsi" w:hAnsiTheme="minorHAnsi"/>
        </w:rPr>
        <w:t>3</w:t>
      </w:r>
      <w:r w:rsidR="00095FF4">
        <w:rPr>
          <w:rFonts w:asciiTheme="minorHAnsi" w:hAnsiTheme="minorHAnsi"/>
        </w:rPr>
        <w:t xml:space="preserve">.  Quasi-experimental </w:t>
      </w:r>
      <w:r w:rsidR="00B0207D">
        <w:rPr>
          <w:rFonts w:asciiTheme="minorHAnsi" w:hAnsiTheme="minorHAnsi"/>
        </w:rPr>
        <w:t>methods</w:t>
      </w:r>
      <w:r w:rsidR="00095FF4">
        <w:rPr>
          <w:rFonts w:asciiTheme="minorHAnsi" w:hAnsiTheme="minorHAnsi"/>
        </w:rPr>
        <w:t xml:space="preserve">.  </w:t>
      </w:r>
      <w:r w:rsidR="00F23CF3">
        <w:rPr>
          <w:rFonts w:asciiTheme="minorHAnsi" w:hAnsiTheme="minorHAnsi"/>
        </w:rPr>
        <w:t>For this technique a random sample of households is needed in addition to collection of data on all characteristics of households that influence their selection into the assistance program, including targeting-based selection and self-selection.  The data on the</w:t>
      </w:r>
      <w:r w:rsidR="009A0A04">
        <w:rPr>
          <w:rFonts w:asciiTheme="minorHAnsi" w:hAnsiTheme="minorHAnsi"/>
        </w:rPr>
        <w:t>se</w:t>
      </w:r>
      <w:r w:rsidR="00F23CF3">
        <w:rPr>
          <w:rFonts w:asciiTheme="minorHAnsi" w:hAnsiTheme="minorHAnsi"/>
        </w:rPr>
        <w:t xml:space="preserve"> characteristics</w:t>
      </w:r>
      <w:r w:rsidR="009A0A04">
        <w:rPr>
          <w:rFonts w:asciiTheme="minorHAnsi" w:hAnsiTheme="minorHAnsi"/>
        </w:rPr>
        <w:t xml:space="preserve">, along with </w:t>
      </w:r>
      <w:r w:rsidR="0066763F">
        <w:rPr>
          <w:rFonts w:asciiTheme="minorHAnsi" w:hAnsiTheme="minorHAnsi"/>
        </w:rPr>
        <w:t xml:space="preserve">multivariate </w:t>
      </w:r>
      <w:r w:rsidR="00F23CF3">
        <w:rPr>
          <w:rFonts w:asciiTheme="minorHAnsi" w:hAnsiTheme="minorHAnsi"/>
        </w:rPr>
        <w:t>regression</w:t>
      </w:r>
      <w:r w:rsidR="009A0A04">
        <w:rPr>
          <w:rFonts w:asciiTheme="minorHAnsi" w:hAnsiTheme="minorHAnsi"/>
        </w:rPr>
        <w:t>, are used to identify</w:t>
      </w:r>
      <w:r w:rsidR="00F23CF3">
        <w:rPr>
          <w:rFonts w:asciiTheme="minorHAnsi" w:hAnsiTheme="minorHAnsi"/>
        </w:rPr>
        <w:t xml:space="preserve"> a control group of non-assistance households that have similar characteristics to assistance households, with the only difference being that they did not receive assistance.  </w:t>
      </w:r>
      <w:r w:rsidR="007817C7">
        <w:rPr>
          <w:rFonts w:asciiTheme="minorHAnsi" w:hAnsiTheme="minorHAnsi"/>
        </w:rPr>
        <w:t xml:space="preserve">The most widely employed </w:t>
      </w:r>
      <w:r w:rsidR="00F23CF3">
        <w:rPr>
          <w:rFonts w:asciiTheme="minorHAnsi" w:hAnsiTheme="minorHAnsi"/>
        </w:rPr>
        <w:t xml:space="preserve">such technique is Propensity Score Matching (PSM).   </w:t>
      </w:r>
    </w:p>
    <w:p w:rsidR="00F23CF3" w:rsidRDefault="00F23CF3">
      <w:pPr>
        <w:rPr>
          <w:rFonts w:asciiTheme="minorHAnsi" w:hAnsiTheme="minorHAnsi"/>
        </w:rPr>
      </w:pPr>
    </w:p>
    <w:p w:rsidR="00320102" w:rsidRDefault="00F23CF3">
      <w:pPr>
        <w:rPr>
          <w:rFonts w:asciiTheme="minorHAnsi" w:hAnsiTheme="minorHAnsi"/>
        </w:rPr>
      </w:pPr>
      <w:r>
        <w:rPr>
          <w:rFonts w:asciiTheme="minorHAnsi" w:hAnsiTheme="minorHAnsi"/>
        </w:rPr>
        <w:t xml:space="preserve">In principal, the SEFSec surveys could be used to conduct PSM that would yield a valid pre-assistance food insecurity prevalence.   Because assistance programs </w:t>
      </w:r>
      <w:r w:rsidR="00320102">
        <w:rPr>
          <w:rFonts w:asciiTheme="minorHAnsi" w:hAnsiTheme="minorHAnsi"/>
        </w:rPr>
        <w:t xml:space="preserve">in Palestine </w:t>
      </w:r>
      <w:r>
        <w:rPr>
          <w:rFonts w:asciiTheme="minorHAnsi" w:hAnsiTheme="minorHAnsi"/>
        </w:rPr>
        <w:t>are targeted using a known Proxy Means Test Formula (PMTF)</w:t>
      </w:r>
      <w:r w:rsidR="009A0A04">
        <w:rPr>
          <w:rFonts w:asciiTheme="minorHAnsi" w:hAnsiTheme="minorHAnsi"/>
        </w:rPr>
        <w:t>,</w:t>
      </w:r>
      <w:r>
        <w:rPr>
          <w:rFonts w:asciiTheme="minorHAnsi" w:hAnsiTheme="minorHAnsi"/>
        </w:rPr>
        <w:t xml:space="preserve"> and the data used for </w:t>
      </w:r>
      <w:r w:rsidR="00320102">
        <w:rPr>
          <w:rFonts w:asciiTheme="minorHAnsi" w:hAnsiTheme="minorHAnsi"/>
        </w:rPr>
        <w:t>applying the PMTF</w:t>
      </w:r>
      <w:r>
        <w:rPr>
          <w:rFonts w:asciiTheme="minorHAnsi" w:hAnsiTheme="minorHAnsi"/>
        </w:rPr>
        <w:t xml:space="preserve"> a</w:t>
      </w:r>
      <w:r w:rsidR="009A0A04">
        <w:rPr>
          <w:rFonts w:asciiTheme="minorHAnsi" w:hAnsiTheme="minorHAnsi"/>
        </w:rPr>
        <w:t>re</w:t>
      </w:r>
      <w:r>
        <w:rPr>
          <w:rFonts w:asciiTheme="minorHAnsi" w:hAnsiTheme="minorHAnsi"/>
        </w:rPr>
        <w:t xml:space="preserve"> collected in the surveys, targeting-based selection bias can be addressed.  Further, on-the-ground knowledge of decision making patterns with regard to participation in assistance programs in Palestine can be used to attempt to control for any self-selection using currently-collected data.    </w:t>
      </w:r>
    </w:p>
    <w:p w:rsidR="00320102" w:rsidRDefault="00320102">
      <w:pPr>
        <w:rPr>
          <w:rFonts w:asciiTheme="minorHAnsi" w:hAnsiTheme="minorHAnsi"/>
        </w:rPr>
      </w:pPr>
    </w:p>
    <w:p w:rsidR="00E47C52" w:rsidRDefault="00320102">
      <w:pPr>
        <w:rPr>
          <w:rFonts w:asciiTheme="minorHAnsi" w:hAnsiTheme="minorHAnsi"/>
        </w:rPr>
      </w:pPr>
      <w:r>
        <w:rPr>
          <w:rFonts w:asciiTheme="minorHAnsi" w:hAnsiTheme="minorHAnsi"/>
        </w:rPr>
        <w:t>However, t</w:t>
      </w:r>
      <w:r w:rsidR="009A0A04">
        <w:rPr>
          <w:rFonts w:asciiTheme="minorHAnsi" w:hAnsiTheme="minorHAnsi"/>
        </w:rPr>
        <w:t>hree conditions must be satisfied to produce valid estimates of pre-assistance food insecurity</w:t>
      </w:r>
      <w:r>
        <w:rPr>
          <w:rFonts w:asciiTheme="minorHAnsi" w:hAnsiTheme="minorHAnsi"/>
        </w:rPr>
        <w:t xml:space="preserve"> with PSM using SEFSec survey data</w:t>
      </w:r>
      <w:r w:rsidR="009A0A04">
        <w:rPr>
          <w:rFonts w:asciiTheme="minorHAnsi" w:hAnsiTheme="minorHAnsi"/>
        </w:rPr>
        <w:t xml:space="preserve">: (1)  All major characteristics of households affecting households’ participation in assistance programs </w:t>
      </w:r>
      <w:r w:rsidR="00E47C52">
        <w:rPr>
          <w:rFonts w:asciiTheme="minorHAnsi" w:hAnsiTheme="minorHAnsi"/>
        </w:rPr>
        <w:t xml:space="preserve">must be </w:t>
      </w:r>
      <w:r>
        <w:rPr>
          <w:rFonts w:asciiTheme="minorHAnsi" w:hAnsiTheme="minorHAnsi"/>
        </w:rPr>
        <w:t>measurable (“</w:t>
      </w:r>
      <w:r w:rsidR="00E47C52">
        <w:rPr>
          <w:rFonts w:asciiTheme="minorHAnsi" w:hAnsiTheme="minorHAnsi"/>
        </w:rPr>
        <w:t>observable</w:t>
      </w:r>
      <w:r>
        <w:rPr>
          <w:rFonts w:asciiTheme="minorHAnsi" w:hAnsiTheme="minorHAnsi"/>
        </w:rPr>
        <w:t>”)</w:t>
      </w:r>
      <w:r w:rsidR="00E47C52">
        <w:rPr>
          <w:rFonts w:asciiTheme="minorHAnsi" w:hAnsiTheme="minorHAnsi"/>
        </w:rPr>
        <w:t xml:space="preserve"> with the data; (2)  There must be a sufficient number of </w:t>
      </w:r>
      <w:r>
        <w:rPr>
          <w:rFonts w:asciiTheme="minorHAnsi" w:hAnsiTheme="minorHAnsi"/>
        </w:rPr>
        <w:t xml:space="preserve">potential </w:t>
      </w:r>
      <w:r w:rsidR="00E47C52">
        <w:rPr>
          <w:rFonts w:asciiTheme="minorHAnsi" w:hAnsiTheme="minorHAnsi"/>
        </w:rPr>
        <w:t xml:space="preserve">non-participating households to match with participating households; and (3)  </w:t>
      </w:r>
      <w:r>
        <w:rPr>
          <w:rFonts w:asciiTheme="minorHAnsi" w:hAnsiTheme="minorHAnsi"/>
        </w:rPr>
        <w:t>P</w:t>
      </w:r>
      <w:r w:rsidR="00E04367">
        <w:rPr>
          <w:rFonts w:asciiTheme="minorHAnsi" w:hAnsiTheme="minorHAnsi"/>
        </w:rPr>
        <w:t>articipant households must be similar eno</w:t>
      </w:r>
      <w:r w:rsidR="0066763F">
        <w:rPr>
          <w:rFonts w:asciiTheme="minorHAnsi" w:hAnsiTheme="minorHAnsi"/>
        </w:rPr>
        <w:t>u</w:t>
      </w:r>
      <w:r w:rsidR="00E04367">
        <w:rPr>
          <w:rFonts w:asciiTheme="minorHAnsi" w:hAnsiTheme="minorHAnsi"/>
        </w:rPr>
        <w:t>gh to non</w:t>
      </w:r>
      <w:r>
        <w:rPr>
          <w:rFonts w:asciiTheme="minorHAnsi" w:hAnsiTheme="minorHAnsi"/>
        </w:rPr>
        <w:t>-</w:t>
      </w:r>
      <w:r w:rsidR="00E04367">
        <w:rPr>
          <w:rFonts w:asciiTheme="minorHAnsi" w:hAnsiTheme="minorHAnsi"/>
        </w:rPr>
        <w:t xml:space="preserve">participant households in the observed characteristics </w:t>
      </w:r>
      <w:r>
        <w:rPr>
          <w:rFonts w:asciiTheme="minorHAnsi" w:hAnsiTheme="minorHAnsi"/>
        </w:rPr>
        <w:t xml:space="preserve">affecting selection </w:t>
      </w:r>
      <w:r w:rsidR="00E04367">
        <w:rPr>
          <w:rFonts w:asciiTheme="minorHAnsi" w:hAnsiTheme="minorHAnsi"/>
        </w:rPr>
        <w:t>so that there are sufficient non-parti</w:t>
      </w:r>
      <w:r w:rsidR="0066763F">
        <w:rPr>
          <w:rFonts w:asciiTheme="minorHAnsi" w:hAnsiTheme="minorHAnsi"/>
        </w:rPr>
        <w:t>ci</w:t>
      </w:r>
      <w:r w:rsidR="00E04367">
        <w:rPr>
          <w:rFonts w:asciiTheme="minorHAnsi" w:hAnsiTheme="minorHAnsi"/>
        </w:rPr>
        <w:t>pant households with which to make matches</w:t>
      </w:r>
      <w:r>
        <w:rPr>
          <w:rFonts w:asciiTheme="minorHAnsi" w:hAnsiTheme="minorHAnsi"/>
        </w:rPr>
        <w:t xml:space="preserve"> (the “common support” </w:t>
      </w:r>
      <w:r>
        <w:rPr>
          <w:rFonts w:asciiTheme="minorHAnsi" w:hAnsiTheme="minorHAnsi"/>
        </w:rPr>
        <w:lastRenderedPageBreak/>
        <w:t>condition)</w:t>
      </w:r>
      <w:r w:rsidR="00E04367">
        <w:rPr>
          <w:rFonts w:asciiTheme="minorHAnsi" w:hAnsiTheme="minorHAnsi"/>
        </w:rPr>
        <w:t xml:space="preserve">.  </w:t>
      </w:r>
      <w:r w:rsidR="00E47C52">
        <w:rPr>
          <w:rFonts w:asciiTheme="minorHAnsi" w:hAnsiTheme="minorHAnsi"/>
        </w:rPr>
        <w:t xml:space="preserve">Whether the latter two conditions are met can only be </w:t>
      </w:r>
      <w:r w:rsidR="007817C7">
        <w:rPr>
          <w:rFonts w:asciiTheme="minorHAnsi" w:hAnsiTheme="minorHAnsi"/>
        </w:rPr>
        <w:t>determine</w:t>
      </w:r>
      <w:r w:rsidR="00E47C52">
        <w:rPr>
          <w:rFonts w:asciiTheme="minorHAnsi" w:hAnsiTheme="minorHAnsi"/>
        </w:rPr>
        <w:t>d after conducting statistical tests in the context of PSM</w:t>
      </w:r>
      <w:r>
        <w:rPr>
          <w:rFonts w:asciiTheme="minorHAnsi" w:hAnsiTheme="minorHAnsi"/>
        </w:rPr>
        <w:t xml:space="preserve"> using the SEFSec data</w:t>
      </w:r>
      <w:r w:rsidR="00E47C52">
        <w:rPr>
          <w:rFonts w:asciiTheme="minorHAnsi" w:hAnsiTheme="minorHAnsi"/>
        </w:rPr>
        <w:t>.</w:t>
      </w:r>
      <w:r>
        <w:rPr>
          <w:rStyle w:val="FootnoteReference"/>
          <w:rFonts w:asciiTheme="minorHAnsi" w:hAnsiTheme="minorHAnsi"/>
        </w:rPr>
        <w:footnoteReference w:id="12"/>
      </w:r>
    </w:p>
    <w:p w:rsidR="0071441A" w:rsidRDefault="0071441A">
      <w:pPr>
        <w:rPr>
          <w:rFonts w:asciiTheme="minorHAnsi" w:hAnsiTheme="minorHAnsi"/>
        </w:rPr>
      </w:pPr>
    </w:p>
    <w:p w:rsidR="00E47C52" w:rsidRDefault="00E47C52" w:rsidP="00E47C52">
      <w:pPr>
        <w:rPr>
          <w:rFonts w:asciiTheme="minorHAnsi" w:hAnsiTheme="minorHAnsi"/>
        </w:rPr>
      </w:pPr>
      <w:r>
        <w:rPr>
          <w:rFonts w:asciiTheme="minorHAnsi" w:hAnsiTheme="minorHAnsi"/>
        </w:rPr>
        <w:t>For an example of a PSM analysis conducted by TANGO to determine the impact of a USAID-funded food aid project see Smith et al. (2012).  The United States’ Supplemental Nutrition Assistance Program (SNAP) used a similar multivariate regression technique to “adjust” for household characteristics (Mably et. al. 2013).</w:t>
      </w:r>
    </w:p>
    <w:p w:rsidR="00E47C52" w:rsidRDefault="00E47C52">
      <w:pPr>
        <w:rPr>
          <w:rFonts w:asciiTheme="minorHAnsi" w:hAnsiTheme="minorHAnsi"/>
        </w:rPr>
      </w:pPr>
    </w:p>
    <w:p w:rsidR="0071441A" w:rsidRDefault="0071441A">
      <w:pPr>
        <w:rPr>
          <w:rFonts w:asciiTheme="minorHAnsi" w:hAnsiTheme="minorHAnsi"/>
        </w:rPr>
      </w:pPr>
      <w:r>
        <w:rPr>
          <w:rFonts w:asciiTheme="minorHAnsi" w:hAnsiTheme="minorHAnsi"/>
        </w:rPr>
        <w:t xml:space="preserve">Note that while the current technique </w:t>
      </w:r>
      <w:r w:rsidR="00320102">
        <w:rPr>
          <w:rFonts w:asciiTheme="minorHAnsi" w:hAnsiTheme="minorHAnsi"/>
        </w:rPr>
        <w:t xml:space="preserve">for </w:t>
      </w:r>
      <w:r>
        <w:rPr>
          <w:rFonts w:asciiTheme="minorHAnsi" w:hAnsiTheme="minorHAnsi"/>
        </w:rPr>
        <w:t>estimat</w:t>
      </w:r>
      <w:r w:rsidR="00320102">
        <w:rPr>
          <w:rFonts w:asciiTheme="minorHAnsi" w:hAnsiTheme="minorHAnsi"/>
        </w:rPr>
        <w:t>ing</w:t>
      </w:r>
      <w:r>
        <w:rPr>
          <w:rFonts w:asciiTheme="minorHAnsi" w:hAnsiTheme="minorHAnsi"/>
        </w:rPr>
        <w:t xml:space="preserve"> pre-assistance food insecurity prevalences </w:t>
      </w:r>
      <w:r w:rsidR="00E47C52">
        <w:rPr>
          <w:rFonts w:asciiTheme="minorHAnsi" w:hAnsiTheme="minorHAnsi"/>
        </w:rPr>
        <w:t xml:space="preserve">using the SEFSec data </w:t>
      </w:r>
      <w:r>
        <w:rPr>
          <w:rFonts w:asciiTheme="minorHAnsi" w:hAnsiTheme="minorHAnsi"/>
        </w:rPr>
        <w:t>is not described</w:t>
      </w:r>
      <w:r w:rsidR="00320102">
        <w:rPr>
          <w:rFonts w:asciiTheme="minorHAnsi" w:hAnsiTheme="minorHAnsi"/>
        </w:rPr>
        <w:t xml:space="preserve"> (see Chapter Section VII of the 2012 report)</w:t>
      </w:r>
      <w:r>
        <w:rPr>
          <w:rFonts w:asciiTheme="minorHAnsi" w:hAnsiTheme="minorHAnsi"/>
        </w:rPr>
        <w:t xml:space="preserve">, it most likely is not based on </w:t>
      </w:r>
      <w:r w:rsidR="00BB54DB">
        <w:rPr>
          <w:rFonts w:asciiTheme="minorHAnsi" w:hAnsiTheme="minorHAnsi"/>
        </w:rPr>
        <w:t xml:space="preserve">a </w:t>
      </w:r>
      <w:r w:rsidR="00E47C52">
        <w:rPr>
          <w:rFonts w:asciiTheme="minorHAnsi" w:hAnsiTheme="minorHAnsi"/>
        </w:rPr>
        <w:t>true</w:t>
      </w:r>
      <w:r w:rsidR="00BB54DB">
        <w:rPr>
          <w:rFonts w:asciiTheme="minorHAnsi" w:hAnsiTheme="minorHAnsi"/>
        </w:rPr>
        <w:t xml:space="preserve"> counterfactual, rendering the </w:t>
      </w:r>
      <w:r>
        <w:rPr>
          <w:rFonts w:asciiTheme="minorHAnsi" w:hAnsiTheme="minorHAnsi"/>
        </w:rPr>
        <w:t xml:space="preserve">estimates </w:t>
      </w:r>
      <w:r w:rsidR="00BB54DB">
        <w:rPr>
          <w:rFonts w:asciiTheme="minorHAnsi" w:hAnsiTheme="minorHAnsi"/>
        </w:rPr>
        <w:t>in</w:t>
      </w:r>
      <w:r>
        <w:rPr>
          <w:rFonts w:asciiTheme="minorHAnsi" w:hAnsiTheme="minorHAnsi"/>
        </w:rPr>
        <w:t xml:space="preserve">valid.   </w:t>
      </w:r>
    </w:p>
    <w:p w:rsidR="00D02B9E" w:rsidRDefault="00D02B9E">
      <w:pPr>
        <w:rPr>
          <w:rFonts w:asciiTheme="minorHAnsi" w:hAnsiTheme="minorHAnsi"/>
          <w:b/>
          <w:color w:val="365F91" w:themeColor="accent1" w:themeShade="BF"/>
          <w:sz w:val="28"/>
          <w:szCs w:val="28"/>
        </w:rPr>
      </w:pPr>
    </w:p>
    <w:p w:rsidR="00934047" w:rsidRDefault="00934047">
      <w:pPr>
        <w:rPr>
          <w:rFonts w:asciiTheme="minorHAnsi" w:eastAsiaTheme="majorEastAsia" w:hAnsiTheme="minorHAnsi" w:cstheme="majorBidi"/>
          <w:b/>
          <w:bCs/>
          <w:color w:val="365F91" w:themeColor="accent1" w:themeShade="BF"/>
          <w:sz w:val="28"/>
          <w:szCs w:val="28"/>
          <w:lang w:eastAsia="ja-JP"/>
        </w:rPr>
      </w:pPr>
      <w:r>
        <w:rPr>
          <w:rFonts w:asciiTheme="minorHAnsi" w:hAnsiTheme="minorHAnsi"/>
        </w:rPr>
        <w:br w:type="page"/>
      </w:r>
    </w:p>
    <w:p w:rsidR="00CC65DB" w:rsidRPr="00613506" w:rsidRDefault="00CC65DB" w:rsidP="0098190D">
      <w:pPr>
        <w:pStyle w:val="Heading1"/>
        <w:rPr>
          <w:rFonts w:asciiTheme="minorHAnsi" w:hAnsiTheme="minorHAnsi"/>
        </w:rPr>
      </w:pPr>
      <w:bookmarkStart w:id="37" w:name="_Toc395979717"/>
      <w:r w:rsidRPr="00613506">
        <w:rPr>
          <w:rFonts w:asciiTheme="minorHAnsi" w:hAnsiTheme="minorHAnsi"/>
        </w:rPr>
        <w:lastRenderedPageBreak/>
        <w:t>7.  Options for refining the SEFSec expenditures module</w:t>
      </w:r>
      <w:bookmarkEnd w:id="37"/>
      <w:r w:rsidRPr="00613506">
        <w:rPr>
          <w:rFonts w:asciiTheme="minorHAnsi" w:hAnsiTheme="minorHAnsi"/>
        </w:rPr>
        <w:t xml:space="preserve"> </w:t>
      </w:r>
    </w:p>
    <w:p w:rsidR="00CC65DB" w:rsidRDefault="00CC65DB">
      <w:pPr>
        <w:rPr>
          <w:rFonts w:asciiTheme="minorHAnsi" w:hAnsiTheme="minorHAnsi"/>
          <w:b/>
          <w:color w:val="365F91" w:themeColor="accent1" w:themeShade="BF"/>
          <w:sz w:val="28"/>
          <w:szCs w:val="28"/>
        </w:rPr>
      </w:pPr>
    </w:p>
    <w:p w:rsidR="00CC65DB" w:rsidRDefault="00CC65DB" w:rsidP="00CC65DB">
      <w:pPr>
        <w:rPr>
          <w:rFonts w:asciiTheme="minorHAnsi" w:hAnsiTheme="minorHAnsi"/>
          <w:color w:val="000000"/>
        </w:rPr>
      </w:pPr>
      <w:r>
        <w:rPr>
          <w:rFonts w:asciiTheme="minorHAnsi" w:hAnsiTheme="minorHAnsi"/>
        </w:rPr>
        <w:t xml:space="preserve">The </w:t>
      </w:r>
      <w:r w:rsidR="00874196">
        <w:rPr>
          <w:rFonts w:asciiTheme="minorHAnsi" w:hAnsiTheme="minorHAnsi"/>
        </w:rPr>
        <w:t xml:space="preserve">specific </w:t>
      </w:r>
      <w:r w:rsidRPr="00CC65DB">
        <w:rPr>
          <w:rFonts w:asciiTheme="minorHAnsi" w:hAnsiTheme="minorHAnsi"/>
        </w:rPr>
        <w:t>objective of this final task is to “</w:t>
      </w:r>
      <w:r w:rsidRPr="00CC65DB">
        <w:rPr>
          <w:rFonts w:asciiTheme="minorHAnsi" w:hAnsiTheme="minorHAnsi"/>
          <w:color w:val="000000"/>
        </w:rPr>
        <w:t xml:space="preserve">Suggest longer-term options for refining the expenditure module, providing additional information on accurate and light expenditure modules suggested in </w:t>
      </w:r>
      <w:r>
        <w:rPr>
          <w:rFonts w:asciiTheme="minorHAnsi" w:hAnsiTheme="minorHAnsi"/>
          <w:color w:val="000000"/>
        </w:rPr>
        <w:t xml:space="preserve">the </w:t>
      </w:r>
      <w:r w:rsidRPr="00CC65DB">
        <w:rPr>
          <w:rFonts w:asciiTheme="minorHAnsi" w:hAnsiTheme="minorHAnsi"/>
          <w:color w:val="000000"/>
        </w:rPr>
        <w:t>Phase 1 Report and indicate how such modules could overcome the existing shortcomings of the SEFSec consumption module without significantly increasing the data collection time and cost</w:t>
      </w:r>
      <w:r>
        <w:rPr>
          <w:rFonts w:asciiTheme="minorHAnsi" w:hAnsiTheme="minorHAnsi"/>
          <w:color w:val="000000"/>
        </w:rPr>
        <w:t>”.</w:t>
      </w:r>
    </w:p>
    <w:p w:rsidR="007B2F13" w:rsidRDefault="007B2F13" w:rsidP="00CC65DB">
      <w:pPr>
        <w:rPr>
          <w:rFonts w:asciiTheme="minorHAnsi" w:hAnsiTheme="minorHAnsi"/>
          <w:color w:val="000000"/>
        </w:rPr>
      </w:pPr>
    </w:p>
    <w:p w:rsidR="00CF6DE0" w:rsidRDefault="00CF6DE0" w:rsidP="00CC65DB">
      <w:pPr>
        <w:rPr>
          <w:rFonts w:asciiTheme="minorHAnsi" w:hAnsiTheme="minorHAnsi"/>
          <w:color w:val="000000"/>
        </w:rPr>
      </w:pPr>
      <w:r>
        <w:rPr>
          <w:rFonts w:asciiTheme="minorHAnsi" w:hAnsiTheme="minorHAnsi"/>
          <w:color w:val="000000"/>
        </w:rPr>
        <w:t xml:space="preserve">As noted in the Phase I report, the current SEFSec expenditures module </w:t>
      </w:r>
      <w:r w:rsidR="00C602F7">
        <w:rPr>
          <w:rFonts w:asciiTheme="minorHAnsi" w:hAnsiTheme="minorHAnsi"/>
          <w:color w:val="000000"/>
        </w:rPr>
        <w:t xml:space="preserve">leads to collection of data that </w:t>
      </w:r>
      <w:r>
        <w:rPr>
          <w:rFonts w:asciiTheme="minorHAnsi" w:hAnsiTheme="minorHAnsi"/>
          <w:color w:val="000000"/>
        </w:rPr>
        <w:t xml:space="preserve">considerably underestimates households’ total expenditures per capita </w:t>
      </w:r>
      <w:r w:rsidR="00B218D4">
        <w:rPr>
          <w:rFonts w:asciiTheme="minorHAnsi" w:hAnsiTheme="minorHAnsi"/>
          <w:color w:val="000000"/>
        </w:rPr>
        <w:t>leading to</w:t>
      </w:r>
      <w:r w:rsidR="00E212DD">
        <w:rPr>
          <w:rFonts w:asciiTheme="minorHAnsi" w:hAnsiTheme="minorHAnsi"/>
          <w:color w:val="000000"/>
        </w:rPr>
        <w:t xml:space="preserve"> strong</w:t>
      </w:r>
      <w:r w:rsidR="00B218D4">
        <w:rPr>
          <w:rFonts w:asciiTheme="minorHAnsi" w:hAnsiTheme="minorHAnsi"/>
          <w:color w:val="000000"/>
        </w:rPr>
        <w:t xml:space="preserve"> overestimation of </w:t>
      </w:r>
      <w:r>
        <w:rPr>
          <w:rFonts w:asciiTheme="minorHAnsi" w:hAnsiTheme="minorHAnsi"/>
          <w:color w:val="000000"/>
        </w:rPr>
        <w:t>poverty.  The main reasons for the underestimation are</w:t>
      </w:r>
      <w:r w:rsidR="00E6610A">
        <w:rPr>
          <w:rFonts w:asciiTheme="minorHAnsi" w:hAnsiTheme="minorHAnsi"/>
          <w:color w:val="000000"/>
        </w:rPr>
        <w:t xml:space="preserve"> the following </w:t>
      </w:r>
      <w:r w:rsidR="0070750F">
        <w:rPr>
          <w:rFonts w:asciiTheme="minorHAnsi" w:hAnsiTheme="minorHAnsi"/>
          <w:color w:val="000000"/>
        </w:rPr>
        <w:t>issues</w:t>
      </w:r>
      <w:r w:rsidR="00E6610A">
        <w:rPr>
          <w:rFonts w:asciiTheme="minorHAnsi" w:hAnsiTheme="minorHAnsi"/>
          <w:color w:val="000000"/>
        </w:rPr>
        <w:t xml:space="preserve"> (see Smith et al. 2013</w:t>
      </w:r>
      <w:r w:rsidR="002614B1">
        <w:rPr>
          <w:rFonts w:asciiTheme="minorHAnsi" w:hAnsiTheme="minorHAnsi"/>
          <w:color w:val="000000"/>
        </w:rPr>
        <w:t xml:space="preserve">, </w:t>
      </w:r>
      <w:r w:rsidR="00E6610A">
        <w:rPr>
          <w:rFonts w:asciiTheme="minorHAnsi" w:hAnsiTheme="minorHAnsi"/>
          <w:color w:val="000000"/>
        </w:rPr>
        <w:t>Beegle et al. 2011</w:t>
      </w:r>
      <w:r w:rsidR="002614B1">
        <w:rPr>
          <w:rFonts w:asciiTheme="minorHAnsi" w:hAnsiTheme="minorHAnsi"/>
          <w:color w:val="000000"/>
        </w:rPr>
        <w:t>, and Deaton and Grosh 2000</w:t>
      </w:r>
      <w:r w:rsidR="008726DB">
        <w:rPr>
          <w:rFonts w:asciiTheme="minorHAnsi" w:hAnsiTheme="minorHAnsi"/>
          <w:color w:val="000000"/>
        </w:rPr>
        <w:t xml:space="preserve"> for background)</w:t>
      </w:r>
      <w:r>
        <w:rPr>
          <w:rFonts w:asciiTheme="minorHAnsi" w:hAnsiTheme="minorHAnsi"/>
          <w:color w:val="000000"/>
        </w:rPr>
        <w:t>:</w:t>
      </w:r>
    </w:p>
    <w:p w:rsidR="00CF6DE0" w:rsidRDefault="00CF6DE0" w:rsidP="00E212DD">
      <w:pPr>
        <w:ind w:left="540"/>
        <w:rPr>
          <w:rFonts w:asciiTheme="minorHAnsi" w:hAnsiTheme="minorHAnsi"/>
          <w:color w:val="000000"/>
        </w:rPr>
      </w:pPr>
      <w:r>
        <w:rPr>
          <w:rFonts w:asciiTheme="minorHAnsi" w:hAnsiTheme="minorHAnsi"/>
          <w:color w:val="000000"/>
        </w:rPr>
        <w:t xml:space="preserve">(1)  </w:t>
      </w:r>
      <w:r w:rsidR="00F22439">
        <w:rPr>
          <w:rFonts w:asciiTheme="minorHAnsi" w:hAnsiTheme="minorHAnsi"/>
          <w:color w:val="000000"/>
        </w:rPr>
        <w:t xml:space="preserve"> The recall period for food data collection, at one month, is too long for accurate recollection</w:t>
      </w:r>
      <w:r w:rsidR="0070750F">
        <w:rPr>
          <w:rFonts w:asciiTheme="minorHAnsi" w:hAnsiTheme="minorHAnsi"/>
          <w:color w:val="000000"/>
        </w:rPr>
        <w:t>;</w:t>
      </w:r>
    </w:p>
    <w:p w:rsidR="00F22439" w:rsidRDefault="00F22439" w:rsidP="00E212DD">
      <w:pPr>
        <w:ind w:left="540"/>
        <w:rPr>
          <w:rFonts w:asciiTheme="minorHAnsi" w:hAnsiTheme="minorHAnsi"/>
          <w:color w:val="000000"/>
        </w:rPr>
      </w:pPr>
      <w:r>
        <w:rPr>
          <w:rFonts w:asciiTheme="minorHAnsi" w:hAnsiTheme="minorHAnsi"/>
          <w:color w:val="000000"/>
        </w:rPr>
        <w:t>(2)   Data are not collected for all items consumed</w:t>
      </w:r>
      <w:r w:rsidR="0070750F">
        <w:rPr>
          <w:rFonts w:asciiTheme="minorHAnsi" w:hAnsiTheme="minorHAnsi"/>
          <w:color w:val="000000"/>
        </w:rPr>
        <w:t xml:space="preserve"> (the “pulses, nuts and seeds”</w:t>
      </w:r>
      <w:r w:rsidR="00B218D4">
        <w:rPr>
          <w:rFonts w:asciiTheme="minorHAnsi" w:hAnsiTheme="minorHAnsi"/>
          <w:color w:val="000000"/>
        </w:rPr>
        <w:t>,</w:t>
      </w:r>
      <w:r w:rsidR="0070750F">
        <w:rPr>
          <w:rFonts w:asciiTheme="minorHAnsi" w:hAnsiTheme="minorHAnsi"/>
          <w:color w:val="000000"/>
        </w:rPr>
        <w:t xml:space="preserve"> “alcoholic beverages”</w:t>
      </w:r>
      <w:r w:rsidR="00B218D4">
        <w:rPr>
          <w:rFonts w:asciiTheme="minorHAnsi" w:hAnsiTheme="minorHAnsi"/>
          <w:color w:val="000000"/>
        </w:rPr>
        <w:t>, and “furniture and utensils”</w:t>
      </w:r>
      <w:r w:rsidR="0070750F">
        <w:rPr>
          <w:rFonts w:asciiTheme="minorHAnsi" w:hAnsiTheme="minorHAnsi"/>
          <w:color w:val="000000"/>
        </w:rPr>
        <w:t xml:space="preserve"> groups are not represented);</w:t>
      </w:r>
      <w:r w:rsidR="00B218D4">
        <w:rPr>
          <w:rStyle w:val="FootnoteReference"/>
          <w:rFonts w:asciiTheme="minorHAnsi" w:hAnsiTheme="minorHAnsi"/>
          <w:color w:val="000000"/>
        </w:rPr>
        <w:footnoteReference w:id="13"/>
      </w:r>
    </w:p>
    <w:p w:rsidR="00F22439" w:rsidRDefault="00F22439" w:rsidP="00E212DD">
      <w:pPr>
        <w:ind w:left="540"/>
        <w:rPr>
          <w:rFonts w:asciiTheme="minorHAnsi" w:hAnsiTheme="minorHAnsi"/>
          <w:color w:val="000000"/>
        </w:rPr>
      </w:pPr>
      <w:r>
        <w:rPr>
          <w:rFonts w:asciiTheme="minorHAnsi" w:hAnsiTheme="minorHAnsi"/>
          <w:color w:val="000000"/>
        </w:rPr>
        <w:t xml:space="preserve">(3)  The number of both food and non-food items for which data are collected is </w:t>
      </w:r>
      <w:r w:rsidR="005069EB">
        <w:rPr>
          <w:rFonts w:asciiTheme="minorHAnsi" w:hAnsiTheme="minorHAnsi"/>
          <w:color w:val="000000"/>
        </w:rPr>
        <w:t>too small for minimally accurate data collection</w:t>
      </w:r>
      <w:r w:rsidR="00B218D4">
        <w:rPr>
          <w:rFonts w:asciiTheme="minorHAnsi" w:hAnsiTheme="minorHAnsi"/>
          <w:color w:val="000000"/>
        </w:rPr>
        <w:t xml:space="preserve">.  </w:t>
      </w:r>
      <w:r w:rsidR="00E212DD">
        <w:rPr>
          <w:rFonts w:asciiTheme="minorHAnsi" w:hAnsiTheme="minorHAnsi"/>
          <w:color w:val="000000"/>
        </w:rPr>
        <w:t>Single i</w:t>
      </w:r>
      <w:r w:rsidR="005069EB">
        <w:rPr>
          <w:rFonts w:asciiTheme="minorHAnsi" w:hAnsiTheme="minorHAnsi"/>
          <w:color w:val="000000"/>
        </w:rPr>
        <w:t>tems are too highly aggregated</w:t>
      </w:r>
      <w:r w:rsidR="00460018">
        <w:rPr>
          <w:rFonts w:asciiTheme="minorHAnsi" w:hAnsiTheme="minorHAnsi"/>
          <w:color w:val="000000"/>
        </w:rPr>
        <w:t xml:space="preserve"> fo</w:t>
      </w:r>
      <w:r w:rsidR="00E6610A">
        <w:rPr>
          <w:rFonts w:asciiTheme="minorHAnsi" w:hAnsiTheme="minorHAnsi"/>
          <w:color w:val="000000"/>
        </w:rPr>
        <w:t>r respondents to remember whether and how much they acquired of them.</w:t>
      </w:r>
      <w:r w:rsidR="0070750F">
        <w:rPr>
          <w:rFonts w:asciiTheme="minorHAnsi" w:hAnsiTheme="minorHAnsi"/>
          <w:color w:val="000000"/>
        </w:rPr>
        <w:t xml:space="preserve">   The 2011 </w:t>
      </w:r>
      <w:r w:rsidR="006F54E9">
        <w:rPr>
          <w:rFonts w:asciiTheme="minorHAnsi" w:hAnsiTheme="minorHAnsi"/>
          <w:color w:val="000000"/>
        </w:rPr>
        <w:t>SEFSec</w:t>
      </w:r>
      <w:r w:rsidR="0070750F">
        <w:rPr>
          <w:rFonts w:asciiTheme="minorHAnsi" w:hAnsiTheme="minorHAnsi"/>
          <w:color w:val="000000"/>
        </w:rPr>
        <w:t xml:space="preserve"> has only 20 food items and 9 non-food items</w:t>
      </w:r>
      <w:r w:rsidR="00B218D4">
        <w:rPr>
          <w:rFonts w:asciiTheme="minorHAnsi" w:hAnsiTheme="minorHAnsi"/>
          <w:color w:val="000000"/>
        </w:rPr>
        <w:t xml:space="preserve"> (</w:t>
      </w:r>
      <w:r w:rsidR="0070750F">
        <w:rPr>
          <w:rFonts w:asciiTheme="minorHAnsi" w:hAnsiTheme="minorHAnsi"/>
          <w:color w:val="000000"/>
        </w:rPr>
        <w:t>a total of 29 items</w:t>
      </w:r>
      <w:r w:rsidR="00B218D4">
        <w:rPr>
          <w:rFonts w:asciiTheme="minorHAnsi" w:hAnsiTheme="minorHAnsi"/>
          <w:color w:val="000000"/>
        </w:rPr>
        <w:t>)</w:t>
      </w:r>
      <w:r w:rsidR="0070750F">
        <w:rPr>
          <w:rFonts w:asciiTheme="minorHAnsi" w:hAnsiTheme="minorHAnsi"/>
          <w:color w:val="000000"/>
        </w:rPr>
        <w:t>.</w:t>
      </w:r>
    </w:p>
    <w:p w:rsidR="00E6610A" w:rsidRDefault="00E6610A" w:rsidP="00CC65DB">
      <w:pPr>
        <w:rPr>
          <w:rFonts w:asciiTheme="minorHAnsi" w:hAnsiTheme="minorHAnsi"/>
          <w:color w:val="000000"/>
        </w:rPr>
      </w:pPr>
    </w:p>
    <w:p w:rsidR="00E6610A" w:rsidRDefault="0070750F" w:rsidP="00CC65DB">
      <w:pPr>
        <w:rPr>
          <w:rFonts w:asciiTheme="minorHAnsi" w:hAnsiTheme="minorHAnsi"/>
          <w:color w:val="000000"/>
        </w:rPr>
      </w:pPr>
      <w:r>
        <w:rPr>
          <w:rFonts w:asciiTheme="minorHAnsi" w:hAnsiTheme="minorHAnsi"/>
          <w:color w:val="000000"/>
        </w:rPr>
        <w:t>Issue</w:t>
      </w:r>
      <w:r w:rsidR="00E6610A">
        <w:rPr>
          <w:rFonts w:asciiTheme="minorHAnsi" w:hAnsiTheme="minorHAnsi"/>
          <w:color w:val="000000"/>
        </w:rPr>
        <w:t xml:space="preserve"> (1) can be overcome by instituting a one or two week recall period.  This change would not entail any additional data collection </w:t>
      </w:r>
      <w:r w:rsidR="00E212DD">
        <w:rPr>
          <w:rFonts w:asciiTheme="minorHAnsi" w:hAnsiTheme="minorHAnsi"/>
          <w:color w:val="000000"/>
        </w:rPr>
        <w:t xml:space="preserve">time or </w:t>
      </w:r>
      <w:r w:rsidR="00E6610A">
        <w:rPr>
          <w:rFonts w:asciiTheme="minorHAnsi" w:hAnsiTheme="minorHAnsi"/>
          <w:color w:val="000000"/>
        </w:rPr>
        <w:t>costs.</w:t>
      </w:r>
    </w:p>
    <w:p w:rsidR="008726DB" w:rsidRDefault="008726DB" w:rsidP="00CC65DB">
      <w:pPr>
        <w:rPr>
          <w:rFonts w:asciiTheme="minorHAnsi" w:hAnsiTheme="minorHAnsi"/>
          <w:color w:val="000000"/>
        </w:rPr>
      </w:pPr>
    </w:p>
    <w:p w:rsidR="00B218D4" w:rsidRDefault="0070750F" w:rsidP="00CC65DB">
      <w:pPr>
        <w:rPr>
          <w:rFonts w:asciiTheme="minorHAnsi" w:hAnsiTheme="minorHAnsi"/>
          <w:color w:val="000000"/>
        </w:rPr>
      </w:pPr>
      <w:r>
        <w:rPr>
          <w:rFonts w:asciiTheme="minorHAnsi" w:hAnsiTheme="minorHAnsi"/>
          <w:color w:val="000000"/>
        </w:rPr>
        <w:t xml:space="preserve">Issue </w:t>
      </w:r>
      <w:r w:rsidR="008726DB">
        <w:rPr>
          <w:rFonts w:asciiTheme="minorHAnsi" w:hAnsiTheme="minorHAnsi"/>
          <w:color w:val="000000"/>
        </w:rPr>
        <w:t xml:space="preserve">(2) </w:t>
      </w:r>
      <w:r w:rsidR="00F85773">
        <w:rPr>
          <w:rFonts w:asciiTheme="minorHAnsi" w:hAnsiTheme="minorHAnsi"/>
          <w:color w:val="000000"/>
        </w:rPr>
        <w:t xml:space="preserve">can be overcome by including some </w:t>
      </w:r>
      <w:r w:rsidR="00B218D4">
        <w:rPr>
          <w:rFonts w:asciiTheme="minorHAnsi" w:hAnsiTheme="minorHAnsi"/>
          <w:color w:val="000000"/>
        </w:rPr>
        <w:t xml:space="preserve">expenditure </w:t>
      </w:r>
      <w:r w:rsidR="00F85773">
        <w:rPr>
          <w:rFonts w:asciiTheme="minorHAnsi" w:hAnsiTheme="minorHAnsi"/>
          <w:color w:val="000000"/>
        </w:rPr>
        <w:t>items in the “pulses, nuts and seeds”</w:t>
      </w:r>
      <w:r w:rsidR="00B218D4">
        <w:rPr>
          <w:rFonts w:asciiTheme="minorHAnsi" w:hAnsiTheme="minorHAnsi"/>
          <w:color w:val="000000"/>
        </w:rPr>
        <w:t>,</w:t>
      </w:r>
      <w:r w:rsidR="00F85773">
        <w:rPr>
          <w:rFonts w:asciiTheme="minorHAnsi" w:hAnsiTheme="minorHAnsi"/>
          <w:color w:val="000000"/>
        </w:rPr>
        <w:t xml:space="preserve"> “alcoholic beverages”</w:t>
      </w:r>
      <w:r w:rsidR="00B218D4">
        <w:rPr>
          <w:rFonts w:asciiTheme="minorHAnsi" w:hAnsiTheme="minorHAnsi"/>
          <w:color w:val="000000"/>
        </w:rPr>
        <w:t>, and “furniture and utensils”</w:t>
      </w:r>
      <w:r w:rsidR="00F85773">
        <w:rPr>
          <w:rFonts w:asciiTheme="minorHAnsi" w:hAnsiTheme="minorHAnsi"/>
          <w:color w:val="000000"/>
        </w:rPr>
        <w:t xml:space="preserve"> groups.  This change would not greatly increase data collection </w:t>
      </w:r>
      <w:r w:rsidR="00E212DD">
        <w:rPr>
          <w:rFonts w:asciiTheme="minorHAnsi" w:hAnsiTheme="minorHAnsi"/>
          <w:color w:val="000000"/>
        </w:rPr>
        <w:t xml:space="preserve">time and </w:t>
      </w:r>
      <w:r w:rsidR="00F85773">
        <w:rPr>
          <w:rFonts w:asciiTheme="minorHAnsi" w:hAnsiTheme="minorHAnsi"/>
          <w:color w:val="000000"/>
        </w:rPr>
        <w:t>costs.</w:t>
      </w:r>
    </w:p>
    <w:p w:rsidR="00B218D4" w:rsidRDefault="00B218D4" w:rsidP="00CC65DB">
      <w:pPr>
        <w:rPr>
          <w:rFonts w:asciiTheme="minorHAnsi" w:hAnsiTheme="minorHAnsi"/>
          <w:color w:val="000000"/>
        </w:rPr>
      </w:pPr>
    </w:p>
    <w:p w:rsidR="008726DB" w:rsidRDefault="0070750F" w:rsidP="00CC65DB">
      <w:pPr>
        <w:rPr>
          <w:rFonts w:asciiTheme="minorHAnsi" w:hAnsiTheme="minorHAnsi"/>
          <w:color w:val="000000"/>
        </w:rPr>
      </w:pPr>
      <w:r>
        <w:rPr>
          <w:rFonts w:asciiTheme="minorHAnsi" w:hAnsiTheme="minorHAnsi"/>
          <w:color w:val="000000"/>
        </w:rPr>
        <w:t xml:space="preserve">Issue </w:t>
      </w:r>
      <w:r w:rsidR="008726DB">
        <w:rPr>
          <w:rFonts w:asciiTheme="minorHAnsi" w:hAnsiTheme="minorHAnsi"/>
          <w:color w:val="000000"/>
        </w:rPr>
        <w:t xml:space="preserve">(3) can be overcome by </w:t>
      </w:r>
      <w:r w:rsidR="00F85773">
        <w:rPr>
          <w:rFonts w:asciiTheme="minorHAnsi" w:hAnsiTheme="minorHAnsi"/>
          <w:color w:val="000000"/>
        </w:rPr>
        <w:t xml:space="preserve">including </w:t>
      </w:r>
      <w:r w:rsidR="00B218D4">
        <w:rPr>
          <w:rFonts w:asciiTheme="minorHAnsi" w:hAnsiTheme="minorHAnsi"/>
          <w:color w:val="000000"/>
        </w:rPr>
        <w:t xml:space="preserve">a more detailed, </w:t>
      </w:r>
      <w:r w:rsidR="008726DB">
        <w:rPr>
          <w:rFonts w:asciiTheme="minorHAnsi" w:hAnsiTheme="minorHAnsi"/>
          <w:color w:val="000000"/>
        </w:rPr>
        <w:t xml:space="preserve">expanded </w:t>
      </w:r>
      <w:r w:rsidR="00B218D4">
        <w:rPr>
          <w:rFonts w:asciiTheme="minorHAnsi" w:hAnsiTheme="minorHAnsi"/>
          <w:color w:val="000000"/>
        </w:rPr>
        <w:t xml:space="preserve">list of </w:t>
      </w:r>
      <w:r w:rsidR="008726DB">
        <w:rPr>
          <w:rFonts w:asciiTheme="minorHAnsi" w:hAnsiTheme="minorHAnsi"/>
          <w:color w:val="000000"/>
        </w:rPr>
        <w:t xml:space="preserve">food and non-food expenditure items.  The choice of the number of items and their actual identify should draw on </w:t>
      </w:r>
      <w:r>
        <w:rPr>
          <w:rFonts w:asciiTheme="minorHAnsi" w:hAnsiTheme="minorHAnsi"/>
          <w:color w:val="000000"/>
        </w:rPr>
        <w:t xml:space="preserve">both </w:t>
      </w:r>
      <w:r w:rsidR="008726DB">
        <w:rPr>
          <w:rFonts w:asciiTheme="minorHAnsi" w:hAnsiTheme="minorHAnsi"/>
          <w:color w:val="000000"/>
        </w:rPr>
        <w:t xml:space="preserve">the experience of other surveys and information </w:t>
      </w:r>
      <w:r>
        <w:rPr>
          <w:rFonts w:asciiTheme="minorHAnsi" w:hAnsiTheme="minorHAnsi"/>
          <w:color w:val="000000"/>
        </w:rPr>
        <w:t xml:space="preserve">on consumption patterns </w:t>
      </w:r>
      <w:r w:rsidR="008726DB">
        <w:rPr>
          <w:rFonts w:asciiTheme="minorHAnsi" w:hAnsiTheme="minorHAnsi"/>
          <w:color w:val="000000"/>
        </w:rPr>
        <w:t xml:space="preserve">from </w:t>
      </w:r>
      <w:r>
        <w:rPr>
          <w:rFonts w:asciiTheme="minorHAnsi" w:hAnsiTheme="minorHAnsi"/>
          <w:color w:val="000000"/>
        </w:rPr>
        <w:t xml:space="preserve">the most </w:t>
      </w:r>
      <w:r w:rsidR="008726DB">
        <w:rPr>
          <w:rFonts w:asciiTheme="minorHAnsi" w:hAnsiTheme="minorHAnsi"/>
          <w:color w:val="000000"/>
        </w:rPr>
        <w:t>recent PECS survey</w:t>
      </w:r>
      <w:r>
        <w:rPr>
          <w:rFonts w:asciiTheme="minorHAnsi" w:hAnsiTheme="minorHAnsi"/>
          <w:color w:val="000000"/>
        </w:rPr>
        <w:t xml:space="preserve">.   The relevant information from </w:t>
      </w:r>
      <w:r w:rsidR="00B218D4">
        <w:rPr>
          <w:rFonts w:asciiTheme="minorHAnsi" w:hAnsiTheme="minorHAnsi"/>
          <w:color w:val="000000"/>
        </w:rPr>
        <w:t xml:space="preserve">the latter </w:t>
      </w:r>
      <w:r>
        <w:rPr>
          <w:rFonts w:asciiTheme="minorHAnsi" w:hAnsiTheme="minorHAnsi"/>
          <w:color w:val="000000"/>
        </w:rPr>
        <w:t xml:space="preserve">is </w:t>
      </w:r>
      <w:r w:rsidR="008726DB">
        <w:rPr>
          <w:rFonts w:asciiTheme="minorHAnsi" w:hAnsiTheme="minorHAnsi"/>
          <w:color w:val="000000"/>
        </w:rPr>
        <w:t xml:space="preserve">the percent of households reporting positive acquisition for each </w:t>
      </w:r>
      <w:r>
        <w:rPr>
          <w:rFonts w:asciiTheme="minorHAnsi" w:hAnsiTheme="minorHAnsi"/>
          <w:color w:val="000000"/>
        </w:rPr>
        <w:t xml:space="preserve">expenditure </w:t>
      </w:r>
      <w:r w:rsidR="008726DB">
        <w:rPr>
          <w:rFonts w:asciiTheme="minorHAnsi" w:hAnsiTheme="minorHAnsi"/>
          <w:color w:val="000000"/>
        </w:rPr>
        <w:t>item and the average percent of total expenditures for each.</w:t>
      </w:r>
    </w:p>
    <w:p w:rsidR="00E6610A" w:rsidRDefault="00E6610A" w:rsidP="00CC65DB">
      <w:pPr>
        <w:rPr>
          <w:rFonts w:asciiTheme="minorHAnsi" w:hAnsiTheme="minorHAnsi"/>
          <w:color w:val="000000"/>
        </w:rPr>
      </w:pPr>
    </w:p>
    <w:p w:rsidR="00C1163F" w:rsidRDefault="0070750F" w:rsidP="00F11752">
      <w:pPr>
        <w:rPr>
          <w:rFonts w:asciiTheme="minorHAnsi" w:hAnsiTheme="minorHAnsi"/>
          <w:color w:val="000000"/>
        </w:rPr>
      </w:pPr>
      <w:r>
        <w:rPr>
          <w:rFonts w:asciiTheme="minorHAnsi" w:hAnsiTheme="minorHAnsi"/>
          <w:color w:val="000000"/>
        </w:rPr>
        <w:t xml:space="preserve">The 2011 PECS </w:t>
      </w:r>
      <w:r w:rsidR="00E212DD">
        <w:rPr>
          <w:rFonts w:asciiTheme="minorHAnsi" w:hAnsiTheme="minorHAnsi"/>
          <w:color w:val="000000"/>
        </w:rPr>
        <w:t xml:space="preserve">consumption module </w:t>
      </w:r>
      <w:r>
        <w:rPr>
          <w:rFonts w:asciiTheme="minorHAnsi" w:hAnsiTheme="minorHAnsi"/>
          <w:color w:val="000000"/>
        </w:rPr>
        <w:t>has 751 expenditure items</w:t>
      </w:r>
      <w:r w:rsidR="00E212DD" w:rsidRPr="00B30983">
        <w:rPr>
          <w:rFonts w:asciiTheme="minorHAnsi" w:hAnsiTheme="minorHAnsi"/>
        </w:rPr>
        <w:t>—</w:t>
      </w:r>
      <w:r>
        <w:rPr>
          <w:rFonts w:asciiTheme="minorHAnsi" w:hAnsiTheme="minorHAnsi"/>
          <w:color w:val="000000"/>
        </w:rPr>
        <w:t>332 food items and 419 non-food items.</w:t>
      </w:r>
      <w:r w:rsidR="00B218D4">
        <w:rPr>
          <w:rStyle w:val="FootnoteReference"/>
          <w:rFonts w:asciiTheme="minorHAnsi" w:hAnsiTheme="minorHAnsi"/>
          <w:color w:val="000000"/>
        </w:rPr>
        <w:footnoteReference w:id="14"/>
      </w:r>
      <w:r>
        <w:rPr>
          <w:rFonts w:asciiTheme="minorHAnsi" w:hAnsiTheme="minorHAnsi"/>
          <w:color w:val="000000"/>
        </w:rPr>
        <w:t xml:space="preserve">  This is quite a large number compared to </w:t>
      </w:r>
      <w:r w:rsidR="00B218D4">
        <w:rPr>
          <w:rFonts w:asciiTheme="minorHAnsi" w:hAnsiTheme="minorHAnsi"/>
          <w:color w:val="000000"/>
        </w:rPr>
        <w:t xml:space="preserve">other </w:t>
      </w:r>
      <w:r w:rsidR="00637275">
        <w:rPr>
          <w:rFonts w:asciiTheme="minorHAnsi" w:hAnsiTheme="minorHAnsi"/>
          <w:color w:val="000000"/>
        </w:rPr>
        <w:t>national Household Consumption and Expenditure Survey</w:t>
      </w:r>
      <w:r w:rsidR="00E212DD">
        <w:rPr>
          <w:rFonts w:asciiTheme="minorHAnsi" w:hAnsiTheme="minorHAnsi"/>
          <w:color w:val="000000"/>
        </w:rPr>
        <w:t>s</w:t>
      </w:r>
      <w:r w:rsidR="00637275">
        <w:rPr>
          <w:rFonts w:asciiTheme="minorHAnsi" w:hAnsiTheme="minorHAnsi"/>
          <w:color w:val="000000"/>
        </w:rPr>
        <w:t xml:space="preserve"> (HCES)</w:t>
      </w:r>
      <w:r w:rsidR="00C1163F">
        <w:rPr>
          <w:rFonts w:asciiTheme="minorHAnsi" w:hAnsiTheme="minorHAnsi"/>
          <w:color w:val="000000"/>
        </w:rPr>
        <w:t xml:space="preserve">:  the average </w:t>
      </w:r>
      <w:r w:rsidR="00E212DD">
        <w:rPr>
          <w:rFonts w:asciiTheme="minorHAnsi" w:hAnsiTheme="minorHAnsi"/>
          <w:color w:val="000000"/>
        </w:rPr>
        <w:t xml:space="preserve">low-and-middle-income country </w:t>
      </w:r>
      <w:r w:rsidR="00C1163F">
        <w:rPr>
          <w:rFonts w:asciiTheme="minorHAnsi" w:hAnsiTheme="minorHAnsi"/>
          <w:color w:val="000000"/>
        </w:rPr>
        <w:t xml:space="preserve">HCES has </w:t>
      </w:r>
      <w:r w:rsidR="00637275">
        <w:rPr>
          <w:rFonts w:asciiTheme="minorHAnsi" w:hAnsiTheme="minorHAnsi"/>
          <w:color w:val="000000"/>
        </w:rPr>
        <w:t xml:space="preserve">102 </w:t>
      </w:r>
      <w:r>
        <w:rPr>
          <w:rFonts w:asciiTheme="minorHAnsi" w:hAnsiTheme="minorHAnsi"/>
          <w:color w:val="000000"/>
        </w:rPr>
        <w:lastRenderedPageBreak/>
        <w:t>food items and 62 non-food items.</w:t>
      </w:r>
      <w:r w:rsidR="00637275">
        <w:rPr>
          <w:rStyle w:val="FootnoteReference"/>
          <w:rFonts w:asciiTheme="minorHAnsi" w:hAnsiTheme="minorHAnsi"/>
          <w:color w:val="000000"/>
        </w:rPr>
        <w:footnoteReference w:id="15"/>
      </w:r>
      <w:r>
        <w:rPr>
          <w:rFonts w:asciiTheme="minorHAnsi" w:hAnsiTheme="minorHAnsi"/>
          <w:color w:val="000000"/>
        </w:rPr>
        <w:t xml:space="preserve">   </w:t>
      </w:r>
      <w:r w:rsidR="00C1163F">
        <w:rPr>
          <w:rFonts w:asciiTheme="minorHAnsi" w:hAnsiTheme="minorHAnsi"/>
          <w:color w:val="000000"/>
        </w:rPr>
        <w:t>A model “Consumption” module suggested by Deaton and Grosh (2000) in the most recent World Bank Living Standard Measurement Survey (LSMS) manual for designing household surveys has 40 food items and 54 non-food items.  For another example, a</w:t>
      </w:r>
      <w:r w:rsidR="005C193A">
        <w:rPr>
          <w:rFonts w:asciiTheme="minorHAnsi" w:hAnsiTheme="minorHAnsi"/>
          <w:color w:val="000000"/>
        </w:rPr>
        <w:t xml:space="preserve"> recent widely-cited methodological experiment conducted in Tanzania considered the “gold standard”</w:t>
      </w:r>
      <w:r w:rsidR="00C1163F">
        <w:rPr>
          <w:rFonts w:asciiTheme="minorHAnsi" w:hAnsiTheme="minorHAnsi"/>
          <w:color w:val="000000"/>
        </w:rPr>
        <w:t xml:space="preserve"> </w:t>
      </w:r>
      <w:r w:rsidR="005C193A">
        <w:rPr>
          <w:rFonts w:asciiTheme="minorHAnsi" w:hAnsiTheme="minorHAnsi"/>
          <w:color w:val="000000"/>
        </w:rPr>
        <w:t>long list of expenditure items to be that with 58 items</w:t>
      </w:r>
      <w:r w:rsidR="00C1163F">
        <w:rPr>
          <w:rFonts w:asciiTheme="minorHAnsi" w:hAnsiTheme="minorHAnsi"/>
          <w:color w:val="000000"/>
        </w:rPr>
        <w:t xml:space="preserve"> in total</w:t>
      </w:r>
      <w:r w:rsidR="005C193A">
        <w:rPr>
          <w:rFonts w:asciiTheme="minorHAnsi" w:hAnsiTheme="minorHAnsi"/>
          <w:color w:val="000000"/>
        </w:rPr>
        <w:t>.</w:t>
      </w:r>
    </w:p>
    <w:p w:rsidR="006F54E9" w:rsidRDefault="006F54E9" w:rsidP="00F11752">
      <w:pPr>
        <w:rPr>
          <w:rFonts w:asciiTheme="minorHAnsi" w:hAnsiTheme="minorHAnsi"/>
          <w:color w:val="000000"/>
        </w:rPr>
      </w:pPr>
      <w:r>
        <w:rPr>
          <w:rFonts w:asciiTheme="minorHAnsi" w:hAnsiTheme="minorHAnsi"/>
          <w:color w:val="000000"/>
        </w:rPr>
        <w:t xml:space="preserve"> </w:t>
      </w:r>
      <w:r w:rsidR="00C1163F">
        <w:rPr>
          <w:rFonts w:asciiTheme="minorHAnsi" w:hAnsiTheme="minorHAnsi"/>
          <w:color w:val="000000"/>
        </w:rPr>
        <w:t xml:space="preserve">  </w:t>
      </w:r>
    </w:p>
    <w:p w:rsidR="00E212DD" w:rsidRPr="00E212DD" w:rsidRDefault="005C193A" w:rsidP="00E212DD">
      <w:pPr>
        <w:rPr>
          <w:rFonts w:asciiTheme="minorHAnsi" w:hAnsiTheme="minorHAnsi"/>
          <w:color w:val="000000"/>
        </w:rPr>
      </w:pPr>
      <w:r>
        <w:rPr>
          <w:rFonts w:asciiTheme="minorHAnsi" w:hAnsiTheme="minorHAnsi"/>
          <w:color w:val="000000"/>
        </w:rPr>
        <w:t>T</w:t>
      </w:r>
      <w:r w:rsidR="0070750F">
        <w:rPr>
          <w:rFonts w:asciiTheme="minorHAnsi" w:hAnsiTheme="minorHAnsi"/>
          <w:color w:val="000000"/>
        </w:rPr>
        <w:t xml:space="preserve">he </w:t>
      </w:r>
      <w:r w:rsidR="00E212DD">
        <w:rPr>
          <w:rFonts w:asciiTheme="minorHAnsi" w:hAnsiTheme="minorHAnsi"/>
          <w:color w:val="000000"/>
        </w:rPr>
        <w:t xml:space="preserve">very large </w:t>
      </w:r>
      <w:r w:rsidR="0070750F">
        <w:rPr>
          <w:rFonts w:asciiTheme="minorHAnsi" w:hAnsiTheme="minorHAnsi"/>
          <w:color w:val="000000"/>
        </w:rPr>
        <w:t xml:space="preserve">number of expenditure items in the PECS </w:t>
      </w:r>
      <w:r w:rsidR="00E212DD">
        <w:rPr>
          <w:rFonts w:asciiTheme="minorHAnsi" w:hAnsiTheme="minorHAnsi"/>
          <w:color w:val="000000"/>
        </w:rPr>
        <w:t xml:space="preserve">compared to these latter two examples </w:t>
      </w:r>
      <w:r w:rsidR="0070750F">
        <w:rPr>
          <w:rFonts w:asciiTheme="minorHAnsi" w:hAnsiTheme="minorHAnsi"/>
          <w:color w:val="000000"/>
        </w:rPr>
        <w:t xml:space="preserve">is surely a reflection of the fact that Palestine is </w:t>
      </w:r>
      <w:r w:rsidR="00C1163F">
        <w:rPr>
          <w:rFonts w:asciiTheme="minorHAnsi" w:hAnsiTheme="minorHAnsi"/>
          <w:color w:val="000000"/>
        </w:rPr>
        <w:t xml:space="preserve">further along its development transition than the typical </w:t>
      </w:r>
      <w:r w:rsidR="0070750F">
        <w:rPr>
          <w:rFonts w:asciiTheme="minorHAnsi" w:hAnsiTheme="minorHAnsi"/>
          <w:color w:val="000000"/>
        </w:rPr>
        <w:t>develop</w:t>
      </w:r>
      <w:r w:rsidR="00C1163F">
        <w:rPr>
          <w:rFonts w:asciiTheme="minorHAnsi" w:hAnsiTheme="minorHAnsi"/>
          <w:color w:val="000000"/>
        </w:rPr>
        <w:t>ing</w:t>
      </w:r>
      <w:r w:rsidR="0070750F">
        <w:rPr>
          <w:rFonts w:asciiTheme="minorHAnsi" w:hAnsiTheme="minorHAnsi"/>
          <w:color w:val="000000"/>
        </w:rPr>
        <w:t xml:space="preserve"> countr</w:t>
      </w:r>
      <w:r>
        <w:rPr>
          <w:rFonts w:asciiTheme="minorHAnsi" w:hAnsiTheme="minorHAnsi"/>
          <w:color w:val="000000"/>
        </w:rPr>
        <w:t>y</w:t>
      </w:r>
      <w:r w:rsidR="00C1163F">
        <w:rPr>
          <w:rFonts w:asciiTheme="minorHAnsi" w:hAnsiTheme="minorHAnsi"/>
          <w:color w:val="000000"/>
        </w:rPr>
        <w:t xml:space="preserve">.   The variety of both food and non-food items available for purchase is thus greater.   </w:t>
      </w:r>
      <w:r>
        <w:rPr>
          <w:rFonts w:asciiTheme="minorHAnsi" w:hAnsiTheme="minorHAnsi"/>
          <w:color w:val="000000"/>
        </w:rPr>
        <w:t>However, a</w:t>
      </w:r>
      <w:r w:rsidR="00E212DD">
        <w:rPr>
          <w:rFonts w:asciiTheme="minorHAnsi" w:hAnsiTheme="minorHAnsi"/>
          <w:color w:val="000000"/>
        </w:rPr>
        <w:t xml:space="preserve">n initial </w:t>
      </w:r>
      <w:r w:rsidR="00F11752">
        <w:rPr>
          <w:rFonts w:asciiTheme="minorHAnsi" w:hAnsiTheme="minorHAnsi"/>
          <w:color w:val="000000"/>
        </w:rPr>
        <w:t xml:space="preserve">look at the PECS 2011 data indicates that there is considerable flexibility for aggregating </w:t>
      </w:r>
      <w:r w:rsidR="00C1163F">
        <w:rPr>
          <w:rFonts w:asciiTheme="minorHAnsi" w:hAnsiTheme="minorHAnsi"/>
          <w:color w:val="000000"/>
        </w:rPr>
        <w:t xml:space="preserve">expenditure </w:t>
      </w:r>
      <w:r w:rsidR="00F11752" w:rsidRPr="00E212DD">
        <w:rPr>
          <w:rFonts w:asciiTheme="minorHAnsi" w:hAnsiTheme="minorHAnsi"/>
          <w:color w:val="000000"/>
        </w:rPr>
        <w:t xml:space="preserve">categories with </w:t>
      </w:r>
      <w:r w:rsidR="00C1163F" w:rsidRPr="00E212DD">
        <w:rPr>
          <w:rFonts w:asciiTheme="minorHAnsi" w:hAnsiTheme="minorHAnsi"/>
          <w:color w:val="000000"/>
        </w:rPr>
        <w:t xml:space="preserve">possibly </w:t>
      </w:r>
      <w:r w:rsidR="00F11752" w:rsidRPr="00E212DD">
        <w:rPr>
          <w:rFonts w:asciiTheme="minorHAnsi" w:hAnsiTheme="minorHAnsi"/>
          <w:color w:val="000000"/>
        </w:rPr>
        <w:t xml:space="preserve">little reduction in the </w:t>
      </w:r>
      <w:r w:rsidR="00C1163F" w:rsidRPr="00E212DD">
        <w:rPr>
          <w:rFonts w:asciiTheme="minorHAnsi" w:hAnsiTheme="minorHAnsi"/>
          <w:color w:val="000000"/>
        </w:rPr>
        <w:t xml:space="preserve">total </w:t>
      </w:r>
      <w:r w:rsidR="00F11752" w:rsidRPr="00E212DD">
        <w:rPr>
          <w:rFonts w:asciiTheme="minorHAnsi" w:hAnsiTheme="minorHAnsi"/>
          <w:color w:val="000000"/>
        </w:rPr>
        <w:t>expenditures that would be enumerated</w:t>
      </w:r>
      <w:r w:rsidRPr="00E212DD">
        <w:rPr>
          <w:rFonts w:asciiTheme="minorHAnsi" w:hAnsiTheme="minorHAnsi"/>
          <w:color w:val="000000"/>
        </w:rPr>
        <w:t xml:space="preserve">.  </w:t>
      </w:r>
      <w:r w:rsidR="00E212DD">
        <w:rPr>
          <w:rFonts w:asciiTheme="minorHAnsi" w:hAnsiTheme="minorHAnsi"/>
          <w:color w:val="000000"/>
        </w:rPr>
        <w:t>E</w:t>
      </w:r>
      <w:r w:rsidR="00E212DD" w:rsidRPr="00E212DD">
        <w:rPr>
          <w:rFonts w:asciiTheme="minorHAnsi" w:hAnsiTheme="minorHAnsi"/>
          <w:color w:val="000000"/>
        </w:rPr>
        <w:t>xamples of aggregating categories are:</w:t>
      </w:r>
    </w:p>
    <w:p w:rsidR="00E212DD" w:rsidRPr="00E212DD" w:rsidRDefault="00E212DD" w:rsidP="00E212DD">
      <w:pPr>
        <w:ind w:left="900" w:hanging="270"/>
        <w:rPr>
          <w:rFonts w:asciiTheme="minorHAnsi" w:hAnsiTheme="minorHAnsi"/>
          <w:color w:val="000000"/>
        </w:rPr>
      </w:pPr>
      <w:r w:rsidRPr="00E212DD">
        <w:rPr>
          <w:rFonts w:asciiTheme="minorHAnsi" w:hAnsiTheme="minorHAnsi"/>
          <w:color w:val="000000"/>
        </w:rPr>
        <w:t>1.  Combining “featherless fresh chicken”, “feathered fresh chicken” and “frozen chicken” into one item titled “chicken”;</w:t>
      </w:r>
    </w:p>
    <w:p w:rsidR="00E212DD" w:rsidRPr="00E212DD" w:rsidRDefault="00E212DD" w:rsidP="00E212DD">
      <w:pPr>
        <w:ind w:left="900" w:hanging="270"/>
        <w:rPr>
          <w:rFonts w:asciiTheme="minorHAnsi" w:hAnsiTheme="minorHAnsi"/>
          <w:color w:val="000000"/>
        </w:rPr>
      </w:pPr>
      <w:r w:rsidRPr="00E212DD">
        <w:rPr>
          <w:rFonts w:asciiTheme="minorHAnsi" w:hAnsiTheme="minorHAnsi"/>
          <w:color w:val="000000"/>
        </w:rPr>
        <w:t>2.  Removing the specific food item “pears” from the list of food items (if rarely consumed) and assuming it will be covered in the “Other fresh fruits” category.</w:t>
      </w:r>
    </w:p>
    <w:p w:rsidR="00E212DD" w:rsidRDefault="00E212DD" w:rsidP="00E212DD">
      <w:pPr>
        <w:rPr>
          <w:rFonts w:asciiTheme="minorHAnsi" w:hAnsiTheme="minorHAnsi"/>
          <w:color w:val="000000"/>
        </w:rPr>
      </w:pPr>
    </w:p>
    <w:p w:rsidR="00E212DD" w:rsidRDefault="00C1163F" w:rsidP="00F11752">
      <w:pPr>
        <w:rPr>
          <w:rFonts w:asciiTheme="minorHAnsi" w:hAnsiTheme="minorHAnsi"/>
          <w:color w:val="000000"/>
        </w:rPr>
      </w:pPr>
      <w:r>
        <w:rPr>
          <w:rFonts w:asciiTheme="minorHAnsi" w:hAnsiTheme="minorHAnsi"/>
          <w:color w:val="000000"/>
        </w:rPr>
        <w:t>Some preliminary insight can be obtained by examining the</w:t>
      </w:r>
      <w:r w:rsidR="005C193A">
        <w:rPr>
          <w:rFonts w:asciiTheme="minorHAnsi" w:hAnsiTheme="minorHAnsi"/>
          <w:color w:val="000000"/>
        </w:rPr>
        <w:t xml:space="preserve"> number of</w:t>
      </w:r>
      <w:r w:rsidR="00E212DD">
        <w:rPr>
          <w:rFonts w:asciiTheme="minorHAnsi" w:hAnsiTheme="minorHAnsi"/>
          <w:color w:val="000000"/>
        </w:rPr>
        <w:t xml:space="preserve"> expenditure</w:t>
      </w:r>
      <w:r w:rsidR="005C193A">
        <w:rPr>
          <w:rFonts w:asciiTheme="minorHAnsi" w:hAnsiTheme="minorHAnsi"/>
          <w:color w:val="000000"/>
        </w:rPr>
        <w:t xml:space="preserve"> items and estimated total expenditures per capita when PECS 2011 items that are not commonly consumed are excluded</w:t>
      </w:r>
      <w:r>
        <w:rPr>
          <w:rFonts w:asciiTheme="minorHAnsi" w:hAnsiTheme="minorHAnsi"/>
          <w:color w:val="000000"/>
        </w:rPr>
        <w:t xml:space="preserve"> from calculations</w:t>
      </w:r>
      <w:r w:rsidR="00A75685">
        <w:rPr>
          <w:rFonts w:asciiTheme="minorHAnsi" w:hAnsiTheme="minorHAnsi"/>
          <w:color w:val="000000"/>
        </w:rPr>
        <w:t xml:space="preserve"> (see Table 7.1)</w:t>
      </w:r>
      <w:r w:rsidR="005C193A">
        <w:rPr>
          <w:rFonts w:asciiTheme="minorHAnsi" w:hAnsiTheme="minorHAnsi"/>
          <w:color w:val="000000"/>
        </w:rPr>
        <w:t xml:space="preserve">.  Since increasing the level of aggregation would not completely exclude these items but instead re-categorize them, this provides </w:t>
      </w:r>
      <w:r>
        <w:rPr>
          <w:rFonts w:asciiTheme="minorHAnsi" w:hAnsiTheme="minorHAnsi"/>
          <w:color w:val="000000"/>
        </w:rPr>
        <w:t xml:space="preserve">an idea of the </w:t>
      </w:r>
      <w:r w:rsidRPr="00C1163F">
        <w:rPr>
          <w:rFonts w:asciiTheme="minorHAnsi" w:hAnsiTheme="minorHAnsi"/>
          <w:i/>
          <w:color w:val="000000"/>
        </w:rPr>
        <w:t>maximum</w:t>
      </w:r>
      <w:r>
        <w:rPr>
          <w:rFonts w:asciiTheme="minorHAnsi" w:hAnsiTheme="minorHAnsi"/>
          <w:color w:val="000000"/>
        </w:rPr>
        <w:t xml:space="preserve"> total expenditures </w:t>
      </w:r>
      <w:r w:rsidR="005C193A">
        <w:rPr>
          <w:rFonts w:asciiTheme="minorHAnsi" w:hAnsiTheme="minorHAnsi"/>
          <w:color w:val="000000"/>
        </w:rPr>
        <w:t xml:space="preserve">underestimation that would occur with such re-categorization.   </w:t>
      </w:r>
    </w:p>
    <w:p w:rsidR="00E212DD" w:rsidRDefault="00E212DD" w:rsidP="00F11752">
      <w:pPr>
        <w:rPr>
          <w:rFonts w:asciiTheme="minorHAnsi" w:hAnsiTheme="minorHAnsi"/>
          <w:color w:val="000000"/>
        </w:rPr>
      </w:pPr>
    </w:p>
    <w:tbl>
      <w:tblPr>
        <w:tblW w:w="9483" w:type="dxa"/>
        <w:tblInd w:w="93" w:type="dxa"/>
        <w:tblLook w:val="04A0" w:firstRow="1" w:lastRow="0" w:firstColumn="1" w:lastColumn="0" w:noHBand="0" w:noVBand="1"/>
      </w:tblPr>
      <w:tblGrid>
        <w:gridCol w:w="2960"/>
        <w:gridCol w:w="820"/>
        <w:gridCol w:w="820"/>
        <w:gridCol w:w="820"/>
        <w:gridCol w:w="266"/>
        <w:gridCol w:w="960"/>
        <w:gridCol w:w="960"/>
        <w:gridCol w:w="960"/>
        <w:gridCol w:w="917"/>
      </w:tblGrid>
      <w:tr w:rsidR="00E212DD" w:rsidRPr="005A5318" w:rsidTr="00A75685">
        <w:trPr>
          <w:trHeight w:val="300"/>
        </w:trPr>
        <w:tc>
          <w:tcPr>
            <w:tcW w:w="9483" w:type="dxa"/>
            <w:gridSpan w:val="9"/>
            <w:tcBorders>
              <w:top w:val="nil"/>
              <w:left w:val="nil"/>
              <w:bottom w:val="nil"/>
              <w:right w:val="nil"/>
            </w:tcBorders>
            <w:shd w:val="clear" w:color="auto" w:fill="auto"/>
            <w:noWrap/>
            <w:vAlign w:val="bottom"/>
            <w:hideMark/>
          </w:tcPr>
          <w:p w:rsidR="00E212DD" w:rsidRDefault="00E212DD" w:rsidP="00E212DD">
            <w:pPr>
              <w:rPr>
                <w:rFonts w:ascii="Calibri" w:eastAsia="Times New Roman" w:hAnsi="Calibri"/>
                <w:b/>
                <w:bCs/>
                <w:color w:val="000000"/>
                <w:sz w:val="22"/>
                <w:szCs w:val="22"/>
              </w:rPr>
            </w:pPr>
            <w:bookmarkStart w:id="38" w:name="RANGE!C3:J12"/>
          </w:p>
          <w:p w:rsidR="00E212DD" w:rsidRPr="005A5318" w:rsidRDefault="00E212DD" w:rsidP="00E212DD">
            <w:pPr>
              <w:rPr>
                <w:rFonts w:ascii="Calibri" w:eastAsia="Times New Roman" w:hAnsi="Calibri"/>
                <w:b/>
                <w:bCs/>
                <w:color w:val="000000"/>
                <w:sz w:val="22"/>
                <w:szCs w:val="22"/>
              </w:rPr>
            </w:pPr>
            <w:r w:rsidRPr="005A5318">
              <w:rPr>
                <w:rFonts w:ascii="Calibri" w:eastAsia="Times New Roman" w:hAnsi="Calibri"/>
                <w:b/>
                <w:bCs/>
                <w:color w:val="000000"/>
                <w:sz w:val="22"/>
                <w:szCs w:val="22"/>
              </w:rPr>
              <w:t xml:space="preserve">Table 7.1  PECS 2011 total expenditures per capita and number of items when items </w:t>
            </w:r>
            <w:r>
              <w:rPr>
                <w:rFonts w:ascii="Calibri" w:eastAsia="Times New Roman" w:hAnsi="Calibri"/>
                <w:b/>
                <w:bCs/>
                <w:color w:val="000000"/>
                <w:sz w:val="22"/>
                <w:szCs w:val="22"/>
              </w:rPr>
              <w:t>with infrequent</w:t>
            </w:r>
            <w:r w:rsidRPr="005A5318">
              <w:rPr>
                <w:rFonts w:ascii="Calibri" w:eastAsia="Times New Roman" w:hAnsi="Calibri"/>
                <w:b/>
                <w:bCs/>
                <w:color w:val="000000"/>
                <w:sz w:val="22"/>
                <w:szCs w:val="22"/>
              </w:rPr>
              <w:t xml:space="preserve"> </w:t>
            </w:r>
            <w:r>
              <w:rPr>
                <w:rFonts w:ascii="Calibri" w:eastAsia="Times New Roman" w:hAnsi="Calibri"/>
                <w:b/>
                <w:bCs/>
                <w:color w:val="000000"/>
                <w:sz w:val="22"/>
                <w:szCs w:val="22"/>
              </w:rPr>
              <w:t>consumption are</w:t>
            </w:r>
            <w:bookmarkEnd w:id="38"/>
            <w:r>
              <w:rPr>
                <w:rFonts w:ascii="Calibri" w:eastAsia="Times New Roman" w:hAnsi="Calibri"/>
                <w:b/>
                <w:bCs/>
                <w:color w:val="000000"/>
                <w:sz w:val="22"/>
                <w:szCs w:val="22"/>
              </w:rPr>
              <w:t xml:space="preserve"> excluded</w:t>
            </w:r>
          </w:p>
        </w:tc>
      </w:tr>
      <w:tr w:rsidR="00E212DD" w:rsidRPr="005C4E78" w:rsidTr="00A75685">
        <w:trPr>
          <w:gridAfter w:val="1"/>
          <w:wAfter w:w="917" w:type="dxa"/>
          <w:trHeight w:val="615"/>
        </w:trPr>
        <w:tc>
          <w:tcPr>
            <w:tcW w:w="2960" w:type="dxa"/>
            <w:tcBorders>
              <w:top w:val="single" w:sz="8" w:space="0" w:color="auto"/>
              <w:left w:val="nil"/>
              <w:bottom w:val="nil"/>
              <w:right w:val="nil"/>
            </w:tcBorders>
            <w:shd w:val="clear" w:color="auto" w:fill="C4BC96" w:themeFill="background2" w:themeFillShade="BF"/>
            <w:noWrap/>
            <w:vAlign w:val="bottom"/>
            <w:hideMark/>
          </w:tcPr>
          <w:p w:rsidR="00E212DD" w:rsidRPr="005C4E78" w:rsidRDefault="00E212DD" w:rsidP="00E212DD">
            <w:pPr>
              <w:rPr>
                <w:rFonts w:ascii="Calibri" w:eastAsia="Times New Roman" w:hAnsi="Calibri"/>
                <w:color w:val="000000"/>
                <w:sz w:val="22"/>
                <w:szCs w:val="22"/>
              </w:rPr>
            </w:pPr>
            <w:r w:rsidRPr="005C4E78">
              <w:rPr>
                <w:rFonts w:ascii="Calibri" w:eastAsia="Times New Roman" w:hAnsi="Calibri"/>
                <w:color w:val="000000"/>
                <w:sz w:val="22"/>
                <w:szCs w:val="22"/>
              </w:rPr>
              <w:t> </w:t>
            </w:r>
          </w:p>
        </w:tc>
        <w:tc>
          <w:tcPr>
            <w:tcW w:w="2460" w:type="dxa"/>
            <w:gridSpan w:val="3"/>
            <w:tcBorders>
              <w:top w:val="single" w:sz="8" w:space="0" w:color="auto"/>
              <w:left w:val="nil"/>
              <w:bottom w:val="single" w:sz="4" w:space="0" w:color="auto"/>
              <w:right w:val="nil"/>
            </w:tcBorders>
            <w:shd w:val="clear" w:color="000000" w:fill="C4BD97"/>
            <w:vAlign w:val="center"/>
            <w:hideMark/>
          </w:tcPr>
          <w:p w:rsidR="00E212DD" w:rsidRPr="005C4E78" w:rsidRDefault="00E212DD" w:rsidP="00E212DD">
            <w:pPr>
              <w:jc w:val="center"/>
              <w:rPr>
                <w:rFonts w:ascii="Calibri" w:eastAsia="Times New Roman" w:hAnsi="Calibri"/>
                <w:color w:val="000000"/>
                <w:sz w:val="22"/>
                <w:szCs w:val="22"/>
              </w:rPr>
            </w:pPr>
            <w:r w:rsidRPr="005C4E78">
              <w:rPr>
                <w:rFonts w:ascii="Calibri" w:eastAsia="Times New Roman" w:hAnsi="Calibri"/>
                <w:color w:val="000000"/>
                <w:sz w:val="22"/>
                <w:szCs w:val="22"/>
              </w:rPr>
              <w:t>Number of items</w:t>
            </w:r>
          </w:p>
        </w:tc>
        <w:tc>
          <w:tcPr>
            <w:tcW w:w="266" w:type="dxa"/>
            <w:tcBorders>
              <w:top w:val="single" w:sz="8" w:space="0" w:color="auto"/>
              <w:left w:val="nil"/>
              <w:bottom w:val="nil"/>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r w:rsidRPr="005C4E78">
              <w:rPr>
                <w:rFonts w:ascii="Calibri" w:eastAsia="Times New Roman" w:hAnsi="Calibri"/>
                <w:color w:val="000000"/>
                <w:sz w:val="22"/>
                <w:szCs w:val="22"/>
              </w:rPr>
              <w:t> </w:t>
            </w:r>
          </w:p>
        </w:tc>
        <w:tc>
          <w:tcPr>
            <w:tcW w:w="2880" w:type="dxa"/>
            <w:gridSpan w:val="3"/>
            <w:tcBorders>
              <w:top w:val="single" w:sz="8" w:space="0" w:color="auto"/>
              <w:left w:val="nil"/>
              <w:bottom w:val="single" w:sz="4" w:space="0" w:color="auto"/>
              <w:right w:val="nil"/>
            </w:tcBorders>
            <w:shd w:val="clear" w:color="000000" w:fill="C4BD97"/>
            <w:vAlign w:val="center"/>
            <w:hideMark/>
          </w:tcPr>
          <w:p w:rsidR="00E212DD" w:rsidRPr="005C4E78" w:rsidRDefault="00E212DD" w:rsidP="00E212DD">
            <w:pPr>
              <w:jc w:val="center"/>
              <w:rPr>
                <w:rFonts w:ascii="Calibri" w:eastAsia="Times New Roman" w:hAnsi="Calibri"/>
                <w:color w:val="000000"/>
                <w:sz w:val="22"/>
                <w:szCs w:val="22"/>
              </w:rPr>
            </w:pPr>
            <w:r w:rsidRPr="005C4E78">
              <w:rPr>
                <w:rFonts w:ascii="Calibri" w:eastAsia="Times New Roman" w:hAnsi="Calibri"/>
                <w:color w:val="000000"/>
                <w:sz w:val="22"/>
                <w:szCs w:val="22"/>
              </w:rPr>
              <w:t>Total expenditures per capita (Mont</w:t>
            </w:r>
            <w:r>
              <w:rPr>
                <w:rFonts w:ascii="Calibri" w:eastAsia="Times New Roman" w:hAnsi="Calibri"/>
                <w:color w:val="000000"/>
                <w:sz w:val="22"/>
                <w:szCs w:val="22"/>
              </w:rPr>
              <w:t>h</w:t>
            </w:r>
            <w:r w:rsidRPr="005C4E78">
              <w:rPr>
                <w:rFonts w:ascii="Calibri" w:eastAsia="Times New Roman" w:hAnsi="Calibri"/>
                <w:color w:val="000000"/>
                <w:sz w:val="22"/>
                <w:szCs w:val="22"/>
              </w:rPr>
              <w:t>ly NIS)</w:t>
            </w:r>
          </w:p>
        </w:tc>
      </w:tr>
      <w:tr w:rsidR="00E212DD" w:rsidRPr="005C4E78" w:rsidTr="00A75685">
        <w:trPr>
          <w:gridAfter w:val="1"/>
          <w:wAfter w:w="917" w:type="dxa"/>
          <w:trHeight w:val="585"/>
        </w:trPr>
        <w:tc>
          <w:tcPr>
            <w:tcW w:w="2960" w:type="dxa"/>
            <w:tcBorders>
              <w:top w:val="nil"/>
              <w:left w:val="nil"/>
              <w:bottom w:val="single" w:sz="8" w:space="0" w:color="auto"/>
              <w:right w:val="nil"/>
            </w:tcBorders>
            <w:shd w:val="clear" w:color="auto" w:fill="C4BC96" w:themeFill="background2" w:themeFillShade="BF"/>
            <w:noWrap/>
            <w:vAlign w:val="bottom"/>
            <w:hideMark/>
          </w:tcPr>
          <w:p w:rsidR="00E212DD" w:rsidRPr="005C4E78" w:rsidRDefault="00E212DD" w:rsidP="00E212DD">
            <w:pPr>
              <w:rPr>
                <w:rFonts w:ascii="Calibri" w:eastAsia="Times New Roman" w:hAnsi="Calibri"/>
                <w:color w:val="000000"/>
                <w:sz w:val="22"/>
                <w:szCs w:val="22"/>
              </w:rPr>
            </w:pPr>
          </w:p>
        </w:tc>
        <w:tc>
          <w:tcPr>
            <w:tcW w:w="820" w:type="dxa"/>
            <w:tcBorders>
              <w:top w:val="nil"/>
              <w:left w:val="nil"/>
              <w:bottom w:val="single" w:sz="4" w:space="0" w:color="auto"/>
              <w:right w:val="nil"/>
            </w:tcBorders>
            <w:shd w:val="clear" w:color="000000" w:fill="C4BD97"/>
            <w:vAlign w:val="center"/>
            <w:hideMark/>
          </w:tcPr>
          <w:p w:rsidR="00E212DD" w:rsidRPr="005C4E78" w:rsidRDefault="00E212DD" w:rsidP="00E212DD">
            <w:pPr>
              <w:jc w:val="center"/>
              <w:rPr>
                <w:rFonts w:ascii="Calibri" w:eastAsia="Times New Roman" w:hAnsi="Calibri"/>
                <w:color w:val="000000"/>
                <w:sz w:val="22"/>
                <w:szCs w:val="22"/>
              </w:rPr>
            </w:pPr>
            <w:r w:rsidRPr="005C4E78">
              <w:rPr>
                <w:rFonts w:ascii="Calibri" w:eastAsia="Times New Roman" w:hAnsi="Calibri"/>
                <w:color w:val="000000"/>
                <w:sz w:val="22"/>
                <w:szCs w:val="22"/>
              </w:rPr>
              <w:t xml:space="preserve">Food </w:t>
            </w:r>
          </w:p>
        </w:tc>
        <w:tc>
          <w:tcPr>
            <w:tcW w:w="820" w:type="dxa"/>
            <w:tcBorders>
              <w:top w:val="nil"/>
              <w:left w:val="nil"/>
              <w:bottom w:val="single" w:sz="4" w:space="0" w:color="auto"/>
              <w:right w:val="nil"/>
            </w:tcBorders>
            <w:shd w:val="clear" w:color="000000" w:fill="C4BD97"/>
            <w:vAlign w:val="center"/>
            <w:hideMark/>
          </w:tcPr>
          <w:p w:rsidR="00E212DD" w:rsidRPr="005C4E78" w:rsidRDefault="00E212DD" w:rsidP="00E212DD">
            <w:pPr>
              <w:jc w:val="center"/>
              <w:rPr>
                <w:rFonts w:ascii="Calibri" w:eastAsia="Times New Roman" w:hAnsi="Calibri"/>
                <w:color w:val="000000"/>
                <w:sz w:val="22"/>
                <w:szCs w:val="22"/>
              </w:rPr>
            </w:pPr>
            <w:r w:rsidRPr="005C4E78">
              <w:rPr>
                <w:rFonts w:ascii="Calibri" w:eastAsia="Times New Roman" w:hAnsi="Calibri"/>
                <w:color w:val="000000"/>
                <w:sz w:val="22"/>
                <w:szCs w:val="22"/>
              </w:rPr>
              <w:t>Non-food</w:t>
            </w:r>
          </w:p>
        </w:tc>
        <w:tc>
          <w:tcPr>
            <w:tcW w:w="820" w:type="dxa"/>
            <w:tcBorders>
              <w:top w:val="nil"/>
              <w:left w:val="nil"/>
              <w:bottom w:val="single" w:sz="4" w:space="0" w:color="auto"/>
              <w:right w:val="nil"/>
            </w:tcBorders>
            <w:shd w:val="clear" w:color="000000" w:fill="C4BD97"/>
            <w:vAlign w:val="center"/>
            <w:hideMark/>
          </w:tcPr>
          <w:p w:rsidR="00E212DD" w:rsidRPr="005C4E78" w:rsidRDefault="00E212DD" w:rsidP="00E212DD">
            <w:pPr>
              <w:jc w:val="center"/>
              <w:rPr>
                <w:rFonts w:ascii="Calibri" w:eastAsia="Times New Roman" w:hAnsi="Calibri"/>
                <w:color w:val="000000"/>
                <w:sz w:val="22"/>
                <w:szCs w:val="22"/>
              </w:rPr>
            </w:pPr>
            <w:r w:rsidRPr="005C4E78">
              <w:rPr>
                <w:rFonts w:ascii="Calibri" w:eastAsia="Times New Roman" w:hAnsi="Calibri"/>
                <w:color w:val="000000"/>
                <w:sz w:val="22"/>
                <w:szCs w:val="22"/>
              </w:rPr>
              <w:t>Total</w:t>
            </w:r>
          </w:p>
        </w:tc>
        <w:tc>
          <w:tcPr>
            <w:tcW w:w="266" w:type="dxa"/>
            <w:tcBorders>
              <w:top w:val="nil"/>
              <w:left w:val="nil"/>
              <w:bottom w:val="nil"/>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p>
        </w:tc>
        <w:tc>
          <w:tcPr>
            <w:tcW w:w="960" w:type="dxa"/>
            <w:tcBorders>
              <w:top w:val="nil"/>
              <w:left w:val="nil"/>
              <w:bottom w:val="single" w:sz="4" w:space="0" w:color="auto"/>
              <w:right w:val="nil"/>
            </w:tcBorders>
            <w:shd w:val="clear" w:color="000000" w:fill="C4BD97"/>
            <w:vAlign w:val="center"/>
            <w:hideMark/>
          </w:tcPr>
          <w:p w:rsidR="00E212DD" w:rsidRPr="005C4E78" w:rsidRDefault="00E212DD" w:rsidP="00E212DD">
            <w:pPr>
              <w:jc w:val="center"/>
              <w:rPr>
                <w:rFonts w:ascii="Calibri" w:eastAsia="Times New Roman" w:hAnsi="Calibri"/>
                <w:color w:val="000000"/>
                <w:sz w:val="22"/>
                <w:szCs w:val="22"/>
              </w:rPr>
            </w:pPr>
            <w:r w:rsidRPr="005C4E78">
              <w:rPr>
                <w:rFonts w:ascii="Calibri" w:eastAsia="Times New Roman" w:hAnsi="Calibri"/>
                <w:color w:val="000000"/>
                <w:sz w:val="22"/>
                <w:szCs w:val="22"/>
              </w:rPr>
              <w:t xml:space="preserve">Food </w:t>
            </w:r>
          </w:p>
        </w:tc>
        <w:tc>
          <w:tcPr>
            <w:tcW w:w="960" w:type="dxa"/>
            <w:tcBorders>
              <w:top w:val="nil"/>
              <w:left w:val="nil"/>
              <w:bottom w:val="single" w:sz="4" w:space="0" w:color="auto"/>
              <w:right w:val="nil"/>
            </w:tcBorders>
            <w:shd w:val="clear" w:color="000000" w:fill="C4BD97"/>
            <w:vAlign w:val="center"/>
            <w:hideMark/>
          </w:tcPr>
          <w:p w:rsidR="00E212DD" w:rsidRPr="005C4E78" w:rsidRDefault="00E212DD" w:rsidP="00E212DD">
            <w:pPr>
              <w:jc w:val="center"/>
              <w:rPr>
                <w:rFonts w:ascii="Calibri" w:eastAsia="Times New Roman" w:hAnsi="Calibri"/>
                <w:color w:val="000000"/>
                <w:sz w:val="22"/>
                <w:szCs w:val="22"/>
              </w:rPr>
            </w:pPr>
            <w:r w:rsidRPr="005C4E78">
              <w:rPr>
                <w:rFonts w:ascii="Calibri" w:eastAsia="Times New Roman" w:hAnsi="Calibri"/>
                <w:color w:val="000000"/>
                <w:sz w:val="22"/>
                <w:szCs w:val="22"/>
              </w:rPr>
              <w:t>Non-food</w:t>
            </w:r>
          </w:p>
        </w:tc>
        <w:tc>
          <w:tcPr>
            <w:tcW w:w="960" w:type="dxa"/>
            <w:tcBorders>
              <w:top w:val="nil"/>
              <w:left w:val="nil"/>
              <w:bottom w:val="single" w:sz="4" w:space="0" w:color="auto"/>
              <w:right w:val="nil"/>
            </w:tcBorders>
            <w:shd w:val="clear" w:color="000000" w:fill="C4BD97"/>
            <w:vAlign w:val="center"/>
            <w:hideMark/>
          </w:tcPr>
          <w:p w:rsidR="00E212DD" w:rsidRPr="005C4E78" w:rsidRDefault="00E212DD" w:rsidP="00E212DD">
            <w:pPr>
              <w:jc w:val="center"/>
              <w:rPr>
                <w:rFonts w:ascii="Calibri" w:eastAsia="Times New Roman" w:hAnsi="Calibri"/>
                <w:color w:val="000000"/>
                <w:sz w:val="22"/>
                <w:szCs w:val="22"/>
              </w:rPr>
            </w:pPr>
            <w:r w:rsidRPr="005C4E78">
              <w:rPr>
                <w:rFonts w:ascii="Calibri" w:eastAsia="Times New Roman" w:hAnsi="Calibri"/>
                <w:color w:val="000000"/>
                <w:sz w:val="22"/>
                <w:szCs w:val="22"/>
              </w:rPr>
              <w:t>Total</w:t>
            </w:r>
          </w:p>
        </w:tc>
      </w:tr>
      <w:tr w:rsidR="00E212DD" w:rsidRPr="005C4E78" w:rsidTr="00A75685">
        <w:trPr>
          <w:gridAfter w:val="1"/>
          <w:wAfter w:w="917" w:type="dxa"/>
          <w:trHeight w:val="300"/>
        </w:trPr>
        <w:tc>
          <w:tcPr>
            <w:tcW w:w="2960" w:type="dxa"/>
            <w:tcBorders>
              <w:top w:val="single" w:sz="8" w:space="0" w:color="auto"/>
              <w:left w:val="nil"/>
              <w:bottom w:val="nil"/>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p>
        </w:tc>
        <w:tc>
          <w:tcPr>
            <w:tcW w:w="820" w:type="dxa"/>
            <w:tcBorders>
              <w:top w:val="nil"/>
              <w:left w:val="nil"/>
              <w:bottom w:val="nil"/>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p>
        </w:tc>
        <w:tc>
          <w:tcPr>
            <w:tcW w:w="820" w:type="dxa"/>
            <w:tcBorders>
              <w:top w:val="nil"/>
              <w:left w:val="nil"/>
              <w:bottom w:val="nil"/>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r w:rsidRPr="005C4E78">
              <w:rPr>
                <w:rFonts w:ascii="Calibri" w:eastAsia="Times New Roman" w:hAnsi="Calibri"/>
                <w:color w:val="000000"/>
                <w:sz w:val="22"/>
                <w:szCs w:val="22"/>
              </w:rPr>
              <w:t> </w:t>
            </w:r>
          </w:p>
        </w:tc>
        <w:tc>
          <w:tcPr>
            <w:tcW w:w="820" w:type="dxa"/>
            <w:tcBorders>
              <w:top w:val="nil"/>
              <w:left w:val="nil"/>
              <w:bottom w:val="nil"/>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r w:rsidRPr="005C4E78">
              <w:rPr>
                <w:rFonts w:ascii="Calibri" w:eastAsia="Times New Roman" w:hAnsi="Calibri"/>
                <w:color w:val="000000"/>
                <w:sz w:val="22"/>
                <w:szCs w:val="22"/>
              </w:rPr>
              <w:t> </w:t>
            </w:r>
          </w:p>
        </w:tc>
        <w:tc>
          <w:tcPr>
            <w:tcW w:w="266" w:type="dxa"/>
            <w:tcBorders>
              <w:top w:val="nil"/>
              <w:left w:val="nil"/>
              <w:bottom w:val="nil"/>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p>
        </w:tc>
        <w:tc>
          <w:tcPr>
            <w:tcW w:w="960" w:type="dxa"/>
            <w:tcBorders>
              <w:top w:val="nil"/>
              <w:left w:val="nil"/>
              <w:bottom w:val="nil"/>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p>
        </w:tc>
        <w:tc>
          <w:tcPr>
            <w:tcW w:w="960" w:type="dxa"/>
            <w:tcBorders>
              <w:top w:val="nil"/>
              <w:left w:val="nil"/>
              <w:bottom w:val="nil"/>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r w:rsidRPr="005C4E78">
              <w:rPr>
                <w:rFonts w:ascii="Calibri" w:eastAsia="Times New Roman" w:hAnsi="Calibri"/>
                <w:color w:val="000000"/>
                <w:sz w:val="22"/>
                <w:szCs w:val="22"/>
              </w:rPr>
              <w:t> </w:t>
            </w:r>
          </w:p>
        </w:tc>
        <w:tc>
          <w:tcPr>
            <w:tcW w:w="960" w:type="dxa"/>
            <w:tcBorders>
              <w:top w:val="nil"/>
              <w:left w:val="nil"/>
              <w:bottom w:val="nil"/>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r w:rsidRPr="005C4E78">
              <w:rPr>
                <w:rFonts w:ascii="Calibri" w:eastAsia="Times New Roman" w:hAnsi="Calibri"/>
                <w:color w:val="000000"/>
                <w:sz w:val="22"/>
                <w:szCs w:val="22"/>
              </w:rPr>
              <w:t> </w:t>
            </w:r>
          </w:p>
        </w:tc>
      </w:tr>
      <w:tr w:rsidR="00E212DD" w:rsidRPr="005C4E78" w:rsidTr="00A75685">
        <w:trPr>
          <w:gridAfter w:val="1"/>
          <w:wAfter w:w="917" w:type="dxa"/>
          <w:trHeight w:val="300"/>
        </w:trPr>
        <w:tc>
          <w:tcPr>
            <w:tcW w:w="2960" w:type="dxa"/>
            <w:tcBorders>
              <w:top w:val="nil"/>
              <w:left w:val="nil"/>
              <w:bottom w:val="nil"/>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r w:rsidRPr="005C4E78">
              <w:rPr>
                <w:rFonts w:ascii="Calibri" w:eastAsia="Times New Roman" w:hAnsi="Calibri"/>
                <w:color w:val="000000"/>
                <w:sz w:val="22"/>
                <w:szCs w:val="22"/>
              </w:rPr>
              <w:t>All items included</w:t>
            </w:r>
          </w:p>
        </w:tc>
        <w:tc>
          <w:tcPr>
            <w:tcW w:w="820" w:type="dxa"/>
            <w:tcBorders>
              <w:top w:val="nil"/>
              <w:left w:val="nil"/>
              <w:bottom w:val="nil"/>
              <w:right w:val="nil"/>
            </w:tcBorders>
            <w:shd w:val="clear" w:color="auto" w:fill="auto"/>
            <w:noWrap/>
            <w:vAlign w:val="bottom"/>
            <w:hideMark/>
          </w:tcPr>
          <w:p w:rsidR="00E212DD" w:rsidRPr="005C4E78" w:rsidRDefault="00E212DD" w:rsidP="00E212DD">
            <w:pPr>
              <w:jc w:val="right"/>
              <w:rPr>
                <w:rFonts w:ascii="Calibri" w:eastAsia="Times New Roman" w:hAnsi="Calibri"/>
                <w:color w:val="000000"/>
                <w:sz w:val="22"/>
                <w:szCs w:val="22"/>
              </w:rPr>
            </w:pPr>
            <w:r w:rsidRPr="005C4E78">
              <w:rPr>
                <w:rFonts w:ascii="Calibri" w:eastAsia="Times New Roman" w:hAnsi="Calibri"/>
                <w:color w:val="000000"/>
                <w:sz w:val="22"/>
                <w:szCs w:val="22"/>
              </w:rPr>
              <w:t>332</w:t>
            </w:r>
          </w:p>
        </w:tc>
        <w:tc>
          <w:tcPr>
            <w:tcW w:w="820" w:type="dxa"/>
            <w:tcBorders>
              <w:top w:val="nil"/>
              <w:left w:val="nil"/>
              <w:bottom w:val="nil"/>
              <w:right w:val="nil"/>
            </w:tcBorders>
            <w:shd w:val="clear" w:color="auto" w:fill="auto"/>
            <w:noWrap/>
            <w:vAlign w:val="bottom"/>
            <w:hideMark/>
          </w:tcPr>
          <w:p w:rsidR="00E212DD" w:rsidRPr="005C4E78" w:rsidRDefault="00E212DD" w:rsidP="00E212DD">
            <w:pPr>
              <w:jc w:val="right"/>
              <w:rPr>
                <w:rFonts w:ascii="Calibri" w:eastAsia="Times New Roman" w:hAnsi="Calibri"/>
                <w:color w:val="000000"/>
                <w:sz w:val="22"/>
                <w:szCs w:val="22"/>
              </w:rPr>
            </w:pPr>
            <w:r w:rsidRPr="005C4E78">
              <w:rPr>
                <w:rFonts w:ascii="Calibri" w:eastAsia="Times New Roman" w:hAnsi="Calibri"/>
                <w:color w:val="000000"/>
                <w:sz w:val="22"/>
                <w:szCs w:val="22"/>
              </w:rPr>
              <w:t>419</w:t>
            </w:r>
          </w:p>
        </w:tc>
        <w:tc>
          <w:tcPr>
            <w:tcW w:w="820" w:type="dxa"/>
            <w:tcBorders>
              <w:top w:val="nil"/>
              <w:left w:val="nil"/>
              <w:bottom w:val="nil"/>
              <w:right w:val="nil"/>
            </w:tcBorders>
            <w:shd w:val="clear" w:color="auto" w:fill="auto"/>
            <w:noWrap/>
            <w:vAlign w:val="bottom"/>
            <w:hideMark/>
          </w:tcPr>
          <w:p w:rsidR="00E212DD" w:rsidRPr="005C4E78" w:rsidRDefault="00E212DD" w:rsidP="00E212DD">
            <w:pPr>
              <w:jc w:val="right"/>
              <w:rPr>
                <w:rFonts w:ascii="Calibri" w:eastAsia="Times New Roman" w:hAnsi="Calibri"/>
                <w:color w:val="000000"/>
                <w:sz w:val="22"/>
                <w:szCs w:val="22"/>
              </w:rPr>
            </w:pPr>
            <w:r w:rsidRPr="005C4E78">
              <w:rPr>
                <w:rFonts w:ascii="Calibri" w:eastAsia="Times New Roman" w:hAnsi="Calibri"/>
                <w:color w:val="000000"/>
                <w:sz w:val="22"/>
                <w:szCs w:val="22"/>
              </w:rPr>
              <w:t>751</w:t>
            </w:r>
          </w:p>
        </w:tc>
        <w:tc>
          <w:tcPr>
            <w:tcW w:w="266" w:type="dxa"/>
            <w:tcBorders>
              <w:top w:val="nil"/>
              <w:left w:val="nil"/>
              <w:bottom w:val="nil"/>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p>
        </w:tc>
        <w:tc>
          <w:tcPr>
            <w:tcW w:w="960" w:type="dxa"/>
            <w:tcBorders>
              <w:top w:val="nil"/>
              <w:left w:val="nil"/>
              <w:bottom w:val="nil"/>
              <w:right w:val="nil"/>
            </w:tcBorders>
            <w:shd w:val="clear" w:color="auto" w:fill="auto"/>
            <w:noWrap/>
            <w:vAlign w:val="bottom"/>
            <w:hideMark/>
          </w:tcPr>
          <w:p w:rsidR="00E212DD" w:rsidRPr="005C4E78" w:rsidRDefault="00E212DD" w:rsidP="00E212DD">
            <w:pPr>
              <w:jc w:val="right"/>
              <w:rPr>
                <w:rFonts w:ascii="Calibri" w:eastAsia="Times New Roman" w:hAnsi="Calibri"/>
                <w:color w:val="000000"/>
                <w:sz w:val="22"/>
                <w:szCs w:val="22"/>
              </w:rPr>
            </w:pPr>
            <w:r w:rsidRPr="005C4E78">
              <w:rPr>
                <w:rFonts w:ascii="Calibri" w:eastAsia="Times New Roman" w:hAnsi="Calibri"/>
                <w:color w:val="000000"/>
                <w:sz w:val="22"/>
                <w:szCs w:val="22"/>
              </w:rPr>
              <w:t>349.5</w:t>
            </w:r>
          </w:p>
        </w:tc>
        <w:tc>
          <w:tcPr>
            <w:tcW w:w="960" w:type="dxa"/>
            <w:tcBorders>
              <w:top w:val="nil"/>
              <w:left w:val="nil"/>
              <w:bottom w:val="nil"/>
              <w:right w:val="nil"/>
            </w:tcBorders>
            <w:shd w:val="clear" w:color="auto" w:fill="auto"/>
            <w:noWrap/>
            <w:vAlign w:val="bottom"/>
            <w:hideMark/>
          </w:tcPr>
          <w:p w:rsidR="00E212DD" w:rsidRPr="005C4E78" w:rsidRDefault="00E212DD" w:rsidP="00E212DD">
            <w:pPr>
              <w:jc w:val="right"/>
              <w:rPr>
                <w:rFonts w:ascii="Calibri" w:eastAsia="Times New Roman" w:hAnsi="Calibri"/>
                <w:color w:val="000000"/>
                <w:sz w:val="22"/>
                <w:szCs w:val="22"/>
              </w:rPr>
            </w:pPr>
            <w:r w:rsidRPr="005C4E78">
              <w:rPr>
                <w:rFonts w:ascii="Calibri" w:eastAsia="Times New Roman" w:hAnsi="Calibri"/>
                <w:color w:val="000000"/>
                <w:sz w:val="22"/>
                <w:szCs w:val="22"/>
              </w:rPr>
              <w:t>502.1</w:t>
            </w:r>
          </w:p>
        </w:tc>
        <w:tc>
          <w:tcPr>
            <w:tcW w:w="960" w:type="dxa"/>
            <w:tcBorders>
              <w:top w:val="nil"/>
              <w:left w:val="nil"/>
              <w:bottom w:val="nil"/>
              <w:right w:val="nil"/>
            </w:tcBorders>
            <w:shd w:val="clear" w:color="auto" w:fill="auto"/>
            <w:noWrap/>
            <w:vAlign w:val="bottom"/>
            <w:hideMark/>
          </w:tcPr>
          <w:p w:rsidR="00E212DD" w:rsidRPr="005C4E78" w:rsidRDefault="00E212DD" w:rsidP="00E212DD">
            <w:pPr>
              <w:jc w:val="right"/>
              <w:rPr>
                <w:rFonts w:ascii="Calibri" w:eastAsia="Times New Roman" w:hAnsi="Calibri"/>
                <w:color w:val="000000"/>
                <w:sz w:val="22"/>
                <w:szCs w:val="22"/>
              </w:rPr>
            </w:pPr>
            <w:r w:rsidRPr="005C4E78">
              <w:rPr>
                <w:rFonts w:ascii="Calibri" w:eastAsia="Times New Roman" w:hAnsi="Calibri"/>
                <w:color w:val="000000"/>
                <w:sz w:val="22"/>
                <w:szCs w:val="22"/>
              </w:rPr>
              <w:t>851.6</w:t>
            </w:r>
          </w:p>
        </w:tc>
      </w:tr>
      <w:tr w:rsidR="00E212DD" w:rsidRPr="005C4E78" w:rsidTr="00A75685">
        <w:trPr>
          <w:gridAfter w:val="1"/>
          <w:wAfter w:w="917" w:type="dxa"/>
          <w:trHeight w:val="300"/>
        </w:trPr>
        <w:tc>
          <w:tcPr>
            <w:tcW w:w="2960" w:type="dxa"/>
            <w:tcBorders>
              <w:top w:val="nil"/>
              <w:left w:val="nil"/>
              <w:bottom w:val="nil"/>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r w:rsidRPr="005C4E78">
              <w:rPr>
                <w:rFonts w:ascii="Calibri" w:eastAsia="Times New Roman" w:hAnsi="Calibri"/>
                <w:color w:val="000000"/>
                <w:sz w:val="22"/>
                <w:szCs w:val="22"/>
              </w:rPr>
              <w:t xml:space="preserve">Excluding items consumed by </w:t>
            </w:r>
          </w:p>
        </w:tc>
        <w:tc>
          <w:tcPr>
            <w:tcW w:w="820" w:type="dxa"/>
            <w:tcBorders>
              <w:top w:val="nil"/>
              <w:left w:val="nil"/>
              <w:bottom w:val="nil"/>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p>
        </w:tc>
        <w:tc>
          <w:tcPr>
            <w:tcW w:w="820" w:type="dxa"/>
            <w:tcBorders>
              <w:top w:val="nil"/>
              <w:left w:val="nil"/>
              <w:bottom w:val="nil"/>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p>
        </w:tc>
        <w:tc>
          <w:tcPr>
            <w:tcW w:w="820" w:type="dxa"/>
            <w:tcBorders>
              <w:top w:val="nil"/>
              <w:left w:val="nil"/>
              <w:bottom w:val="nil"/>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p>
        </w:tc>
        <w:tc>
          <w:tcPr>
            <w:tcW w:w="266" w:type="dxa"/>
            <w:tcBorders>
              <w:top w:val="nil"/>
              <w:left w:val="nil"/>
              <w:bottom w:val="nil"/>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p>
        </w:tc>
        <w:tc>
          <w:tcPr>
            <w:tcW w:w="960" w:type="dxa"/>
            <w:tcBorders>
              <w:top w:val="nil"/>
              <w:left w:val="nil"/>
              <w:bottom w:val="nil"/>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p>
        </w:tc>
        <w:tc>
          <w:tcPr>
            <w:tcW w:w="960" w:type="dxa"/>
            <w:tcBorders>
              <w:top w:val="nil"/>
              <w:left w:val="nil"/>
              <w:bottom w:val="nil"/>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p>
        </w:tc>
        <w:tc>
          <w:tcPr>
            <w:tcW w:w="960" w:type="dxa"/>
            <w:tcBorders>
              <w:top w:val="nil"/>
              <w:left w:val="nil"/>
              <w:bottom w:val="nil"/>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p>
        </w:tc>
      </w:tr>
      <w:tr w:rsidR="00E212DD" w:rsidRPr="005C4E78" w:rsidTr="00A75685">
        <w:trPr>
          <w:gridAfter w:val="1"/>
          <w:wAfter w:w="917" w:type="dxa"/>
          <w:trHeight w:val="300"/>
        </w:trPr>
        <w:tc>
          <w:tcPr>
            <w:tcW w:w="2960" w:type="dxa"/>
            <w:tcBorders>
              <w:top w:val="nil"/>
              <w:left w:val="nil"/>
              <w:bottom w:val="nil"/>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r w:rsidRPr="005C4E78">
              <w:rPr>
                <w:rFonts w:ascii="Calibri" w:eastAsia="Times New Roman" w:hAnsi="Calibri"/>
                <w:color w:val="000000"/>
                <w:sz w:val="22"/>
                <w:szCs w:val="22"/>
              </w:rPr>
              <w:t xml:space="preserve">                &lt; 5% of h</w:t>
            </w:r>
            <w:r>
              <w:rPr>
                <w:rFonts w:ascii="Calibri" w:eastAsia="Times New Roman" w:hAnsi="Calibri"/>
                <w:color w:val="000000"/>
                <w:sz w:val="22"/>
                <w:szCs w:val="22"/>
              </w:rPr>
              <w:t>ouse</w:t>
            </w:r>
            <w:r w:rsidRPr="005C4E78">
              <w:rPr>
                <w:rFonts w:ascii="Calibri" w:eastAsia="Times New Roman" w:hAnsi="Calibri"/>
                <w:color w:val="000000"/>
                <w:sz w:val="22"/>
                <w:szCs w:val="22"/>
              </w:rPr>
              <w:t>holds</w:t>
            </w:r>
          </w:p>
        </w:tc>
        <w:tc>
          <w:tcPr>
            <w:tcW w:w="820" w:type="dxa"/>
            <w:tcBorders>
              <w:top w:val="nil"/>
              <w:left w:val="nil"/>
              <w:bottom w:val="nil"/>
              <w:right w:val="nil"/>
            </w:tcBorders>
            <w:shd w:val="clear" w:color="auto" w:fill="auto"/>
            <w:noWrap/>
            <w:vAlign w:val="bottom"/>
            <w:hideMark/>
          </w:tcPr>
          <w:p w:rsidR="00E212DD" w:rsidRPr="005C4E78" w:rsidRDefault="00E212DD" w:rsidP="00E212DD">
            <w:pPr>
              <w:jc w:val="right"/>
              <w:rPr>
                <w:rFonts w:ascii="Calibri" w:eastAsia="Times New Roman" w:hAnsi="Calibri"/>
                <w:color w:val="000000"/>
                <w:sz w:val="22"/>
                <w:szCs w:val="22"/>
              </w:rPr>
            </w:pPr>
            <w:r w:rsidRPr="005C4E78">
              <w:rPr>
                <w:rFonts w:ascii="Calibri" w:eastAsia="Times New Roman" w:hAnsi="Calibri"/>
                <w:color w:val="000000"/>
                <w:sz w:val="22"/>
                <w:szCs w:val="22"/>
              </w:rPr>
              <w:t>198</w:t>
            </w:r>
          </w:p>
        </w:tc>
        <w:tc>
          <w:tcPr>
            <w:tcW w:w="820" w:type="dxa"/>
            <w:tcBorders>
              <w:top w:val="nil"/>
              <w:left w:val="nil"/>
              <w:bottom w:val="nil"/>
              <w:right w:val="nil"/>
            </w:tcBorders>
            <w:shd w:val="clear" w:color="auto" w:fill="auto"/>
            <w:noWrap/>
            <w:vAlign w:val="bottom"/>
            <w:hideMark/>
          </w:tcPr>
          <w:p w:rsidR="00E212DD" w:rsidRPr="005C4E78" w:rsidRDefault="00E212DD" w:rsidP="00E212DD">
            <w:pPr>
              <w:jc w:val="right"/>
              <w:rPr>
                <w:rFonts w:ascii="Calibri" w:eastAsia="Times New Roman" w:hAnsi="Calibri"/>
                <w:color w:val="000000"/>
                <w:sz w:val="22"/>
                <w:szCs w:val="22"/>
              </w:rPr>
            </w:pPr>
            <w:r w:rsidRPr="005C4E78">
              <w:rPr>
                <w:rFonts w:ascii="Calibri" w:eastAsia="Times New Roman" w:hAnsi="Calibri"/>
                <w:color w:val="000000"/>
                <w:sz w:val="22"/>
                <w:szCs w:val="22"/>
              </w:rPr>
              <w:t>139</w:t>
            </w:r>
          </w:p>
        </w:tc>
        <w:tc>
          <w:tcPr>
            <w:tcW w:w="820" w:type="dxa"/>
            <w:tcBorders>
              <w:top w:val="nil"/>
              <w:left w:val="nil"/>
              <w:bottom w:val="nil"/>
              <w:right w:val="nil"/>
            </w:tcBorders>
            <w:shd w:val="clear" w:color="auto" w:fill="auto"/>
            <w:noWrap/>
            <w:vAlign w:val="bottom"/>
            <w:hideMark/>
          </w:tcPr>
          <w:p w:rsidR="00E212DD" w:rsidRPr="005C4E78" w:rsidRDefault="00E212DD" w:rsidP="00E212DD">
            <w:pPr>
              <w:jc w:val="right"/>
              <w:rPr>
                <w:rFonts w:ascii="Calibri" w:eastAsia="Times New Roman" w:hAnsi="Calibri"/>
                <w:color w:val="000000"/>
                <w:sz w:val="22"/>
                <w:szCs w:val="22"/>
              </w:rPr>
            </w:pPr>
            <w:r w:rsidRPr="005C4E78">
              <w:rPr>
                <w:rFonts w:ascii="Calibri" w:eastAsia="Times New Roman" w:hAnsi="Calibri"/>
                <w:color w:val="000000"/>
                <w:sz w:val="22"/>
                <w:szCs w:val="22"/>
              </w:rPr>
              <w:t>337</w:t>
            </w:r>
          </w:p>
        </w:tc>
        <w:tc>
          <w:tcPr>
            <w:tcW w:w="266" w:type="dxa"/>
            <w:tcBorders>
              <w:top w:val="nil"/>
              <w:left w:val="nil"/>
              <w:bottom w:val="nil"/>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p>
        </w:tc>
        <w:tc>
          <w:tcPr>
            <w:tcW w:w="960" w:type="dxa"/>
            <w:tcBorders>
              <w:top w:val="nil"/>
              <w:left w:val="nil"/>
              <w:bottom w:val="nil"/>
              <w:right w:val="nil"/>
            </w:tcBorders>
            <w:shd w:val="clear" w:color="auto" w:fill="auto"/>
            <w:noWrap/>
            <w:vAlign w:val="bottom"/>
            <w:hideMark/>
          </w:tcPr>
          <w:p w:rsidR="00E212DD" w:rsidRPr="005C4E78" w:rsidRDefault="00E212DD" w:rsidP="00E212DD">
            <w:pPr>
              <w:jc w:val="right"/>
              <w:rPr>
                <w:rFonts w:ascii="Calibri" w:eastAsia="Times New Roman" w:hAnsi="Calibri"/>
                <w:color w:val="000000"/>
                <w:sz w:val="22"/>
                <w:szCs w:val="22"/>
              </w:rPr>
            </w:pPr>
            <w:r w:rsidRPr="005C4E78">
              <w:rPr>
                <w:rFonts w:ascii="Calibri" w:eastAsia="Times New Roman" w:hAnsi="Calibri"/>
                <w:color w:val="000000"/>
                <w:sz w:val="22"/>
                <w:szCs w:val="22"/>
              </w:rPr>
              <w:t>336.2</w:t>
            </w:r>
          </w:p>
        </w:tc>
        <w:tc>
          <w:tcPr>
            <w:tcW w:w="960" w:type="dxa"/>
            <w:tcBorders>
              <w:top w:val="nil"/>
              <w:left w:val="nil"/>
              <w:bottom w:val="nil"/>
              <w:right w:val="nil"/>
            </w:tcBorders>
            <w:shd w:val="clear" w:color="auto" w:fill="auto"/>
            <w:noWrap/>
            <w:vAlign w:val="bottom"/>
            <w:hideMark/>
          </w:tcPr>
          <w:p w:rsidR="00E212DD" w:rsidRPr="005C4E78" w:rsidRDefault="00E212DD" w:rsidP="00E212DD">
            <w:pPr>
              <w:jc w:val="right"/>
              <w:rPr>
                <w:rFonts w:ascii="Calibri" w:eastAsia="Times New Roman" w:hAnsi="Calibri"/>
                <w:color w:val="000000"/>
                <w:sz w:val="22"/>
                <w:szCs w:val="22"/>
              </w:rPr>
            </w:pPr>
            <w:r w:rsidRPr="005C4E78">
              <w:rPr>
                <w:rFonts w:ascii="Calibri" w:eastAsia="Times New Roman" w:hAnsi="Calibri"/>
                <w:color w:val="000000"/>
                <w:sz w:val="22"/>
                <w:szCs w:val="22"/>
              </w:rPr>
              <w:t>426.1</w:t>
            </w:r>
          </w:p>
        </w:tc>
        <w:tc>
          <w:tcPr>
            <w:tcW w:w="960" w:type="dxa"/>
            <w:tcBorders>
              <w:top w:val="nil"/>
              <w:left w:val="nil"/>
              <w:bottom w:val="nil"/>
              <w:right w:val="nil"/>
            </w:tcBorders>
            <w:shd w:val="clear" w:color="auto" w:fill="auto"/>
            <w:noWrap/>
            <w:vAlign w:val="bottom"/>
            <w:hideMark/>
          </w:tcPr>
          <w:p w:rsidR="00E212DD" w:rsidRPr="005C4E78" w:rsidRDefault="00E212DD" w:rsidP="00E212DD">
            <w:pPr>
              <w:jc w:val="right"/>
              <w:rPr>
                <w:rFonts w:ascii="Calibri" w:eastAsia="Times New Roman" w:hAnsi="Calibri"/>
                <w:color w:val="000000"/>
                <w:sz w:val="22"/>
                <w:szCs w:val="22"/>
              </w:rPr>
            </w:pPr>
            <w:r w:rsidRPr="005C4E78">
              <w:rPr>
                <w:rFonts w:ascii="Calibri" w:eastAsia="Times New Roman" w:hAnsi="Calibri"/>
                <w:color w:val="000000"/>
                <w:sz w:val="22"/>
                <w:szCs w:val="22"/>
              </w:rPr>
              <w:t>762.3</w:t>
            </w:r>
          </w:p>
        </w:tc>
      </w:tr>
      <w:tr w:rsidR="00E212DD" w:rsidRPr="005C4E78" w:rsidTr="00A75685">
        <w:trPr>
          <w:gridAfter w:val="1"/>
          <w:wAfter w:w="917" w:type="dxa"/>
          <w:trHeight w:val="300"/>
        </w:trPr>
        <w:tc>
          <w:tcPr>
            <w:tcW w:w="2960" w:type="dxa"/>
            <w:tcBorders>
              <w:top w:val="nil"/>
              <w:left w:val="nil"/>
              <w:bottom w:val="nil"/>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r w:rsidRPr="005C4E78">
              <w:rPr>
                <w:rFonts w:ascii="Calibri" w:eastAsia="Times New Roman" w:hAnsi="Calibri"/>
                <w:color w:val="000000"/>
                <w:sz w:val="22"/>
                <w:szCs w:val="22"/>
              </w:rPr>
              <w:t xml:space="preserve">                &lt; 10% of h</w:t>
            </w:r>
            <w:r>
              <w:rPr>
                <w:rFonts w:ascii="Calibri" w:eastAsia="Times New Roman" w:hAnsi="Calibri"/>
                <w:color w:val="000000"/>
                <w:sz w:val="22"/>
                <w:szCs w:val="22"/>
              </w:rPr>
              <w:t>ouse</w:t>
            </w:r>
            <w:r w:rsidRPr="005C4E78">
              <w:rPr>
                <w:rFonts w:ascii="Calibri" w:eastAsia="Times New Roman" w:hAnsi="Calibri"/>
                <w:color w:val="000000"/>
                <w:sz w:val="22"/>
                <w:szCs w:val="22"/>
              </w:rPr>
              <w:t>holds</w:t>
            </w:r>
          </w:p>
        </w:tc>
        <w:tc>
          <w:tcPr>
            <w:tcW w:w="820" w:type="dxa"/>
            <w:tcBorders>
              <w:top w:val="nil"/>
              <w:left w:val="nil"/>
              <w:bottom w:val="nil"/>
              <w:right w:val="nil"/>
            </w:tcBorders>
            <w:shd w:val="clear" w:color="auto" w:fill="auto"/>
            <w:noWrap/>
            <w:vAlign w:val="bottom"/>
            <w:hideMark/>
          </w:tcPr>
          <w:p w:rsidR="00E212DD" w:rsidRPr="005C4E78" w:rsidRDefault="00E212DD" w:rsidP="00E212DD">
            <w:pPr>
              <w:jc w:val="right"/>
              <w:rPr>
                <w:rFonts w:ascii="Calibri" w:eastAsia="Times New Roman" w:hAnsi="Calibri"/>
                <w:color w:val="000000"/>
                <w:sz w:val="22"/>
                <w:szCs w:val="22"/>
              </w:rPr>
            </w:pPr>
            <w:r w:rsidRPr="005C4E78">
              <w:rPr>
                <w:rFonts w:ascii="Calibri" w:eastAsia="Times New Roman" w:hAnsi="Calibri"/>
                <w:color w:val="000000"/>
                <w:sz w:val="22"/>
                <w:szCs w:val="22"/>
              </w:rPr>
              <w:t>148</w:t>
            </w:r>
          </w:p>
        </w:tc>
        <w:tc>
          <w:tcPr>
            <w:tcW w:w="820" w:type="dxa"/>
            <w:tcBorders>
              <w:top w:val="nil"/>
              <w:left w:val="nil"/>
              <w:bottom w:val="nil"/>
              <w:right w:val="nil"/>
            </w:tcBorders>
            <w:shd w:val="clear" w:color="auto" w:fill="auto"/>
            <w:noWrap/>
            <w:vAlign w:val="bottom"/>
            <w:hideMark/>
          </w:tcPr>
          <w:p w:rsidR="00E212DD" w:rsidRPr="005C4E78" w:rsidRDefault="00E212DD" w:rsidP="00E212DD">
            <w:pPr>
              <w:jc w:val="right"/>
              <w:rPr>
                <w:rFonts w:ascii="Calibri" w:eastAsia="Times New Roman" w:hAnsi="Calibri"/>
                <w:color w:val="000000"/>
                <w:sz w:val="22"/>
                <w:szCs w:val="22"/>
              </w:rPr>
            </w:pPr>
            <w:r w:rsidRPr="005C4E78">
              <w:rPr>
                <w:rFonts w:ascii="Calibri" w:eastAsia="Times New Roman" w:hAnsi="Calibri"/>
                <w:color w:val="000000"/>
                <w:sz w:val="22"/>
                <w:szCs w:val="22"/>
              </w:rPr>
              <w:t>80</w:t>
            </w:r>
          </w:p>
        </w:tc>
        <w:tc>
          <w:tcPr>
            <w:tcW w:w="820" w:type="dxa"/>
            <w:tcBorders>
              <w:top w:val="nil"/>
              <w:left w:val="nil"/>
              <w:bottom w:val="nil"/>
              <w:right w:val="nil"/>
            </w:tcBorders>
            <w:shd w:val="clear" w:color="auto" w:fill="auto"/>
            <w:noWrap/>
            <w:vAlign w:val="bottom"/>
            <w:hideMark/>
          </w:tcPr>
          <w:p w:rsidR="00E212DD" w:rsidRPr="005C4E78" w:rsidRDefault="00E212DD" w:rsidP="00E212DD">
            <w:pPr>
              <w:jc w:val="right"/>
              <w:rPr>
                <w:rFonts w:ascii="Calibri" w:eastAsia="Times New Roman" w:hAnsi="Calibri"/>
                <w:color w:val="000000"/>
                <w:sz w:val="22"/>
                <w:szCs w:val="22"/>
              </w:rPr>
            </w:pPr>
            <w:r w:rsidRPr="005C4E78">
              <w:rPr>
                <w:rFonts w:ascii="Calibri" w:eastAsia="Times New Roman" w:hAnsi="Calibri"/>
                <w:color w:val="000000"/>
                <w:sz w:val="22"/>
                <w:szCs w:val="22"/>
              </w:rPr>
              <w:t>228</w:t>
            </w:r>
          </w:p>
        </w:tc>
        <w:tc>
          <w:tcPr>
            <w:tcW w:w="266" w:type="dxa"/>
            <w:tcBorders>
              <w:top w:val="nil"/>
              <w:left w:val="nil"/>
              <w:bottom w:val="nil"/>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p>
        </w:tc>
        <w:tc>
          <w:tcPr>
            <w:tcW w:w="960" w:type="dxa"/>
            <w:tcBorders>
              <w:top w:val="nil"/>
              <w:left w:val="nil"/>
              <w:bottom w:val="nil"/>
              <w:right w:val="nil"/>
            </w:tcBorders>
            <w:shd w:val="clear" w:color="auto" w:fill="auto"/>
            <w:noWrap/>
            <w:vAlign w:val="bottom"/>
            <w:hideMark/>
          </w:tcPr>
          <w:p w:rsidR="00E212DD" w:rsidRPr="005C4E78" w:rsidRDefault="00E212DD" w:rsidP="00E212DD">
            <w:pPr>
              <w:jc w:val="right"/>
              <w:rPr>
                <w:rFonts w:ascii="Calibri" w:eastAsia="Times New Roman" w:hAnsi="Calibri"/>
                <w:color w:val="000000"/>
                <w:sz w:val="22"/>
                <w:szCs w:val="22"/>
              </w:rPr>
            </w:pPr>
            <w:r w:rsidRPr="005C4E78">
              <w:rPr>
                <w:rFonts w:ascii="Calibri" w:eastAsia="Times New Roman" w:hAnsi="Calibri"/>
                <w:color w:val="000000"/>
                <w:sz w:val="22"/>
                <w:szCs w:val="22"/>
              </w:rPr>
              <w:t>323.5</w:t>
            </w:r>
          </w:p>
        </w:tc>
        <w:tc>
          <w:tcPr>
            <w:tcW w:w="960" w:type="dxa"/>
            <w:tcBorders>
              <w:top w:val="nil"/>
              <w:left w:val="nil"/>
              <w:bottom w:val="nil"/>
              <w:right w:val="nil"/>
            </w:tcBorders>
            <w:shd w:val="clear" w:color="auto" w:fill="auto"/>
            <w:noWrap/>
            <w:vAlign w:val="bottom"/>
            <w:hideMark/>
          </w:tcPr>
          <w:p w:rsidR="00E212DD" w:rsidRPr="005C4E78" w:rsidRDefault="00E212DD" w:rsidP="00E212DD">
            <w:pPr>
              <w:jc w:val="right"/>
              <w:rPr>
                <w:rFonts w:ascii="Calibri" w:eastAsia="Times New Roman" w:hAnsi="Calibri"/>
                <w:color w:val="000000"/>
                <w:sz w:val="22"/>
                <w:szCs w:val="22"/>
              </w:rPr>
            </w:pPr>
            <w:r w:rsidRPr="005C4E78">
              <w:rPr>
                <w:rFonts w:ascii="Calibri" w:eastAsia="Times New Roman" w:hAnsi="Calibri"/>
                <w:color w:val="000000"/>
                <w:sz w:val="22"/>
                <w:szCs w:val="22"/>
              </w:rPr>
              <w:t>318.3</w:t>
            </w:r>
          </w:p>
        </w:tc>
        <w:tc>
          <w:tcPr>
            <w:tcW w:w="960" w:type="dxa"/>
            <w:tcBorders>
              <w:top w:val="nil"/>
              <w:left w:val="nil"/>
              <w:bottom w:val="nil"/>
              <w:right w:val="nil"/>
            </w:tcBorders>
            <w:shd w:val="clear" w:color="auto" w:fill="auto"/>
            <w:noWrap/>
            <w:vAlign w:val="bottom"/>
            <w:hideMark/>
          </w:tcPr>
          <w:p w:rsidR="00E212DD" w:rsidRPr="005C4E78" w:rsidRDefault="00E212DD" w:rsidP="00E212DD">
            <w:pPr>
              <w:jc w:val="right"/>
              <w:rPr>
                <w:rFonts w:ascii="Calibri" w:eastAsia="Times New Roman" w:hAnsi="Calibri"/>
                <w:color w:val="000000"/>
                <w:sz w:val="22"/>
                <w:szCs w:val="22"/>
              </w:rPr>
            </w:pPr>
            <w:r w:rsidRPr="005C4E78">
              <w:rPr>
                <w:rFonts w:ascii="Calibri" w:eastAsia="Times New Roman" w:hAnsi="Calibri"/>
                <w:color w:val="000000"/>
                <w:sz w:val="22"/>
                <w:szCs w:val="22"/>
              </w:rPr>
              <w:t>641.8</w:t>
            </w:r>
          </w:p>
        </w:tc>
      </w:tr>
      <w:tr w:rsidR="00E212DD" w:rsidRPr="005C4E78" w:rsidTr="00A75685">
        <w:trPr>
          <w:gridAfter w:val="1"/>
          <w:wAfter w:w="917" w:type="dxa"/>
          <w:trHeight w:val="315"/>
        </w:trPr>
        <w:tc>
          <w:tcPr>
            <w:tcW w:w="2960" w:type="dxa"/>
            <w:tcBorders>
              <w:top w:val="nil"/>
              <w:left w:val="nil"/>
              <w:bottom w:val="single" w:sz="8" w:space="0" w:color="auto"/>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r w:rsidRPr="005C4E78">
              <w:rPr>
                <w:rFonts w:ascii="Calibri" w:eastAsia="Times New Roman" w:hAnsi="Calibri"/>
                <w:color w:val="000000"/>
                <w:sz w:val="22"/>
                <w:szCs w:val="22"/>
              </w:rPr>
              <w:t> </w:t>
            </w:r>
          </w:p>
        </w:tc>
        <w:tc>
          <w:tcPr>
            <w:tcW w:w="820" w:type="dxa"/>
            <w:tcBorders>
              <w:top w:val="nil"/>
              <w:left w:val="nil"/>
              <w:bottom w:val="single" w:sz="8" w:space="0" w:color="auto"/>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r w:rsidRPr="005C4E78">
              <w:rPr>
                <w:rFonts w:ascii="Calibri" w:eastAsia="Times New Roman" w:hAnsi="Calibri"/>
                <w:color w:val="000000"/>
                <w:sz w:val="22"/>
                <w:szCs w:val="22"/>
              </w:rPr>
              <w:t> </w:t>
            </w:r>
          </w:p>
        </w:tc>
        <w:tc>
          <w:tcPr>
            <w:tcW w:w="820" w:type="dxa"/>
            <w:tcBorders>
              <w:top w:val="nil"/>
              <w:left w:val="nil"/>
              <w:bottom w:val="single" w:sz="8" w:space="0" w:color="auto"/>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r w:rsidRPr="005C4E78">
              <w:rPr>
                <w:rFonts w:ascii="Calibri" w:eastAsia="Times New Roman" w:hAnsi="Calibri"/>
                <w:color w:val="000000"/>
                <w:sz w:val="22"/>
                <w:szCs w:val="22"/>
              </w:rPr>
              <w:t> </w:t>
            </w:r>
          </w:p>
        </w:tc>
        <w:tc>
          <w:tcPr>
            <w:tcW w:w="820" w:type="dxa"/>
            <w:tcBorders>
              <w:top w:val="nil"/>
              <w:left w:val="nil"/>
              <w:bottom w:val="single" w:sz="8" w:space="0" w:color="auto"/>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r w:rsidRPr="005C4E78">
              <w:rPr>
                <w:rFonts w:ascii="Calibri" w:eastAsia="Times New Roman" w:hAnsi="Calibri"/>
                <w:color w:val="000000"/>
                <w:sz w:val="22"/>
                <w:szCs w:val="22"/>
              </w:rPr>
              <w:t> </w:t>
            </w:r>
          </w:p>
        </w:tc>
        <w:tc>
          <w:tcPr>
            <w:tcW w:w="266" w:type="dxa"/>
            <w:tcBorders>
              <w:top w:val="nil"/>
              <w:left w:val="nil"/>
              <w:bottom w:val="single" w:sz="8" w:space="0" w:color="auto"/>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r w:rsidRPr="005C4E78">
              <w:rPr>
                <w:rFonts w:ascii="Calibri" w:eastAsia="Times New Roman" w:hAnsi="Calibri"/>
                <w:color w:val="000000"/>
                <w:sz w:val="22"/>
                <w:szCs w:val="22"/>
              </w:rPr>
              <w:t> </w:t>
            </w:r>
          </w:p>
        </w:tc>
        <w:tc>
          <w:tcPr>
            <w:tcW w:w="960" w:type="dxa"/>
            <w:tcBorders>
              <w:top w:val="nil"/>
              <w:left w:val="nil"/>
              <w:bottom w:val="single" w:sz="8" w:space="0" w:color="auto"/>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r w:rsidRPr="005C4E78">
              <w:rPr>
                <w:rFonts w:ascii="Calibri" w:eastAsia="Times New Roman" w:hAnsi="Calibri"/>
                <w:color w:val="000000"/>
                <w:sz w:val="22"/>
                <w:szCs w:val="22"/>
              </w:rPr>
              <w:t> </w:t>
            </w:r>
          </w:p>
        </w:tc>
        <w:tc>
          <w:tcPr>
            <w:tcW w:w="960" w:type="dxa"/>
            <w:tcBorders>
              <w:top w:val="nil"/>
              <w:left w:val="nil"/>
              <w:bottom w:val="single" w:sz="8" w:space="0" w:color="auto"/>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r w:rsidRPr="005C4E78">
              <w:rPr>
                <w:rFonts w:ascii="Calibri" w:eastAsia="Times New Roman" w:hAnsi="Calibri"/>
                <w:color w:val="000000"/>
                <w:sz w:val="22"/>
                <w:szCs w:val="22"/>
              </w:rPr>
              <w:t> </w:t>
            </w:r>
          </w:p>
        </w:tc>
        <w:tc>
          <w:tcPr>
            <w:tcW w:w="960" w:type="dxa"/>
            <w:tcBorders>
              <w:top w:val="nil"/>
              <w:left w:val="nil"/>
              <w:bottom w:val="single" w:sz="8" w:space="0" w:color="auto"/>
              <w:right w:val="nil"/>
            </w:tcBorders>
            <w:shd w:val="clear" w:color="auto" w:fill="auto"/>
            <w:noWrap/>
            <w:vAlign w:val="bottom"/>
            <w:hideMark/>
          </w:tcPr>
          <w:p w:rsidR="00E212DD" w:rsidRPr="005C4E78" w:rsidRDefault="00E212DD" w:rsidP="00E212DD">
            <w:pPr>
              <w:rPr>
                <w:rFonts w:ascii="Calibri" w:eastAsia="Times New Roman" w:hAnsi="Calibri"/>
                <w:color w:val="000000"/>
                <w:sz w:val="22"/>
                <w:szCs w:val="22"/>
              </w:rPr>
            </w:pPr>
            <w:r w:rsidRPr="005C4E78">
              <w:rPr>
                <w:rFonts w:ascii="Calibri" w:eastAsia="Times New Roman" w:hAnsi="Calibri"/>
                <w:color w:val="000000"/>
                <w:sz w:val="22"/>
                <w:szCs w:val="22"/>
              </w:rPr>
              <w:t> </w:t>
            </w:r>
          </w:p>
        </w:tc>
      </w:tr>
    </w:tbl>
    <w:p w:rsidR="00E212DD" w:rsidRDefault="00E212DD" w:rsidP="00E212DD">
      <w:pPr>
        <w:pStyle w:val="TOCHeading"/>
        <w:rPr>
          <w:rFonts w:asciiTheme="minorHAnsi" w:hAnsiTheme="minorHAnsi"/>
        </w:rPr>
      </w:pPr>
    </w:p>
    <w:p w:rsidR="00E212DD" w:rsidRDefault="00E212DD" w:rsidP="00E212DD">
      <w:pPr>
        <w:rPr>
          <w:rFonts w:eastAsiaTheme="majorEastAsia" w:cstheme="majorBidi"/>
          <w:color w:val="365F91" w:themeColor="accent1" w:themeShade="BF"/>
          <w:sz w:val="28"/>
          <w:szCs w:val="28"/>
          <w:lang w:eastAsia="ja-JP"/>
        </w:rPr>
      </w:pPr>
      <w:r>
        <w:br w:type="page"/>
      </w:r>
    </w:p>
    <w:p w:rsidR="005C193A" w:rsidRDefault="005C193A" w:rsidP="00F11752">
      <w:pPr>
        <w:rPr>
          <w:rFonts w:asciiTheme="minorHAnsi" w:hAnsiTheme="minorHAnsi"/>
          <w:color w:val="000000"/>
        </w:rPr>
      </w:pPr>
      <w:r>
        <w:rPr>
          <w:rFonts w:asciiTheme="minorHAnsi" w:hAnsiTheme="minorHAnsi"/>
          <w:color w:val="000000"/>
        </w:rPr>
        <w:lastRenderedPageBreak/>
        <w:t>If all items consumed by less than 5 percent of households were</w:t>
      </w:r>
      <w:r w:rsidR="00C1163F">
        <w:rPr>
          <w:rFonts w:asciiTheme="minorHAnsi" w:hAnsiTheme="minorHAnsi"/>
          <w:color w:val="000000"/>
        </w:rPr>
        <w:t xml:space="preserve"> completely </w:t>
      </w:r>
      <w:r>
        <w:rPr>
          <w:rFonts w:asciiTheme="minorHAnsi" w:hAnsiTheme="minorHAnsi"/>
          <w:color w:val="000000"/>
        </w:rPr>
        <w:t xml:space="preserve">excluded from the survey, the </w:t>
      </w:r>
      <w:r w:rsidR="00A75685">
        <w:rPr>
          <w:rFonts w:asciiTheme="minorHAnsi" w:hAnsiTheme="minorHAnsi"/>
          <w:color w:val="000000"/>
        </w:rPr>
        <w:t xml:space="preserve">total </w:t>
      </w:r>
      <w:r>
        <w:rPr>
          <w:rFonts w:asciiTheme="minorHAnsi" w:hAnsiTheme="minorHAnsi"/>
          <w:color w:val="000000"/>
        </w:rPr>
        <w:t xml:space="preserve">number of items would fall from 751 to 337, and total expenditures per capita would fall from 852 (monthly NIS) to 762.3.   Reducing the number of items by this large amount (414 items in all) would lead to only a </w:t>
      </w:r>
      <w:r w:rsidRPr="005C193A">
        <w:rPr>
          <w:rFonts w:asciiTheme="minorHAnsi" w:hAnsiTheme="minorHAnsi"/>
          <w:i/>
          <w:color w:val="000000"/>
        </w:rPr>
        <w:t>maximum</w:t>
      </w:r>
      <w:r>
        <w:rPr>
          <w:rFonts w:asciiTheme="minorHAnsi" w:hAnsiTheme="minorHAnsi"/>
          <w:color w:val="000000"/>
        </w:rPr>
        <w:t xml:space="preserve"> underestimation of total expenditures per capita of approximately 10 percent.     When all items consumed by less than 10 percent of households are excluded, the number of items fall</w:t>
      </w:r>
      <w:r w:rsidR="00C1163F">
        <w:rPr>
          <w:rFonts w:asciiTheme="minorHAnsi" w:hAnsiTheme="minorHAnsi"/>
          <w:color w:val="000000"/>
        </w:rPr>
        <w:t>s</w:t>
      </w:r>
      <w:r>
        <w:rPr>
          <w:rFonts w:asciiTheme="minorHAnsi" w:hAnsiTheme="minorHAnsi"/>
          <w:color w:val="000000"/>
        </w:rPr>
        <w:t xml:space="preserve"> by </w:t>
      </w:r>
      <w:r w:rsidR="00807440">
        <w:rPr>
          <w:rFonts w:asciiTheme="minorHAnsi" w:hAnsiTheme="minorHAnsi"/>
          <w:color w:val="000000"/>
        </w:rPr>
        <w:t>to 228</w:t>
      </w:r>
      <w:r w:rsidR="00C1163F">
        <w:rPr>
          <w:rFonts w:asciiTheme="minorHAnsi" w:hAnsiTheme="minorHAnsi"/>
          <w:color w:val="000000"/>
        </w:rPr>
        <w:t>.  T</w:t>
      </w:r>
      <w:r>
        <w:rPr>
          <w:rFonts w:asciiTheme="minorHAnsi" w:hAnsiTheme="minorHAnsi"/>
          <w:color w:val="000000"/>
        </w:rPr>
        <w:t xml:space="preserve">he maximum reduction </w:t>
      </w:r>
      <w:r w:rsidR="00A75685">
        <w:rPr>
          <w:rFonts w:asciiTheme="minorHAnsi" w:hAnsiTheme="minorHAnsi"/>
          <w:color w:val="000000"/>
        </w:rPr>
        <w:t xml:space="preserve">in estimated total expenditure </w:t>
      </w:r>
      <w:r w:rsidR="00C1163F">
        <w:rPr>
          <w:rFonts w:asciiTheme="minorHAnsi" w:hAnsiTheme="minorHAnsi"/>
          <w:color w:val="000000"/>
        </w:rPr>
        <w:t>reaches</w:t>
      </w:r>
      <w:r>
        <w:rPr>
          <w:rFonts w:asciiTheme="minorHAnsi" w:hAnsiTheme="minorHAnsi"/>
          <w:color w:val="000000"/>
        </w:rPr>
        <w:t xml:space="preserve"> 32 percent</w:t>
      </w:r>
      <w:r w:rsidR="00C1163F">
        <w:rPr>
          <w:rFonts w:asciiTheme="minorHAnsi" w:hAnsiTheme="minorHAnsi"/>
          <w:color w:val="000000"/>
        </w:rPr>
        <w:t>, which would of course be unacceptable in practice</w:t>
      </w:r>
      <w:r>
        <w:rPr>
          <w:rFonts w:asciiTheme="minorHAnsi" w:hAnsiTheme="minorHAnsi"/>
          <w:color w:val="000000"/>
        </w:rPr>
        <w:t xml:space="preserve">.   </w:t>
      </w:r>
    </w:p>
    <w:p w:rsidR="00C1163F" w:rsidRDefault="00C1163F" w:rsidP="00C1163F">
      <w:pPr>
        <w:rPr>
          <w:rFonts w:asciiTheme="minorHAnsi" w:hAnsiTheme="minorHAnsi"/>
          <w:color w:val="000000"/>
        </w:rPr>
      </w:pPr>
    </w:p>
    <w:p w:rsidR="00C1163F" w:rsidRDefault="00A75685" w:rsidP="00C1163F">
      <w:pPr>
        <w:rPr>
          <w:rFonts w:asciiTheme="minorHAnsi" w:hAnsiTheme="minorHAnsi"/>
          <w:color w:val="000000"/>
        </w:rPr>
      </w:pPr>
      <w:r>
        <w:rPr>
          <w:rFonts w:asciiTheme="minorHAnsi" w:hAnsiTheme="minorHAnsi"/>
          <w:color w:val="000000"/>
        </w:rPr>
        <w:t>As a starting hypothesis, a</w:t>
      </w:r>
      <w:r w:rsidR="00C1163F">
        <w:rPr>
          <w:rFonts w:asciiTheme="minorHAnsi" w:hAnsiTheme="minorHAnsi"/>
          <w:color w:val="000000"/>
        </w:rPr>
        <w:t xml:space="preserve"> reasonably reliable estimate of total expenditures and classification of household</w:t>
      </w:r>
      <w:r>
        <w:rPr>
          <w:rFonts w:asciiTheme="minorHAnsi" w:hAnsiTheme="minorHAnsi"/>
          <w:color w:val="000000"/>
        </w:rPr>
        <w:t>s</w:t>
      </w:r>
      <w:r w:rsidR="00C1163F">
        <w:rPr>
          <w:rFonts w:asciiTheme="minorHAnsi" w:hAnsiTheme="minorHAnsi"/>
          <w:color w:val="000000"/>
        </w:rPr>
        <w:t xml:space="preserve"> into poverty groups would most likely be obtained with a total of around 80 food items and 80 non-food items—160 in all.  The Timor-Leste Survey of Living Standards 2006 is an example of a survey conducted </w:t>
      </w:r>
      <w:r w:rsidR="00613506">
        <w:rPr>
          <w:rFonts w:asciiTheme="minorHAnsi" w:hAnsiTheme="minorHAnsi"/>
          <w:color w:val="000000"/>
        </w:rPr>
        <w:t>i</w:t>
      </w:r>
      <w:r w:rsidR="00C1163F">
        <w:rPr>
          <w:rFonts w:asciiTheme="minorHAnsi" w:hAnsiTheme="minorHAnsi"/>
          <w:color w:val="000000"/>
        </w:rPr>
        <w:t xml:space="preserve">n a country </w:t>
      </w:r>
      <w:r>
        <w:rPr>
          <w:rFonts w:asciiTheme="minorHAnsi" w:hAnsiTheme="minorHAnsi"/>
          <w:color w:val="000000"/>
        </w:rPr>
        <w:t xml:space="preserve">even </w:t>
      </w:r>
      <w:r w:rsidR="00C1163F">
        <w:rPr>
          <w:rFonts w:asciiTheme="minorHAnsi" w:hAnsiTheme="minorHAnsi"/>
          <w:color w:val="000000"/>
        </w:rPr>
        <w:t>further along the development transition than Palestine (as judged by per-capita GDP) with roughly this</w:t>
      </w:r>
      <w:r>
        <w:rPr>
          <w:rFonts w:asciiTheme="minorHAnsi" w:hAnsiTheme="minorHAnsi"/>
          <w:color w:val="000000"/>
        </w:rPr>
        <w:t xml:space="preserve"> number </w:t>
      </w:r>
      <w:r w:rsidR="00874196">
        <w:rPr>
          <w:rFonts w:asciiTheme="minorHAnsi" w:hAnsiTheme="minorHAnsi"/>
          <w:color w:val="000000"/>
        </w:rPr>
        <w:t>of</w:t>
      </w:r>
      <w:r w:rsidR="00C1163F">
        <w:rPr>
          <w:rFonts w:asciiTheme="minorHAnsi" w:hAnsiTheme="minorHAnsi"/>
          <w:color w:val="000000"/>
        </w:rPr>
        <w:t xml:space="preserve"> items.</w:t>
      </w:r>
      <w:r>
        <w:rPr>
          <w:rStyle w:val="FootnoteReference"/>
          <w:rFonts w:asciiTheme="minorHAnsi" w:hAnsiTheme="minorHAnsi"/>
          <w:color w:val="000000"/>
        </w:rPr>
        <w:footnoteReference w:id="16"/>
      </w:r>
      <w:r w:rsidR="00C1163F">
        <w:rPr>
          <w:rFonts w:asciiTheme="minorHAnsi" w:hAnsiTheme="minorHAnsi"/>
          <w:color w:val="000000"/>
        </w:rPr>
        <w:t xml:space="preserve">   </w:t>
      </w:r>
    </w:p>
    <w:p w:rsidR="00C1163F" w:rsidRDefault="00C1163F" w:rsidP="00C1163F">
      <w:pPr>
        <w:rPr>
          <w:rFonts w:asciiTheme="minorHAnsi" w:hAnsiTheme="minorHAnsi"/>
          <w:color w:val="000000"/>
        </w:rPr>
      </w:pPr>
    </w:p>
    <w:p w:rsidR="00E9087E" w:rsidRDefault="00C1163F" w:rsidP="00C1163F">
      <w:pPr>
        <w:rPr>
          <w:rFonts w:asciiTheme="minorHAnsi" w:hAnsiTheme="minorHAnsi"/>
          <w:color w:val="000000"/>
        </w:rPr>
      </w:pPr>
      <w:r>
        <w:rPr>
          <w:rFonts w:asciiTheme="minorHAnsi" w:hAnsiTheme="minorHAnsi"/>
          <w:color w:val="000000"/>
        </w:rPr>
        <w:t>However, only</w:t>
      </w:r>
      <w:r w:rsidR="00A75685">
        <w:rPr>
          <w:rFonts w:asciiTheme="minorHAnsi" w:hAnsiTheme="minorHAnsi"/>
          <w:color w:val="000000"/>
        </w:rPr>
        <w:t xml:space="preserve"> experimental testing of such an expenditures module in Palestine </w:t>
      </w:r>
      <w:r>
        <w:rPr>
          <w:rFonts w:asciiTheme="minorHAnsi" w:hAnsiTheme="minorHAnsi"/>
          <w:color w:val="000000"/>
        </w:rPr>
        <w:t xml:space="preserve">compared to a more detailed one like the PECS will determine whether this is so.   Such testing could take place by administering a </w:t>
      </w:r>
      <w:r w:rsidR="00874196">
        <w:rPr>
          <w:rFonts w:asciiTheme="minorHAnsi" w:hAnsiTheme="minorHAnsi"/>
          <w:color w:val="000000"/>
        </w:rPr>
        <w:t xml:space="preserve">set of </w:t>
      </w:r>
      <w:r>
        <w:rPr>
          <w:rFonts w:asciiTheme="minorHAnsi" w:hAnsiTheme="minorHAnsi"/>
          <w:color w:val="000000"/>
        </w:rPr>
        <w:t xml:space="preserve">questionnaires with a reduced expenditure module </w:t>
      </w:r>
      <w:r w:rsidR="00874196">
        <w:rPr>
          <w:rFonts w:asciiTheme="minorHAnsi" w:hAnsiTheme="minorHAnsi"/>
          <w:color w:val="000000"/>
        </w:rPr>
        <w:t xml:space="preserve">(compared to that of the PECS module) </w:t>
      </w:r>
      <w:r>
        <w:rPr>
          <w:rFonts w:asciiTheme="minorHAnsi" w:hAnsiTheme="minorHAnsi"/>
          <w:color w:val="000000"/>
        </w:rPr>
        <w:t xml:space="preserve">to a sub-set of households in the next PECS and determining the difference in (1) expenditure aggregates by sub-group and overall; and (2) classification </w:t>
      </w:r>
      <w:r w:rsidR="00874196">
        <w:rPr>
          <w:rFonts w:asciiTheme="minorHAnsi" w:hAnsiTheme="minorHAnsi"/>
          <w:color w:val="000000"/>
        </w:rPr>
        <w:t xml:space="preserve">of households </w:t>
      </w:r>
      <w:r>
        <w:rPr>
          <w:rFonts w:asciiTheme="minorHAnsi" w:hAnsiTheme="minorHAnsi"/>
          <w:color w:val="000000"/>
        </w:rPr>
        <w:t>into poverty groups</w:t>
      </w:r>
      <w:r w:rsidR="00A75685">
        <w:rPr>
          <w:rFonts w:asciiTheme="minorHAnsi" w:hAnsiTheme="minorHAnsi"/>
          <w:color w:val="000000"/>
        </w:rPr>
        <w:t xml:space="preserve"> through sensitivity-specificity analysis</w:t>
      </w:r>
      <w:r>
        <w:rPr>
          <w:rFonts w:asciiTheme="minorHAnsi" w:hAnsiTheme="minorHAnsi"/>
          <w:color w:val="000000"/>
        </w:rPr>
        <w:t xml:space="preserve">.   </w:t>
      </w:r>
    </w:p>
    <w:p w:rsidR="00E9087E" w:rsidRDefault="00E9087E" w:rsidP="00C1163F">
      <w:pPr>
        <w:rPr>
          <w:rFonts w:asciiTheme="minorHAnsi" w:hAnsiTheme="minorHAnsi"/>
          <w:color w:val="000000"/>
        </w:rPr>
      </w:pPr>
    </w:p>
    <w:p w:rsidR="00C1163F" w:rsidRDefault="00E9087E" w:rsidP="00C1163F">
      <w:pPr>
        <w:rPr>
          <w:rFonts w:asciiTheme="minorHAnsi" w:hAnsiTheme="minorHAnsi"/>
          <w:color w:val="000000"/>
        </w:rPr>
      </w:pPr>
      <w:r>
        <w:rPr>
          <w:rFonts w:asciiTheme="minorHAnsi" w:hAnsiTheme="minorHAnsi"/>
          <w:color w:val="000000"/>
        </w:rPr>
        <w:t>Regarding the cost issue, w</w:t>
      </w:r>
      <w:r w:rsidR="00C1163F">
        <w:rPr>
          <w:rFonts w:asciiTheme="minorHAnsi" w:hAnsiTheme="minorHAnsi"/>
          <w:color w:val="000000"/>
        </w:rPr>
        <w:t xml:space="preserve">hile increasing the number of items in the SEFSec expenditures module will increase measurement accuracy it </w:t>
      </w:r>
      <w:r w:rsidR="00C1163F" w:rsidRPr="00E9087E">
        <w:rPr>
          <w:rFonts w:asciiTheme="minorHAnsi" w:hAnsiTheme="minorHAnsi"/>
          <w:i/>
          <w:color w:val="000000"/>
        </w:rPr>
        <w:t>will</w:t>
      </w:r>
      <w:r w:rsidR="00C1163F">
        <w:rPr>
          <w:rFonts w:asciiTheme="minorHAnsi" w:hAnsiTheme="minorHAnsi"/>
          <w:color w:val="000000"/>
        </w:rPr>
        <w:t xml:space="preserve"> also </w:t>
      </w:r>
      <w:r w:rsidR="00A75685">
        <w:rPr>
          <w:rFonts w:asciiTheme="minorHAnsi" w:hAnsiTheme="minorHAnsi"/>
          <w:color w:val="000000"/>
        </w:rPr>
        <w:t xml:space="preserve">inevitably </w:t>
      </w:r>
      <w:r w:rsidR="00874196">
        <w:rPr>
          <w:rFonts w:asciiTheme="minorHAnsi" w:hAnsiTheme="minorHAnsi"/>
          <w:color w:val="000000"/>
        </w:rPr>
        <w:t xml:space="preserve">and systematically </w:t>
      </w:r>
      <w:r w:rsidR="00C1163F">
        <w:rPr>
          <w:rFonts w:asciiTheme="minorHAnsi" w:hAnsiTheme="minorHAnsi"/>
          <w:color w:val="000000"/>
        </w:rPr>
        <w:t>increase data collection time and cost</w:t>
      </w:r>
      <w:r w:rsidR="00874196">
        <w:rPr>
          <w:rFonts w:asciiTheme="minorHAnsi" w:hAnsiTheme="minorHAnsi"/>
          <w:color w:val="000000"/>
        </w:rPr>
        <w:t>s</w:t>
      </w:r>
      <w:r w:rsidR="00C1163F">
        <w:rPr>
          <w:rFonts w:asciiTheme="minorHAnsi" w:hAnsiTheme="minorHAnsi"/>
          <w:color w:val="000000"/>
        </w:rPr>
        <w:t>.</w:t>
      </w:r>
      <w:r>
        <w:rPr>
          <w:rFonts w:asciiTheme="minorHAnsi" w:hAnsiTheme="minorHAnsi"/>
          <w:color w:val="000000"/>
        </w:rPr>
        <w:t xml:space="preserve">  What is unknown is by how much, which differs depending on the setting.</w:t>
      </w:r>
      <w:r w:rsidR="00C1163F">
        <w:rPr>
          <w:rFonts w:asciiTheme="minorHAnsi" w:hAnsiTheme="minorHAnsi"/>
          <w:color w:val="000000"/>
        </w:rPr>
        <w:t xml:space="preserve"> Thus it will be important to carefully monitor data collection time and cost differences </w:t>
      </w:r>
      <w:r w:rsidR="00874196">
        <w:rPr>
          <w:rFonts w:asciiTheme="minorHAnsi" w:hAnsiTheme="minorHAnsi"/>
          <w:color w:val="000000"/>
        </w:rPr>
        <w:t xml:space="preserve">as part of the proposed experimental testing </w:t>
      </w:r>
      <w:r w:rsidR="00C1163F">
        <w:rPr>
          <w:rFonts w:asciiTheme="minorHAnsi" w:hAnsiTheme="minorHAnsi"/>
          <w:color w:val="000000"/>
        </w:rPr>
        <w:t>so that a full assessment of the trade-off between cost and accuracy can take place.  Keep in mind that the alternative of using a</w:t>
      </w:r>
      <w:r w:rsidR="00A75685">
        <w:rPr>
          <w:rFonts w:asciiTheme="minorHAnsi" w:hAnsiTheme="minorHAnsi"/>
          <w:color w:val="000000"/>
        </w:rPr>
        <w:t xml:space="preserve"> low-cost</w:t>
      </w:r>
      <w:r w:rsidR="00C1163F">
        <w:rPr>
          <w:rFonts w:asciiTheme="minorHAnsi" w:hAnsiTheme="minorHAnsi"/>
          <w:color w:val="000000"/>
        </w:rPr>
        <w:t xml:space="preserve"> asset-based measure of poverty</w:t>
      </w:r>
      <w:r w:rsidR="00A75685">
        <w:rPr>
          <w:rFonts w:asciiTheme="minorHAnsi" w:hAnsiTheme="minorHAnsi"/>
          <w:color w:val="000000"/>
        </w:rPr>
        <w:t>, as</w:t>
      </w:r>
      <w:r w:rsidR="00C1163F">
        <w:rPr>
          <w:rFonts w:asciiTheme="minorHAnsi" w:hAnsiTheme="minorHAnsi"/>
          <w:color w:val="000000"/>
        </w:rPr>
        <w:t xml:space="preserve"> discussed in Section 2</w:t>
      </w:r>
      <w:r w:rsidR="00A75685">
        <w:rPr>
          <w:rFonts w:asciiTheme="minorHAnsi" w:hAnsiTheme="minorHAnsi"/>
          <w:color w:val="000000"/>
        </w:rPr>
        <w:t>,</w:t>
      </w:r>
      <w:r w:rsidR="00C1163F">
        <w:rPr>
          <w:rFonts w:asciiTheme="minorHAnsi" w:hAnsiTheme="minorHAnsi"/>
          <w:color w:val="000000"/>
        </w:rPr>
        <w:t xml:space="preserve"> should also be included in any assessment of this trade-off.</w:t>
      </w:r>
    </w:p>
    <w:p w:rsidR="00A75685" w:rsidRDefault="00A75685" w:rsidP="00C1163F">
      <w:pPr>
        <w:rPr>
          <w:rFonts w:asciiTheme="minorHAnsi" w:hAnsiTheme="minorHAnsi"/>
          <w:color w:val="000000"/>
        </w:rPr>
      </w:pPr>
    </w:p>
    <w:p w:rsidR="00A75685" w:rsidRPr="0054129C" w:rsidRDefault="00A75685" w:rsidP="00C1163F">
      <w:pPr>
        <w:rPr>
          <w:rFonts w:asciiTheme="minorHAnsi" w:hAnsiTheme="minorHAnsi"/>
          <w:color w:val="000000"/>
        </w:rPr>
      </w:pPr>
      <w:r>
        <w:rPr>
          <w:rFonts w:asciiTheme="minorHAnsi" w:hAnsiTheme="minorHAnsi"/>
          <w:color w:val="000000"/>
        </w:rPr>
        <w:t>On a final note, there are two easy steps that can be taken to reduce the time and cost</w:t>
      </w:r>
      <w:r w:rsidR="00874196">
        <w:rPr>
          <w:rFonts w:asciiTheme="minorHAnsi" w:hAnsiTheme="minorHAnsi"/>
          <w:color w:val="000000"/>
        </w:rPr>
        <w:t>s</w:t>
      </w:r>
      <w:r>
        <w:rPr>
          <w:rFonts w:asciiTheme="minorHAnsi" w:hAnsiTheme="minorHAnsi"/>
          <w:color w:val="000000"/>
        </w:rPr>
        <w:t xml:space="preserve"> of administering the SEFSec questionnaire t</w:t>
      </w:r>
      <w:r w:rsidR="00874196">
        <w:rPr>
          <w:rFonts w:asciiTheme="minorHAnsi" w:hAnsiTheme="minorHAnsi"/>
          <w:color w:val="000000"/>
        </w:rPr>
        <w:t>hat would</w:t>
      </w:r>
      <w:r>
        <w:rPr>
          <w:rFonts w:asciiTheme="minorHAnsi" w:hAnsiTheme="minorHAnsi"/>
          <w:color w:val="000000"/>
        </w:rPr>
        <w:t xml:space="preserve"> help off-set any increased costs associated with an expanded expenditures module.  First, </w:t>
      </w:r>
      <w:r w:rsidR="002C550E">
        <w:rPr>
          <w:rFonts w:asciiTheme="minorHAnsi" w:hAnsiTheme="minorHAnsi"/>
          <w:color w:val="000000"/>
        </w:rPr>
        <w:t xml:space="preserve">as part of the expenditures module, </w:t>
      </w:r>
      <w:r>
        <w:rPr>
          <w:rFonts w:asciiTheme="minorHAnsi" w:hAnsiTheme="minorHAnsi"/>
          <w:color w:val="000000"/>
        </w:rPr>
        <w:t>enumerators can first ask respondents whether or not they acquired any of each expenditure item</w:t>
      </w:r>
      <w:r w:rsidR="002C550E">
        <w:rPr>
          <w:rFonts w:asciiTheme="minorHAnsi" w:hAnsiTheme="minorHAnsi"/>
          <w:color w:val="000000"/>
        </w:rPr>
        <w:t xml:space="preserve"> (going down the list item-by-item)</w:t>
      </w:r>
      <w:r>
        <w:rPr>
          <w:rFonts w:asciiTheme="minorHAnsi" w:hAnsiTheme="minorHAnsi"/>
          <w:color w:val="000000"/>
        </w:rPr>
        <w:t>.  Following they can go back and only ask about actual expenditures for the items for which there was positive acquisition</w:t>
      </w:r>
      <w:r w:rsidR="002C550E">
        <w:rPr>
          <w:rFonts w:asciiTheme="minorHAnsi" w:hAnsiTheme="minorHAnsi"/>
          <w:color w:val="000000"/>
        </w:rPr>
        <w:t xml:space="preserve">.  Such an approach </w:t>
      </w:r>
      <w:r>
        <w:rPr>
          <w:rFonts w:asciiTheme="minorHAnsi" w:hAnsiTheme="minorHAnsi"/>
          <w:color w:val="000000"/>
        </w:rPr>
        <w:t xml:space="preserve">could potentially save a great deal of time.  Second, the SEFSec income module </w:t>
      </w:r>
      <w:r w:rsidR="002C550E">
        <w:rPr>
          <w:rFonts w:asciiTheme="minorHAnsi" w:hAnsiTheme="minorHAnsi"/>
          <w:color w:val="000000"/>
        </w:rPr>
        <w:t xml:space="preserve">(Section 6) </w:t>
      </w:r>
      <w:r>
        <w:rPr>
          <w:rFonts w:asciiTheme="minorHAnsi" w:hAnsiTheme="minorHAnsi"/>
          <w:color w:val="000000"/>
        </w:rPr>
        <w:t xml:space="preserve">could </w:t>
      </w:r>
      <w:r w:rsidR="002C550E">
        <w:rPr>
          <w:rFonts w:asciiTheme="minorHAnsi" w:hAnsiTheme="minorHAnsi"/>
          <w:color w:val="000000"/>
        </w:rPr>
        <w:t xml:space="preserve">only ask whether or not each income category was a source of income and not the average monthly </w:t>
      </w:r>
      <w:r w:rsidR="002C550E">
        <w:rPr>
          <w:rFonts w:asciiTheme="minorHAnsi" w:hAnsiTheme="minorHAnsi"/>
          <w:color w:val="000000"/>
        </w:rPr>
        <w:lastRenderedPageBreak/>
        <w:t>income from the source.  The latter information is likely to be highly inaccurate and will not be needed if good expenditures data are available.</w:t>
      </w:r>
    </w:p>
    <w:p w:rsidR="00625F5B" w:rsidRPr="00613506" w:rsidRDefault="00625F5B" w:rsidP="0098190D">
      <w:pPr>
        <w:pStyle w:val="Heading1"/>
        <w:rPr>
          <w:rFonts w:asciiTheme="minorHAnsi" w:hAnsiTheme="minorHAnsi"/>
        </w:rPr>
      </w:pPr>
      <w:bookmarkStart w:id="39" w:name="_Toc395979718"/>
      <w:r w:rsidRPr="00613506">
        <w:rPr>
          <w:rFonts w:asciiTheme="minorHAnsi" w:hAnsiTheme="minorHAnsi"/>
        </w:rPr>
        <w:t xml:space="preserve">8.  Recommended methodology for </w:t>
      </w:r>
      <w:r w:rsidR="0093064C">
        <w:rPr>
          <w:rFonts w:asciiTheme="minorHAnsi" w:hAnsiTheme="minorHAnsi"/>
        </w:rPr>
        <w:t xml:space="preserve">SEFSec </w:t>
      </w:r>
      <w:r w:rsidRPr="00613506">
        <w:rPr>
          <w:rFonts w:asciiTheme="minorHAnsi" w:hAnsiTheme="minorHAnsi"/>
        </w:rPr>
        <w:t>food insecurity measurement</w:t>
      </w:r>
      <w:bookmarkEnd w:id="39"/>
    </w:p>
    <w:p w:rsidR="00031C31" w:rsidRDefault="00031C31">
      <w:pPr>
        <w:rPr>
          <w:rFonts w:asciiTheme="minorHAnsi" w:hAnsiTheme="minorHAnsi"/>
        </w:rPr>
      </w:pPr>
    </w:p>
    <w:p w:rsidR="002C6368" w:rsidRPr="00874196" w:rsidRDefault="002C6368">
      <w:pPr>
        <w:rPr>
          <w:rFonts w:asciiTheme="minorHAnsi" w:hAnsiTheme="minorHAnsi"/>
        </w:rPr>
      </w:pPr>
      <w:r w:rsidRPr="00874196">
        <w:rPr>
          <w:rFonts w:asciiTheme="minorHAnsi" w:hAnsiTheme="minorHAnsi"/>
        </w:rPr>
        <w:t xml:space="preserve">Given the analyses and discussions in the previous sections of this report, the final recommendations for food security measurement using the SEFSec data are the following: </w:t>
      </w:r>
    </w:p>
    <w:p w:rsidR="002C6368" w:rsidRPr="00874196" w:rsidRDefault="002C6368" w:rsidP="002C6368">
      <w:pPr>
        <w:rPr>
          <w:rFonts w:asciiTheme="minorHAnsi" w:hAnsiTheme="minorHAnsi"/>
        </w:rPr>
      </w:pPr>
    </w:p>
    <w:p w:rsidR="002C6368" w:rsidRPr="00874196" w:rsidRDefault="002C6368" w:rsidP="002C6368">
      <w:pPr>
        <w:pStyle w:val="ListParagraph"/>
        <w:numPr>
          <w:ilvl w:val="0"/>
          <w:numId w:val="11"/>
        </w:numPr>
        <w:rPr>
          <w:rFonts w:ascii="Calibri" w:hAnsi="Calibri"/>
          <w:color w:val="000000"/>
        </w:rPr>
      </w:pPr>
      <w:r w:rsidRPr="00874196">
        <w:rPr>
          <w:rFonts w:ascii="Calibri" w:hAnsi="Calibri"/>
        </w:rPr>
        <w:t xml:space="preserve">Maintain the proposed Phase I methodology of classifying households into four food insecurity groups (extremely food insecure, moderately food insecure, vulnerable to food insecurity and food secure) based on </w:t>
      </w:r>
      <w:r w:rsidR="00632201" w:rsidRPr="00874196">
        <w:rPr>
          <w:rFonts w:ascii="Calibri" w:hAnsi="Calibri"/>
        </w:rPr>
        <w:t xml:space="preserve">(1) </w:t>
      </w:r>
      <w:r w:rsidRPr="00874196">
        <w:rPr>
          <w:rFonts w:ascii="Calibri" w:hAnsi="Calibri"/>
        </w:rPr>
        <w:t>measures of poverty, food consumption status, and resilience and (2)  a 27-</w:t>
      </w:r>
      <w:r w:rsidR="009F769F" w:rsidRPr="00874196">
        <w:rPr>
          <w:rFonts w:ascii="Calibri" w:hAnsi="Calibri"/>
        </w:rPr>
        <w:t>cell</w:t>
      </w:r>
      <w:r w:rsidRPr="00874196">
        <w:rPr>
          <w:rFonts w:ascii="Calibri" w:hAnsi="Calibri"/>
        </w:rPr>
        <w:t xml:space="preserve"> decision matrix;   </w:t>
      </w:r>
    </w:p>
    <w:p w:rsidR="009F769F" w:rsidRPr="00874196" w:rsidRDefault="009F769F" w:rsidP="002C6368">
      <w:pPr>
        <w:pStyle w:val="ListParagraph"/>
        <w:numPr>
          <w:ilvl w:val="0"/>
          <w:numId w:val="11"/>
        </w:numPr>
        <w:rPr>
          <w:rFonts w:ascii="Calibri" w:hAnsi="Calibri"/>
          <w:color w:val="000000"/>
        </w:rPr>
      </w:pPr>
      <w:r w:rsidRPr="00874196">
        <w:rPr>
          <w:rFonts w:ascii="Calibri" w:hAnsi="Calibri"/>
          <w:color w:val="000000"/>
        </w:rPr>
        <w:t>For the above use:</w:t>
      </w:r>
    </w:p>
    <w:p w:rsidR="009F769F" w:rsidRPr="00874196" w:rsidRDefault="00874196" w:rsidP="009F769F">
      <w:pPr>
        <w:ind w:left="1170"/>
        <w:rPr>
          <w:rFonts w:ascii="Calibri" w:hAnsi="Calibri"/>
          <w:color w:val="000000"/>
        </w:rPr>
      </w:pPr>
      <w:r>
        <w:rPr>
          <w:rFonts w:ascii="Calibri" w:hAnsi="Calibri"/>
          <w:color w:val="000000"/>
        </w:rPr>
        <w:t xml:space="preserve">* </w:t>
      </w:r>
      <w:r w:rsidR="009F769F" w:rsidRPr="00874196">
        <w:rPr>
          <w:rFonts w:ascii="Calibri" w:hAnsi="Calibri"/>
          <w:color w:val="000000"/>
        </w:rPr>
        <w:t xml:space="preserve">The </w:t>
      </w:r>
      <w:r w:rsidR="002C6368" w:rsidRPr="00874196">
        <w:rPr>
          <w:rFonts w:ascii="Calibri" w:hAnsi="Calibri"/>
          <w:color w:val="000000"/>
        </w:rPr>
        <w:t>regression</w:t>
      </w:r>
      <w:r w:rsidR="009F769F" w:rsidRPr="00874196">
        <w:rPr>
          <w:rFonts w:ascii="Calibri" w:hAnsi="Calibri"/>
          <w:color w:val="000000"/>
        </w:rPr>
        <w:t xml:space="preserve">-based </w:t>
      </w:r>
      <w:r w:rsidR="002C6368" w:rsidRPr="00874196">
        <w:rPr>
          <w:rFonts w:ascii="Calibri" w:hAnsi="Calibri"/>
          <w:color w:val="000000"/>
        </w:rPr>
        <w:t>asset</w:t>
      </w:r>
      <w:r w:rsidR="009F769F" w:rsidRPr="00874196">
        <w:rPr>
          <w:rFonts w:ascii="Calibri" w:hAnsi="Calibri"/>
          <w:color w:val="000000"/>
        </w:rPr>
        <w:t xml:space="preserve"> index</w:t>
      </w:r>
      <w:r w:rsidR="002C6368" w:rsidRPr="00874196">
        <w:rPr>
          <w:rFonts w:ascii="Calibri" w:hAnsi="Calibri"/>
          <w:color w:val="000000"/>
        </w:rPr>
        <w:t xml:space="preserve"> measure of </w:t>
      </w:r>
      <w:r w:rsidR="002C6368" w:rsidRPr="00874196">
        <w:rPr>
          <w:rFonts w:ascii="Calibri" w:hAnsi="Calibri"/>
          <w:b/>
          <w:color w:val="000000"/>
        </w:rPr>
        <w:t>poverty</w:t>
      </w:r>
      <w:r w:rsidR="002C6368" w:rsidRPr="00874196">
        <w:rPr>
          <w:rFonts w:ascii="Calibri" w:hAnsi="Calibri"/>
          <w:color w:val="000000"/>
        </w:rPr>
        <w:t xml:space="preserve"> calculated employing the eight assets and three other expenditure correlates </w:t>
      </w:r>
      <w:r w:rsidR="009F769F" w:rsidRPr="00874196">
        <w:rPr>
          <w:rFonts w:ascii="Calibri" w:hAnsi="Calibri"/>
          <w:color w:val="000000"/>
        </w:rPr>
        <w:t xml:space="preserve">having a stable relationship with total expenditures </w:t>
      </w:r>
      <w:r w:rsidR="009F769F" w:rsidRPr="00874196">
        <w:rPr>
          <w:rFonts w:ascii="Calibri" w:hAnsi="Calibri"/>
          <w:color w:val="000000"/>
        </w:rPr>
        <w:t>(proposed in Section 2)</w:t>
      </w:r>
      <w:r w:rsidR="009F769F" w:rsidRPr="00874196">
        <w:rPr>
          <w:rFonts w:ascii="Calibri" w:hAnsi="Calibri"/>
          <w:color w:val="000000"/>
        </w:rPr>
        <w:t xml:space="preserve"> </w:t>
      </w:r>
      <w:r w:rsidR="002C6368" w:rsidRPr="00874196">
        <w:rPr>
          <w:rFonts w:ascii="Calibri" w:hAnsi="Calibri"/>
          <w:color w:val="000000"/>
        </w:rPr>
        <w:t>to classify households into three poverty groups:  deep poor, poor (but not deep poor) and non-poor;</w:t>
      </w:r>
    </w:p>
    <w:p w:rsidR="009F769F" w:rsidRPr="00874196" w:rsidRDefault="009F769F" w:rsidP="009F769F">
      <w:pPr>
        <w:ind w:left="1170"/>
        <w:rPr>
          <w:rFonts w:ascii="Calibri" w:hAnsi="Calibri"/>
          <w:color w:val="000000"/>
        </w:rPr>
      </w:pPr>
    </w:p>
    <w:p w:rsidR="009F769F" w:rsidRPr="00874196" w:rsidRDefault="00874196" w:rsidP="009F769F">
      <w:pPr>
        <w:ind w:left="1170"/>
        <w:rPr>
          <w:rFonts w:ascii="Calibri" w:hAnsi="Calibri"/>
          <w:color w:val="000000"/>
        </w:rPr>
      </w:pPr>
      <w:r>
        <w:rPr>
          <w:rFonts w:ascii="Calibri" w:hAnsi="Calibri"/>
          <w:color w:val="000000"/>
        </w:rPr>
        <w:t xml:space="preserve">* </w:t>
      </w:r>
      <w:r w:rsidR="009F769F" w:rsidRPr="00874196">
        <w:rPr>
          <w:rFonts w:ascii="Calibri" w:hAnsi="Calibri"/>
          <w:color w:val="000000"/>
        </w:rPr>
        <w:t>T</w:t>
      </w:r>
      <w:r w:rsidR="002C6368" w:rsidRPr="00874196">
        <w:rPr>
          <w:rFonts w:ascii="Calibri" w:hAnsi="Calibri"/>
          <w:color w:val="000000"/>
        </w:rPr>
        <w:t xml:space="preserve">he HFIAS-based measure of insufficient dietary quantity and FCS-based measure of inadequate dietary quality to classify households into three </w:t>
      </w:r>
      <w:r w:rsidR="002C6368" w:rsidRPr="00874196">
        <w:rPr>
          <w:rFonts w:ascii="Calibri" w:hAnsi="Calibri"/>
          <w:b/>
          <w:color w:val="000000"/>
        </w:rPr>
        <w:t>food consumption</w:t>
      </w:r>
      <w:r w:rsidR="002C6368" w:rsidRPr="00874196">
        <w:rPr>
          <w:rFonts w:ascii="Calibri" w:hAnsi="Calibri"/>
          <w:color w:val="000000"/>
        </w:rPr>
        <w:t xml:space="preserve"> status groups:  severely food deprived, moderately food deprived, and not food deprived;</w:t>
      </w:r>
    </w:p>
    <w:p w:rsidR="009F769F" w:rsidRPr="00874196" w:rsidRDefault="009F769F" w:rsidP="009F769F">
      <w:pPr>
        <w:ind w:left="1170"/>
        <w:rPr>
          <w:rFonts w:ascii="Calibri" w:hAnsi="Calibri"/>
          <w:color w:val="000000"/>
        </w:rPr>
      </w:pPr>
    </w:p>
    <w:p w:rsidR="002C6368" w:rsidRPr="00874196" w:rsidRDefault="00874196" w:rsidP="009F769F">
      <w:pPr>
        <w:ind w:left="1170"/>
        <w:rPr>
          <w:rFonts w:ascii="Calibri" w:hAnsi="Calibri"/>
          <w:color w:val="000000"/>
        </w:rPr>
      </w:pPr>
      <w:r>
        <w:rPr>
          <w:rFonts w:ascii="Calibri" w:hAnsi="Calibri"/>
          <w:color w:val="000000"/>
        </w:rPr>
        <w:t xml:space="preserve">* </w:t>
      </w:r>
      <w:r w:rsidR="009F769F" w:rsidRPr="00874196">
        <w:rPr>
          <w:rFonts w:ascii="Calibri" w:hAnsi="Calibri"/>
          <w:color w:val="000000"/>
        </w:rPr>
        <w:t>T</w:t>
      </w:r>
      <w:r w:rsidR="002C6368" w:rsidRPr="00874196">
        <w:rPr>
          <w:rFonts w:ascii="Calibri" w:hAnsi="Calibri"/>
          <w:color w:val="000000"/>
        </w:rPr>
        <w:t xml:space="preserve">he improved measure of </w:t>
      </w:r>
      <w:r w:rsidR="002C6368" w:rsidRPr="00874196">
        <w:rPr>
          <w:rFonts w:ascii="Calibri" w:hAnsi="Calibri"/>
          <w:b/>
          <w:color w:val="000000"/>
        </w:rPr>
        <w:t>resilience</w:t>
      </w:r>
      <w:r w:rsidR="002C6368" w:rsidRPr="00874196">
        <w:rPr>
          <w:rFonts w:ascii="Calibri" w:hAnsi="Calibri"/>
          <w:color w:val="000000"/>
        </w:rPr>
        <w:t xml:space="preserve"> based on the concept of adaptive capacity to classify households into three groups:  low resilience, medium resilience, and high resilience</w:t>
      </w:r>
      <w:r w:rsidR="009F769F" w:rsidRPr="00874196">
        <w:rPr>
          <w:rFonts w:ascii="Calibri" w:hAnsi="Calibri"/>
          <w:color w:val="000000"/>
        </w:rPr>
        <w:t>.</w:t>
      </w:r>
    </w:p>
    <w:p w:rsidR="009F769F" w:rsidRPr="00874196" w:rsidRDefault="009F769F" w:rsidP="009F769F">
      <w:pPr>
        <w:ind w:left="1170"/>
        <w:rPr>
          <w:rFonts w:ascii="Calibri" w:hAnsi="Calibri"/>
          <w:color w:val="000000"/>
        </w:rPr>
      </w:pPr>
    </w:p>
    <w:p w:rsidR="002C6368" w:rsidRPr="00874196" w:rsidRDefault="002C6368" w:rsidP="002C6368">
      <w:pPr>
        <w:pStyle w:val="ListParagraph"/>
        <w:numPr>
          <w:ilvl w:val="0"/>
          <w:numId w:val="11"/>
        </w:numPr>
        <w:rPr>
          <w:rFonts w:ascii="Calibri" w:hAnsi="Calibri"/>
          <w:color w:val="000000"/>
        </w:rPr>
      </w:pPr>
      <w:r w:rsidRPr="00874196">
        <w:rPr>
          <w:rFonts w:ascii="Calibri" w:hAnsi="Calibri"/>
          <w:color w:val="000000"/>
        </w:rPr>
        <w:t xml:space="preserve">Such a food insecurity measurement methodology is conceptually valid and the most empirically sound possible given the current SEFSec data collection methodology.  </w:t>
      </w:r>
    </w:p>
    <w:p w:rsidR="002C6368" w:rsidRPr="00874196" w:rsidRDefault="002C6368" w:rsidP="002C6368">
      <w:pPr>
        <w:rPr>
          <w:rFonts w:ascii="Calibri" w:hAnsi="Calibri"/>
          <w:color w:val="000000"/>
        </w:rPr>
      </w:pPr>
    </w:p>
    <w:p w:rsidR="002C6368" w:rsidRPr="00874196" w:rsidRDefault="002C6368">
      <w:pPr>
        <w:rPr>
          <w:rFonts w:asciiTheme="minorHAnsi" w:hAnsiTheme="minorHAnsi"/>
        </w:rPr>
      </w:pPr>
      <w:r w:rsidRPr="00874196">
        <w:rPr>
          <w:rFonts w:asciiTheme="minorHAnsi" w:hAnsiTheme="minorHAnsi"/>
        </w:rPr>
        <w:t xml:space="preserve">Additional recommendations to consider </w:t>
      </w:r>
      <w:r w:rsidR="00874196">
        <w:rPr>
          <w:rFonts w:asciiTheme="minorHAnsi" w:hAnsiTheme="minorHAnsi"/>
        </w:rPr>
        <w:t>are</w:t>
      </w:r>
      <w:r w:rsidRPr="00874196">
        <w:rPr>
          <w:rFonts w:asciiTheme="minorHAnsi" w:hAnsiTheme="minorHAnsi"/>
        </w:rPr>
        <w:t xml:space="preserve">: </w:t>
      </w:r>
    </w:p>
    <w:p w:rsidR="009F769F" w:rsidRPr="00874196" w:rsidRDefault="009F769F" w:rsidP="002C6368">
      <w:pPr>
        <w:pStyle w:val="ListParagraph"/>
        <w:numPr>
          <w:ilvl w:val="0"/>
          <w:numId w:val="12"/>
        </w:numPr>
        <w:rPr>
          <w:rFonts w:asciiTheme="minorHAnsi" w:eastAsiaTheme="majorEastAsia" w:hAnsiTheme="minorHAnsi" w:cstheme="majorBidi"/>
          <w:b/>
          <w:bCs/>
          <w:lang w:eastAsia="ja-JP"/>
        </w:rPr>
      </w:pPr>
      <w:r w:rsidRPr="00874196">
        <w:rPr>
          <w:rFonts w:asciiTheme="minorHAnsi" w:hAnsiTheme="minorHAnsi"/>
        </w:rPr>
        <w:t>Determine whether the appropriate statistical conditions are satisfied for implementing a quasi-experimental method (</w:t>
      </w:r>
      <w:r w:rsidR="0069139C" w:rsidRPr="00874196">
        <w:rPr>
          <w:rFonts w:asciiTheme="minorHAnsi" w:hAnsiTheme="minorHAnsi"/>
        </w:rPr>
        <w:t xml:space="preserve">e.g., </w:t>
      </w:r>
      <w:r w:rsidRPr="00874196">
        <w:rPr>
          <w:rFonts w:asciiTheme="minorHAnsi" w:hAnsiTheme="minorHAnsi"/>
        </w:rPr>
        <w:t xml:space="preserve">PSM) for estimating pre-assistance food insecurity prevalences; </w:t>
      </w:r>
    </w:p>
    <w:p w:rsidR="00625F5B" w:rsidRPr="00874196" w:rsidRDefault="00031C31" w:rsidP="002C6368">
      <w:pPr>
        <w:pStyle w:val="ListParagraph"/>
        <w:numPr>
          <w:ilvl w:val="0"/>
          <w:numId w:val="12"/>
        </w:numPr>
        <w:rPr>
          <w:rFonts w:asciiTheme="minorHAnsi" w:eastAsiaTheme="majorEastAsia" w:hAnsiTheme="minorHAnsi" w:cstheme="majorBidi"/>
          <w:b/>
          <w:bCs/>
          <w:lang w:eastAsia="ja-JP"/>
        </w:rPr>
      </w:pPr>
      <w:r w:rsidRPr="00874196">
        <w:rPr>
          <w:rFonts w:asciiTheme="minorHAnsi" w:hAnsiTheme="minorHAnsi"/>
        </w:rPr>
        <w:t xml:space="preserve">Implement a set of 2-3 experimental </w:t>
      </w:r>
      <w:r w:rsidR="009F769F" w:rsidRPr="00874196">
        <w:rPr>
          <w:rFonts w:asciiTheme="minorHAnsi" w:hAnsiTheme="minorHAnsi"/>
        </w:rPr>
        <w:t xml:space="preserve">expanded </w:t>
      </w:r>
      <w:r w:rsidRPr="00874196">
        <w:rPr>
          <w:rFonts w:asciiTheme="minorHAnsi" w:hAnsiTheme="minorHAnsi"/>
        </w:rPr>
        <w:t>expenditure modules</w:t>
      </w:r>
      <w:r w:rsidR="0069139C" w:rsidRPr="00874196">
        <w:rPr>
          <w:rStyle w:val="FootnoteReference"/>
          <w:rFonts w:asciiTheme="minorHAnsi" w:hAnsiTheme="minorHAnsi"/>
        </w:rPr>
        <w:footnoteReference w:id="17"/>
      </w:r>
      <w:r w:rsidRPr="00874196">
        <w:rPr>
          <w:rFonts w:asciiTheme="minorHAnsi" w:hAnsiTheme="minorHAnsi"/>
        </w:rPr>
        <w:t xml:space="preserve"> </w:t>
      </w:r>
      <w:r w:rsidR="009F769F" w:rsidRPr="00874196">
        <w:rPr>
          <w:rFonts w:asciiTheme="minorHAnsi" w:hAnsiTheme="minorHAnsi"/>
        </w:rPr>
        <w:t xml:space="preserve">to be administered to a random sub-set of households as part of the next PECS.  Use the data to evaluate the </w:t>
      </w:r>
      <w:r w:rsidR="00033CCE" w:rsidRPr="00874196">
        <w:rPr>
          <w:rFonts w:asciiTheme="minorHAnsi" w:hAnsiTheme="minorHAnsi"/>
        </w:rPr>
        <w:t>cost versus accuracy trade-off</w:t>
      </w:r>
      <w:r w:rsidR="009F769F" w:rsidRPr="00874196">
        <w:rPr>
          <w:rFonts w:asciiTheme="minorHAnsi" w:hAnsiTheme="minorHAnsi"/>
        </w:rPr>
        <w:t xml:space="preserve"> of an expanded SEFSec expenditures module</w:t>
      </w:r>
      <w:r w:rsidR="00033CCE" w:rsidRPr="00874196">
        <w:rPr>
          <w:rFonts w:asciiTheme="minorHAnsi" w:hAnsiTheme="minorHAnsi"/>
        </w:rPr>
        <w:t xml:space="preserve">.  </w:t>
      </w:r>
      <w:r w:rsidR="00625F5B" w:rsidRPr="00874196">
        <w:rPr>
          <w:rFonts w:asciiTheme="minorHAnsi" w:hAnsiTheme="minorHAnsi"/>
        </w:rPr>
        <w:br w:type="page"/>
      </w:r>
    </w:p>
    <w:p w:rsidR="006E26B1" w:rsidRPr="00B34BF7" w:rsidRDefault="00556EB1" w:rsidP="0098190D">
      <w:pPr>
        <w:pStyle w:val="Heading1"/>
        <w:rPr>
          <w:rFonts w:asciiTheme="minorHAnsi" w:hAnsiTheme="minorHAnsi"/>
        </w:rPr>
      </w:pPr>
      <w:bookmarkStart w:id="40" w:name="_Toc395979719"/>
      <w:r w:rsidRPr="00B34BF7">
        <w:rPr>
          <w:rFonts w:asciiTheme="minorHAnsi" w:hAnsiTheme="minorHAnsi"/>
        </w:rPr>
        <w:lastRenderedPageBreak/>
        <w:t>R</w:t>
      </w:r>
      <w:r w:rsidR="00A043E7" w:rsidRPr="00B34BF7">
        <w:rPr>
          <w:rFonts w:asciiTheme="minorHAnsi" w:hAnsiTheme="minorHAnsi"/>
        </w:rPr>
        <w:t>eferences</w:t>
      </w:r>
      <w:bookmarkEnd w:id="40"/>
      <w:r w:rsidR="00A043E7" w:rsidRPr="00B34BF7">
        <w:rPr>
          <w:rFonts w:asciiTheme="minorHAnsi" w:hAnsiTheme="minorHAnsi"/>
        </w:rPr>
        <w:t xml:space="preserve"> </w:t>
      </w:r>
    </w:p>
    <w:p w:rsidR="00C76CC2" w:rsidRDefault="00C76CC2">
      <w:pPr>
        <w:rPr>
          <w:rFonts w:asciiTheme="minorHAnsi" w:hAnsiTheme="minorHAnsi"/>
        </w:rPr>
      </w:pPr>
    </w:p>
    <w:p w:rsidR="008726DB" w:rsidRDefault="00E6610A">
      <w:pPr>
        <w:rPr>
          <w:rFonts w:asciiTheme="minorHAnsi" w:hAnsiTheme="minorHAnsi"/>
        </w:rPr>
      </w:pPr>
      <w:r w:rsidRPr="00E6610A">
        <w:rPr>
          <w:rFonts w:asciiTheme="minorHAnsi" w:hAnsiTheme="minorHAnsi"/>
        </w:rPr>
        <w:t>Beegle, K., De Weerdt, J., Friedman, J. &amp; Gibson, J.</w:t>
      </w:r>
      <w:r w:rsidR="00625F5B">
        <w:rPr>
          <w:rFonts w:asciiTheme="minorHAnsi" w:hAnsiTheme="minorHAnsi"/>
        </w:rPr>
        <w:t xml:space="preserve"> </w:t>
      </w:r>
      <w:r w:rsidRPr="00E6610A">
        <w:rPr>
          <w:rFonts w:asciiTheme="minorHAnsi" w:hAnsiTheme="minorHAnsi"/>
        </w:rPr>
        <w:t>2011. Methods of household consumption measurement through surveys: Experimental results from Tanzania. Journal of Development Economics, 98(1), 3-18.</w:t>
      </w:r>
    </w:p>
    <w:p w:rsidR="00BF7737" w:rsidRDefault="00BF7737">
      <w:pPr>
        <w:rPr>
          <w:rFonts w:asciiTheme="minorHAnsi" w:hAnsiTheme="minorHAnsi"/>
        </w:rPr>
      </w:pPr>
    </w:p>
    <w:p w:rsidR="00BF7737" w:rsidRDefault="00236F24" w:rsidP="00BF7737">
      <w:pPr>
        <w:rPr>
          <w:rFonts w:asciiTheme="minorHAnsi" w:hAnsiTheme="minorHAnsi" w:cstheme="minorHAnsi"/>
        </w:rPr>
      </w:pPr>
      <w:r w:rsidRPr="00236F24">
        <w:rPr>
          <w:rFonts w:asciiTheme="minorHAnsi" w:hAnsiTheme="minorHAnsi"/>
        </w:rPr>
        <w:t>Béné</w:t>
      </w:r>
      <w:r w:rsidRPr="00236F24">
        <w:rPr>
          <w:rFonts w:asciiTheme="minorHAnsi" w:hAnsiTheme="minorHAnsi" w:cstheme="minorHAnsi"/>
        </w:rPr>
        <w:t>, C., Wood, R. G., Newsham, A., and Davies, M. 2012. Resilience: new utopia or new tyranny? Reflection about the potentials and limits of the concept of resilience in relation to vulnerability reduction programmes</w:t>
      </w:r>
      <w:r w:rsidRPr="00236F24">
        <w:rPr>
          <w:rFonts w:asciiTheme="minorHAnsi" w:hAnsiTheme="minorHAnsi" w:cstheme="minorHAnsi"/>
          <w:i/>
        </w:rPr>
        <w:t>.</w:t>
      </w:r>
      <w:r w:rsidRPr="00236F24">
        <w:rPr>
          <w:rFonts w:asciiTheme="minorHAnsi" w:hAnsiTheme="minorHAnsi" w:cstheme="minorHAnsi"/>
        </w:rPr>
        <w:t xml:space="preserve"> IDS Working Paper, Volume 2012, Number 405.</w:t>
      </w:r>
    </w:p>
    <w:p w:rsidR="00BF7737" w:rsidRDefault="00BF7737" w:rsidP="00BF7737">
      <w:pPr>
        <w:rPr>
          <w:rFonts w:asciiTheme="minorHAnsi" w:hAnsiTheme="minorHAnsi" w:cstheme="minorHAnsi"/>
        </w:rPr>
      </w:pPr>
    </w:p>
    <w:p w:rsidR="00607295" w:rsidRPr="007A6282" w:rsidRDefault="00607295" w:rsidP="00BF7737">
      <w:pPr>
        <w:rPr>
          <w:rFonts w:ascii="Calibri" w:eastAsia="Calibri" w:hAnsi="Calibri" w:cs="Calibri"/>
          <w:bCs/>
          <w:spacing w:val="-1"/>
          <w:lang w:val="en-GB"/>
        </w:rPr>
      </w:pPr>
      <w:r w:rsidRPr="00236F24">
        <w:rPr>
          <w:rFonts w:asciiTheme="minorHAnsi" w:hAnsiTheme="minorHAnsi" w:cs="Calibri"/>
          <w:color w:val="000000"/>
        </w:rPr>
        <w:t xml:space="preserve">Coates, Jennifer, Anne Swindale and Paula Bilinsky. 2007. </w:t>
      </w:r>
      <w:r w:rsidRPr="00236F24">
        <w:rPr>
          <w:rFonts w:asciiTheme="minorHAnsi" w:hAnsiTheme="minorHAnsi" w:cs="Calibri"/>
          <w:i/>
          <w:iCs/>
          <w:color w:val="000000"/>
        </w:rPr>
        <w:t>Household Food Insecurity A</w:t>
      </w:r>
      <w:r w:rsidRPr="007A6282">
        <w:rPr>
          <w:rFonts w:ascii="Calibri" w:hAnsi="Calibri" w:cs="Calibri"/>
          <w:i/>
          <w:iCs/>
          <w:color w:val="000000"/>
        </w:rPr>
        <w:t xml:space="preserve">ccess Scale (HFIAS) for Measurement of Household Food Access: Indicator Guide (v. 3). </w:t>
      </w:r>
      <w:r w:rsidRPr="007A6282">
        <w:rPr>
          <w:rFonts w:ascii="Calibri" w:hAnsi="Calibri" w:cs="Calibri"/>
          <w:color w:val="000000"/>
        </w:rPr>
        <w:t>Washington, D.C.: FHI 360/FANTA.</w:t>
      </w:r>
    </w:p>
    <w:p w:rsidR="00BF7737" w:rsidRDefault="00BF7737" w:rsidP="00236F24">
      <w:pPr>
        <w:pStyle w:val="FootnoteText"/>
        <w:spacing w:before="120" w:after="120"/>
        <w:rPr>
          <w:rFonts w:asciiTheme="minorHAnsi" w:hAnsiTheme="minorHAnsi"/>
          <w:sz w:val="24"/>
          <w:szCs w:val="24"/>
        </w:rPr>
      </w:pPr>
    </w:p>
    <w:p w:rsidR="00BF7737" w:rsidRDefault="002614B1" w:rsidP="00236F24">
      <w:pPr>
        <w:pStyle w:val="FootnoteText"/>
        <w:spacing w:before="120" w:after="120"/>
        <w:rPr>
          <w:rFonts w:asciiTheme="minorHAnsi" w:hAnsiTheme="minorHAnsi"/>
          <w:sz w:val="24"/>
          <w:szCs w:val="24"/>
        </w:rPr>
      </w:pPr>
      <w:r>
        <w:rPr>
          <w:rFonts w:asciiTheme="minorHAnsi" w:hAnsiTheme="minorHAnsi"/>
          <w:sz w:val="24"/>
          <w:szCs w:val="24"/>
        </w:rPr>
        <w:t>Deaton and Grosh.  2000.</w:t>
      </w:r>
      <w:r w:rsidR="00625F5B">
        <w:rPr>
          <w:rFonts w:asciiTheme="minorHAnsi" w:hAnsiTheme="minorHAnsi"/>
          <w:sz w:val="24"/>
          <w:szCs w:val="24"/>
        </w:rPr>
        <w:t xml:space="preserve"> Consumption.  Chapter 5 in Grosh, Margaret and Paul Glewwe. </w:t>
      </w:r>
      <w:r w:rsidR="00625F5B" w:rsidRPr="00625F5B">
        <w:rPr>
          <w:rFonts w:asciiTheme="minorHAnsi" w:hAnsiTheme="minorHAnsi"/>
          <w:i/>
          <w:sz w:val="24"/>
          <w:szCs w:val="24"/>
        </w:rPr>
        <w:t>Designing household survey questionnaires for developing countries:  Lessons from 15 years of the Living Standards Measurement Study.</w:t>
      </w:r>
      <w:r w:rsidR="00625F5B">
        <w:rPr>
          <w:rFonts w:asciiTheme="minorHAnsi" w:hAnsiTheme="minorHAnsi"/>
          <w:sz w:val="24"/>
          <w:szCs w:val="24"/>
        </w:rPr>
        <w:t xml:space="preserve">  World Bank, Washington, D.C.</w:t>
      </w:r>
    </w:p>
    <w:p w:rsidR="00BF7737" w:rsidRDefault="00BF7737" w:rsidP="00236F24">
      <w:pPr>
        <w:pStyle w:val="FootnoteText"/>
        <w:spacing w:before="120" w:after="120"/>
        <w:rPr>
          <w:rFonts w:asciiTheme="minorHAnsi" w:hAnsiTheme="minorHAnsi"/>
          <w:sz w:val="24"/>
          <w:szCs w:val="24"/>
        </w:rPr>
      </w:pPr>
    </w:p>
    <w:p w:rsidR="00236F24" w:rsidRDefault="00236F24" w:rsidP="00236F24">
      <w:pPr>
        <w:pStyle w:val="FootnoteText"/>
        <w:spacing w:before="120" w:after="120"/>
        <w:rPr>
          <w:rFonts w:asciiTheme="minorHAnsi" w:hAnsiTheme="minorHAnsi"/>
          <w:sz w:val="24"/>
          <w:szCs w:val="24"/>
        </w:rPr>
      </w:pPr>
      <w:r w:rsidRPr="00FA54A5">
        <w:rPr>
          <w:rFonts w:asciiTheme="minorHAnsi" w:hAnsiTheme="minorHAnsi"/>
          <w:sz w:val="24"/>
          <w:szCs w:val="24"/>
        </w:rPr>
        <w:t>FSIN. 2014.  Resilience measurement principles: Toward an agenda for measurement design. Technical Series No. 1, Food Security Information Network.</w:t>
      </w:r>
    </w:p>
    <w:p w:rsidR="00BF7737" w:rsidRDefault="00BF7737">
      <w:pPr>
        <w:rPr>
          <w:rFonts w:asciiTheme="minorHAnsi" w:hAnsiTheme="minorHAnsi"/>
        </w:rPr>
      </w:pPr>
    </w:p>
    <w:p w:rsidR="00FA54A5" w:rsidRPr="00FA54A5" w:rsidRDefault="00FA54A5">
      <w:pPr>
        <w:rPr>
          <w:rFonts w:asciiTheme="minorHAnsi" w:hAnsiTheme="minorHAnsi"/>
        </w:rPr>
      </w:pPr>
      <w:r w:rsidRPr="00FA54A5">
        <w:rPr>
          <w:rFonts w:asciiTheme="minorHAnsi" w:hAnsiTheme="minorHAnsi"/>
        </w:rPr>
        <w:t>Smith, Lisa C., Tim Frankenberger, Ben Langworthy, Stephanie Martin, Tom Spangler, Suzanne Nelson, and Jeanne Downen.  2014.  Ethiopia Pastoralist Areas Resilience Improvement and Market Expansion (PRIME) project impact evaluation:  Baseline survey report.   Feed the Future FEEDBACK project (for review by the United States Agency for International Development).  TANGO International, Inc., Tucson.</w:t>
      </w:r>
    </w:p>
    <w:p w:rsidR="00BF7737" w:rsidRDefault="00BF7737" w:rsidP="0069139C">
      <w:pPr>
        <w:spacing w:before="120" w:after="120"/>
        <w:rPr>
          <w:rFonts w:asciiTheme="minorHAnsi" w:eastAsia="Calibri" w:hAnsiTheme="minorHAnsi" w:cs="Calibri"/>
          <w:bCs/>
          <w:spacing w:val="-1"/>
          <w:lang w:val="en-GB"/>
        </w:rPr>
      </w:pPr>
    </w:p>
    <w:p w:rsidR="0069139C" w:rsidRPr="0069139C" w:rsidRDefault="0069139C" w:rsidP="0069139C">
      <w:pPr>
        <w:spacing w:before="120" w:after="120"/>
        <w:rPr>
          <w:rFonts w:asciiTheme="minorHAnsi" w:hAnsiTheme="minorHAnsi"/>
          <w:color w:val="000000" w:themeColor="text1"/>
        </w:rPr>
      </w:pPr>
      <w:r w:rsidRPr="001923A8">
        <w:rPr>
          <w:rFonts w:asciiTheme="minorHAnsi" w:eastAsia="Calibri" w:hAnsiTheme="minorHAnsi" w:cs="Calibri"/>
          <w:bCs/>
          <w:spacing w:val="-1"/>
          <w:lang w:val="en-GB"/>
        </w:rPr>
        <w:t>Smith, Lisa C., Olivier Dupriez and Nathalie Troubat.  201</w:t>
      </w:r>
      <w:r>
        <w:rPr>
          <w:rFonts w:asciiTheme="minorHAnsi" w:eastAsia="Calibri" w:hAnsiTheme="minorHAnsi" w:cs="Calibri"/>
          <w:bCs/>
          <w:spacing w:val="-1"/>
          <w:lang w:val="en-GB"/>
        </w:rPr>
        <w:t>3</w:t>
      </w:r>
      <w:r w:rsidRPr="001923A8">
        <w:rPr>
          <w:rFonts w:asciiTheme="minorHAnsi" w:eastAsia="Calibri" w:hAnsiTheme="minorHAnsi" w:cs="Calibri"/>
          <w:bCs/>
          <w:spacing w:val="-1"/>
          <w:lang w:val="en-GB"/>
        </w:rPr>
        <w:t xml:space="preserve">. </w:t>
      </w:r>
      <w:r w:rsidRPr="007F22E9">
        <w:rPr>
          <w:rFonts w:asciiTheme="minorHAnsi" w:eastAsia="Calibri" w:hAnsiTheme="minorHAnsi" w:cs="Calibri"/>
          <w:bCs/>
          <w:spacing w:val="-1"/>
          <w:lang w:val="en-GB"/>
        </w:rPr>
        <w:t>Assessment of the</w:t>
      </w:r>
      <w:r w:rsidRPr="007F22E9">
        <w:rPr>
          <w:rFonts w:asciiTheme="minorHAnsi" w:hAnsiTheme="minorHAnsi"/>
        </w:rPr>
        <w:t xml:space="preserve"> Reliability and </w:t>
      </w:r>
      <w:r w:rsidRPr="0069139C">
        <w:rPr>
          <w:rFonts w:asciiTheme="minorHAnsi" w:hAnsiTheme="minorHAnsi"/>
        </w:rPr>
        <w:t xml:space="preserve">Relevance of the Food Data Collected in National Household Consumption and Expenditure Surveys.  </w:t>
      </w:r>
      <w:r w:rsidRPr="0069139C">
        <w:rPr>
          <w:rFonts w:asciiTheme="minorHAnsi" w:hAnsiTheme="minorHAnsi"/>
          <w:color w:val="000000" w:themeColor="text1"/>
        </w:rPr>
        <w:t>International Household Survey Network, Food and Agriculture Organization of the United Nations, World Bank, Washington D.C. and Rome.</w:t>
      </w:r>
    </w:p>
    <w:p w:rsidR="00BF7737" w:rsidRDefault="00BF7737" w:rsidP="0069139C">
      <w:pPr>
        <w:rPr>
          <w:rFonts w:asciiTheme="minorHAnsi" w:hAnsiTheme="minorHAnsi"/>
        </w:rPr>
      </w:pPr>
    </w:p>
    <w:p w:rsidR="0069139C" w:rsidRPr="0069139C" w:rsidRDefault="0069139C" w:rsidP="0069139C">
      <w:pPr>
        <w:rPr>
          <w:rFonts w:asciiTheme="minorHAnsi" w:hAnsiTheme="minorHAnsi"/>
          <w:i/>
        </w:rPr>
      </w:pPr>
      <w:r w:rsidRPr="0069139C">
        <w:rPr>
          <w:rFonts w:asciiTheme="minorHAnsi" w:hAnsiTheme="minorHAnsi"/>
        </w:rPr>
        <w:t xml:space="preserve">Smith, Lisa C., Faheem Khan, Timothy R. Frankenberger and AKM Abdul Wadud.  2013.   Admissible evidence in the court of development evaluation?   The impact of CARE’s SHOUHARDO project on child stunting in Bangladesh.  </w:t>
      </w:r>
      <w:r w:rsidRPr="0069139C">
        <w:rPr>
          <w:rFonts w:asciiTheme="minorHAnsi" w:hAnsiTheme="minorHAnsi"/>
          <w:i/>
        </w:rPr>
        <w:t xml:space="preserve">World Development </w:t>
      </w:r>
      <w:r w:rsidRPr="0069139C">
        <w:rPr>
          <w:rFonts w:asciiTheme="minorHAnsi" w:hAnsiTheme="minorHAnsi"/>
        </w:rPr>
        <w:t xml:space="preserve">(41): 196-216.  </w:t>
      </w:r>
    </w:p>
    <w:p w:rsidR="0069139C" w:rsidRPr="0069139C" w:rsidRDefault="0069139C" w:rsidP="0069139C">
      <w:pPr>
        <w:rPr>
          <w:rFonts w:asciiTheme="minorHAnsi" w:hAnsiTheme="minorHAnsi"/>
        </w:rPr>
      </w:pPr>
    </w:p>
    <w:p w:rsidR="00C76CC2" w:rsidRPr="00B30983" w:rsidRDefault="00C76CC2">
      <w:pPr>
        <w:rPr>
          <w:rFonts w:asciiTheme="minorHAnsi" w:hAnsiTheme="minorHAnsi"/>
        </w:rPr>
      </w:pPr>
      <w:r w:rsidRPr="0069139C">
        <w:rPr>
          <w:rFonts w:asciiTheme="minorHAnsi" w:hAnsiTheme="minorHAnsi"/>
        </w:rPr>
        <w:t xml:space="preserve">Stifel, David and Luc Christiaensen.  2006.  Tracking poverty over time in the absence of </w:t>
      </w:r>
      <w:r w:rsidRPr="00B30983">
        <w:rPr>
          <w:rFonts w:asciiTheme="minorHAnsi" w:hAnsiTheme="minorHAnsi"/>
        </w:rPr>
        <w:t>comparable consumption data.  World Bank Policy Research Working Paper 3810.  Washington, D.C.:  World Bank.</w:t>
      </w:r>
    </w:p>
    <w:p w:rsidR="00B30983" w:rsidRPr="00215FF6" w:rsidRDefault="00B30983" w:rsidP="00B30983">
      <w:pPr>
        <w:autoSpaceDE w:val="0"/>
        <w:autoSpaceDN w:val="0"/>
        <w:adjustRightInd w:val="0"/>
        <w:spacing w:before="120" w:after="120"/>
        <w:rPr>
          <w:rFonts w:asciiTheme="minorHAnsi" w:hAnsiTheme="minorHAnsi"/>
        </w:rPr>
      </w:pPr>
      <w:r w:rsidRPr="00B30983">
        <w:rPr>
          <w:rFonts w:asciiTheme="minorHAnsi" w:hAnsiTheme="minorHAnsi"/>
        </w:rPr>
        <w:lastRenderedPageBreak/>
        <w:t xml:space="preserve">Johnston, D. and A. Abreu. 2013. Asset indices as a proxy for poverty measurement in African countries: A reassessment. Paper presented at the Conference on African Economic </w:t>
      </w:r>
      <w:r w:rsidRPr="00215FF6">
        <w:rPr>
          <w:rFonts w:asciiTheme="minorHAnsi" w:hAnsiTheme="minorHAnsi"/>
        </w:rPr>
        <w:t>Development: Measuring Success and Failure, School for International Studies, Simon Fraser University, Vancouver, Canada, 18 to 20 April 2013.</w:t>
      </w:r>
    </w:p>
    <w:p w:rsidR="00BF7737" w:rsidRDefault="00BF7737" w:rsidP="00215FF6">
      <w:pPr>
        <w:rPr>
          <w:rFonts w:asciiTheme="minorHAnsi" w:hAnsiTheme="minorHAnsi"/>
        </w:rPr>
      </w:pPr>
    </w:p>
    <w:p w:rsidR="00215FF6" w:rsidRPr="00215FF6" w:rsidRDefault="00215FF6" w:rsidP="00215FF6">
      <w:pPr>
        <w:rPr>
          <w:rFonts w:asciiTheme="minorHAnsi" w:hAnsiTheme="minorHAnsi"/>
        </w:rPr>
      </w:pPr>
      <w:r w:rsidRPr="00215FF6">
        <w:rPr>
          <w:rFonts w:asciiTheme="minorHAnsi" w:hAnsiTheme="minorHAnsi"/>
        </w:rPr>
        <w:t xml:space="preserve">Khandker, Shahidur R., Gayatri B. Koolwal and Hussain A. Samad. 2010.  </w:t>
      </w:r>
      <w:r w:rsidRPr="00215FF6">
        <w:rPr>
          <w:rFonts w:asciiTheme="minorHAnsi" w:hAnsiTheme="minorHAnsi"/>
          <w:i/>
        </w:rPr>
        <w:t>Handbook on impact evaluation:  quantitative methods and practices.</w:t>
      </w:r>
      <w:r w:rsidRPr="00215FF6">
        <w:rPr>
          <w:rFonts w:asciiTheme="minorHAnsi" w:hAnsiTheme="minorHAnsi"/>
        </w:rPr>
        <w:t xml:space="preserve">  The World Bank, Washington, D.C.</w:t>
      </w:r>
    </w:p>
    <w:p w:rsidR="00215FF6" w:rsidRPr="00215FF6" w:rsidRDefault="00215FF6" w:rsidP="00BB54DB">
      <w:pPr>
        <w:pStyle w:val="Default"/>
        <w:rPr>
          <w:rFonts w:asciiTheme="minorHAnsi" w:hAnsiTheme="minorHAnsi" w:cs="Verdana-BoldItalic"/>
          <w:bCs/>
          <w:iCs/>
        </w:rPr>
      </w:pPr>
    </w:p>
    <w:p w:rsidR="00BF7737" w:rsidRDefault="00BF7737" w:rsidP="00BB54DB">
      <w:pPr>
        <w:pStyle w:val="Default"/>
        <w:rPr>
          <w:rFonts w:asciiTheme="minorHAnsi" w:hAnsiTheme="minorHAnsi" w:cs="Verdana-BoldItalic"/>
          <w:bCs/>
          <w:iCs/>
        </w:rPr>
      </w:pPr>
    </w:p>
    <w:p w:rsidR="00E04367" w:rsidRDefault="00E04367" w:rsidP="00BB54DB">
      <w:pPr>
        <w:pStyle w:val="Default"/>
        <w:rPr>
          <w:rFonts w:asciiTheme="minorHAnsi" w:hAnsiTheme="minorHAnsi"/>
          <w:iCs/>
        </w:rPr>
      </w:pPr>
      <w:r w:rsidRPr="00215FF6">
        <w:rPr>
          <w:rFonts w:asciiTheme="minorHAnsi" w:hAnsiTheme="minorHAnsi" w:cs="Verdana-BoldItalic"/>
          <w:bCs/>
          <w:iCs/>
        </w:rPr>
        <w:t xml:space="preserve">Mably, </w:t>
      </w:r>
      <w:r w:rsidR="00BB54DB" w:rsidRPr="00215FF6">
        <w:rPr>
          <w:rFonts w:asciiTheme="minorHAnsi" w:hAnsiTheme="minorHAnsi"/>
        </w:rPr>
        <w:t xml:space="preserve">James, Jim Ohls, Lisa Dragoset, Laura Castner, and Betsy Santos. 2013.  </w:t>
      </w:r>
      <w:r w:rsidR="00BB54DB" w:rsidRPr="00215FF6">
        <w:rPr>
          <w:rFonts w:asciiTheme="minorHAnsi" w:hAnsiTheme="minorHAnsi"/>
          <w:i/>
          <w:iCs/>
        </w:rPr>
        <w:t xml:space="preserve">Measuring the </w:t>
      </w:r>
      <w:r w:rsidR="00BB54DB" w:rsidRPr="00BB54DB">
        <w:rPr>
          <w:rFonts w:asciiTheme="minorHAnsi" w:hAnsiTheme="minorHAnsi"/>
          <w:i/>
          <w:iCs/>
        </w:rPr>
        <w:t xml:space="preserve">Effect of Supplemental Nutrition Assistance Program (SNAP) Participation on Food Security.  </w:t>
      </w:r>
      <w:r w:rsidR="00BB54DB" w:rsidRPr="00BB54DB">
        <w:rPr>
          <w:rFonts w:asciiTheme="minorHAnsi" w:hAnsiTheme="minorHAnsi"/>
          <w:iCs/>
        </w:rPr>
        <w:t>United States Department of Agriculture, Food and Nutrition Service, Office of Policy Support.  Alexandria, VA.</w:t>
      </w:r>
    </w:p>
    <w:p w:rsidR="00BF7737" w:rsidRDefault="00BF7737" w:rsidP="00B218D4">
      <w:pPr>
        <w:spacing w:before="120" w:after="120"/>
        <w:rPr>
          <w:rFonts w:asciiTheme="minorHAnsi" w:eastAsia="Calibri" w:hAnsiTheme="minorHAnsi" w:cs="Calibri"/>
          <w:bCs/>
          <w:spacing w:val="-1"/>
          <w:lang w:val="en-GB"/>
        </w:rPr>
      </w:pPr>
    </w:p>
    <w:p w:rsidR="00B218D4" w:rsidRPr="0075431E" w:rsidRDefault="00B218D4" w:rsidP="00B218D4">
      <w:pPr>
        <w:spacing w:before="120" w:after="120"/>
        <w:rPr>
          <w:rFonts w:asciiTheme="minorHAnsi" w:eastAsia="Calibri" w:hAnsiTheme="minorHAnsi" w:cs="Calibri"/>
          <w:bCs/>
          <w:spacing w:val="-1"/>
          <w:lang w:val="en-GB"/>
        </w:rPr>
      </w:pPr>
      <w:r w:rsidRPr="00D10E95">
        <w:rPr>
          <w:rFonts w:asciiTheme="minorHAnsi" w:eastAsia="Calibri" w:hAnsiTheme="minorHAnsi" w:cs="Calibri"/>
          <w:bCs/>
          <w:spacing w:val="-1"/>
          <w:lang w:val="en-GB"/>
        </w:rPr>
        <w:t>PCBS. 2012.  Living standards in the Palestinian Territory:  exp</w:t>
      </w:r>
      <w:r>
        <w:rPr>
          <w:rFonts w:asciiTheme="minorHAnsi" w:eastAsia="Calibri" w:hAnsiTheme="minorHAnsi" w:cs="Calibri"/>
          <w:bCs/>
          <w:spacing w:val="-1"/>
          <w:lang w:val="en-GB"/>
        </w:rPr>
        <w:t xml:space="preserve">enditure, consumption, poverty, </w:t>
      </w:r>
      <w:r w:rsidRPr="00D10E95">
        <w:rPr>
          <w:rFonts w:asciiTheme="minorHAnsi" w:eastAsia="Calibri" w:hAnsiTheme="minorHAnsi" w:cs="Calibri"/>
          <w:bCs/>
          <w:spacing w:val="-1"/>
          <w:lang w:val="en-GB"/>
        </w:rPr>
        <w:t>2011.  Palestinian National Authority, Palestinian</w:t>
      </w:r>
      <w:r>
        <w:rPr>
          <w:rFonts w:ascii="Calibri" w:eastAsia="Calibri" w:hAnsi="Calibri" w:cs="Calibri"/>
          <w:bCs/>
          <w:spacing w:val="-1"/>
          <w:lang w:val="en-GB"/>
        </w:rPr>
        <w:t xml:space="preserve"> Central Bureau of Statistics, Ramallah.</w:t>
      </w:r>
    </w:p>
    <w:p w:rsidR="00BF7737" w:rsidRDefault="00BF7737" w:rsidP="00607295">
      <w:pPr>
        <w:autoSpaceDE w:val="0"/>
        <w:autoSpaceDN w:val="0"/>
        <w:adjustRightInd w:val="0"/>
        <w:spacing w:before="120" w:after="120"/>
        <w:rPr>
          <w:rFonts w:asciiTheme="minorHAnsi" w:hAnsiTheme="minorHAnsi" w:cs="Verdana-BoldItalic"/>
          <w:bCs/>
          <w:iCs/>
        </w:rPr>
      </w:pPr>
    </w:p>
    <w:p w:rsidR="00556EB1" w:rsidRPr="00BB54DB" w:rsidRDefault="00556EB1" w:rsidP="00607295">
      <w:pPr>
        <w:autoSpaceDE w:val="0"/>
        <w:autoSpaceDN w:val="0"/>
        <w:adjustRightInd w:val="0"/>
        <w:spacing w:before="120" w:after="120"/>
        <w:rPr>
          <w:rFonts w:asciiTheme="minorHAnsi" w:eastAsiaTheme="minorEastAsia" w:hAnsiTheme="minorHAnsi" w:cs="GillSans"/>
        </w:rPr>
      </w:pPr>
      <w:r w:rsidRPr="00556EB1">
        <w:rPr>
          <w:rFonts w:asciiTheme="minorHAnsi" w:hAnsiTheme="minorHAnsi" w:cs="Verdana-BoldItalic"/>
          <w:bCs/>
          <w:iCs/>
        </w:rPr>
        <w:t>Smith, Lisa C.,</w:t>
      </w:r>
      <w:r w:rsidRPr="00556EB1">
        <w:rPr>
          <w:rFonts w:asciiTheme="minorHAnsi" w:eastAsiaTheme="minorEastAsia" w:hAnsiTheme="minorHAnsi" w:cs="GillSans"/>
        </w:rPr>
        <w:t xml:space="preserve"> Tim Frankenberger, Ben Langworthy, Stephanie Martin, Tom Spangler, Suzanne </w:t>
      </w:r>
      <w:r w:rsidRPr="00BB54DB">
        <w:rPr>
          <w:rFonts w:asciiTheme="minorHAnsi" w:eastAsiaTheme="minorEastAsia" w:hAnsiTheme="minorHAnsi" w:cs="GillSans"/>
        </w:rPr>
        <w:t>Nelson, and Jeanne Downen for the Feed the Future FEEDBACK project.</w:t>
      </w:r>
      <w:r w:rsidR="00BB54DB" w:rsidRPr="00BB54DB">
        <w:rPr>
          <w:rFonts w:asciiTheme="minorHAnsi" w:eastAsiaTheme="minorEastAsia" w:hAnsiTheme="minorHAnsi" w:cs="GillSans"/>
        </w:rPr>
        <w:t xml:space="preserve">  2014.</w:t>
      </w:r>
      <w:r w:rsidRPr="00BB54DB">
        <w:rPr>
          <w:rFonts w:asciiTheme="minorHAnsi" w:eastAsiaTheme="minorEastAsia" w:hAnsiTheme="minorHAnsi" w:cs="GillSans"/>
        </w:rPr>
        <w:t xml:space="preserve">  “Ethiopia </w:t>
      </w:r>
      <w:r w:rsidRPr="00BB54DB">
        <w:rPr>
          <w:rFonts w:asciiTheme="minorHAnsi" w:hAnsiTheme="minorHAnsi"/>
        </w:rPr>
        <w:t xml:space="preserve">Pastoralist Areas Resilience Improvement and Market Expansion (PRIME) Project Impact Evaluation.” (Under review </w:t>
      </w:r>
      <w:r w:rsidRPr="00BB54DB">
        <w:rPr>
          <w:rFonts w:asciiTheme="minorHAnsi" w:eastAsiaTheme="minorEastAsia" w:hAnsiTheme="minorHAnsi" w:cs="GillSans"/>
        </w:rPr>
        <w:t xml:space="preserve">by the United States Agency for International Development. </w:t>
      </w:r>
    </w:p>
    <w:p w:rsidR="00BF7737" w:rsidRDefault="00BF7737" w:rsidP="00BB54DB">
      <w:pPr>
        <w:rPr>
          <w:rFonts w:asciiTheme="minorHAnsi" w:hAnsiTheme="minorHAnsi"/>
        </w:rPr>
      </w:pPr>
    </w:p>
    <w:p w:rsidR="00BB54DB" w:rsidRPr="00BB54DB" w:rsidRDefault="00BB54DB" w:rsidP="00BB54DB">
      <w:pPr>
        <w:rPr>
          <w:rFonts w:asciiTheme="minorHAnsi" w:hAnsiTheme="minorHAnsi"/>
          <w:i/>
        </w:rPr>
      </w:pPr>
      <w:r w:rsidRPr="00BB54DB">
        <w:rPr>
          <w:rFonts w:asciiTheme="minorHAnsi" w:hAnsiTheme="minorHAnsi"/>
        </w:rPr>
        <w:t xml:space="preserve">Smith, Lisa C., Faheem Khan, Timothy R. Frankenberger and AKM Abdul Wadud.  2013.   Admissible evidence in the court of development evaluation?   The impact of CARE’s SHOUHARDO project on child stunting in Bangladesh.  </w:t>
      </w:r>
      <w:r w:rsidRPr="00BB54DB">
        <w:rPr>
          <w:rFonts w:asciiTheme="minorHAnsi" w:hAnsiTheme="minorHAnsi"/>
          <w:i/>
        </w:rPr>
        <w:t xml:space="preserve">World Development </w:t>
      </w:r>
      <w:r w:rsidRPr="00BB54DB">
        <w:rPr>
          <w:rFonts w:asciiTheme="minorHAnsi" w:hAnsiTheme="minorHAnsi"/>
        </w:rPr>
        <w:t xml:space="preserve">(41): 196-216.  </w:t>
      </w:r>
    </w:p>
    <w:p w:rsidR="00BF7737" w:rsidRDefault="00BF7737" w:rsidP="00607295">
      <w:pPr>
        <w:autoSpaceDE w:val="0"/>
        <w:autoSpaceDN w:val="0"/>
        <w:adjustRightInd w:val="0"/>
        <w:spacing w:before="120" w:after="120"/>
        <w:rPr>
          <w:rFonts w:asciiTheme="minorHAnsi" w:hAnsiTheme="minorHAnsi" w:cs="Verdana-BoldItalic"/>
          <w:bCs/>
          <w:iCs/>
        </w:rPr>
      </w:pPr>
    </w:p>
    <w:p w:rsidR="00607295" w:rsidRDefault="00607295" w:rsidP="00607295">
      <w:pPr>
        <w:autoSpaceDE w:val="0"/>
        <w:autoSpaceDN w:val="0"/>
        <w:adjustRightInd w:val="0"/>
        <w:spacing w:before="120" w:after="120"/>
        <w:rPr>
          <w:rFonts w:asciiTheme="minorHAnsi" w:hAnsiTheme="minorHAnsi" w:cs="Verdana"/>
        </w:rPr>
      </w:pPr>
      <w:r w:rsidRPr="00BB54DB">
        <w:rPr>
          <w:rFonts w:asciiTheme="minorHAnsi" w:hAnsiTheme="minorHAnsi" w:cs="Verdana-BoldItalic"/>
          <w:bCs/>
          <w:iCs/>
        </w:rPr>
        <w:t xml:space="preserve">WFP. 2008. Food consumption analysis: </w:t>
      </w:r>
      <w:r w:rsidRPr="00BB54DB">
        <w:rPr>
          <w:rFonts w:asciiTheme="minorHAnsi" w:hAnsiTheme="minorHAnsi" w:cs="Verdana-Bold"/>
          <w:bCs/>
        </w:rPr>
        <w:t xml:space="preserve">Calculation and use of the food consumption score in food security analysis.  </w:t>
      </w:r>
      <w:r w:rsidRPr="00BB54DB">
        <w:rPr>
          <w:rFonts w:asciiTheme="minorHAnsi" w:hAnsiTheme="minorHAnsi" w:cs="Verdana"/>
        </w:rPr>
        <w:t xml:space="preserve">Prepared by VAM unit HQ Rome. Version 1. February 2008.  World Food </w:t>
      </w:r>
      <w:r>
        <w:rPr>
          <w:rFonts w:asciiTheme="minorHAnsi" w:hAnsiTheme="minorHAnsi" w:cs="Verdana"/>
        </w:rPr>
        <w:t>Programme, Rome.</w:t>
      </w:r>
    </w:p>
    <w:p w:rsidR="00BF7737" w:rsidRDefault="00BF7737" w:rsidP="00607295">
      <w:pPr>
        <w:autoSpaceDE w:val="0"/>
        <w:autoSpaceDN w:val="0"/>
        <w:adjustRightInd w:val="0"/>
        <w:spacing w:before="120" w:after="120"/>
        <w:rPr>
          <w:rFonts w:asciiTheme="minorHAnsi" w:hAnsiTheme="minorHAnsi" w:cs="Verdana"/>
        </w:rPr>
      </w:pPr>
    </w:p>
    <w:p w:rsidR="000A052A" w:rsidRDefault="000A052A" w:rsidP="00607295">
      <w:pPr>
        <w:autoSpaceDE w:val="0"/>
        <w:autoSpaceDN w:val="0"/>
        <w:adjustRightInd w:val="0"/>
        <w:spacing w:before="120" w:after="120"/>
        <w:rPr>
          <w:rFonts w:asciiTheme="minorHAnsi" w:hAnsiTheme="minorHAnsi" w:cs="Verdana"/>
        </w:rPr>
      </w:pPr>
      <w:r>
        <w:rPr>
          <w:rFonts w:asciiTheme="minorHAnsi" w:hAnsiTheme="minorHAnsi" w:cs="Verdana"/>
        </w:rPr>
        <w:t>World Bank.  2014.   What is impact evaluation?   World Bank, Washington, D.C.</w:t>
      </w:r>
      <w:r w:rsidR="00BF7737">
        <w:rPr>
          <w:rFonts w:asciiTheme="minorHAnsi" w:hAnsiTheme="minorHAnsi" w:cs="Verdana"/>
        </w:rPr>
        <w:t xml:space="preserve"> </w:t>
      </w:r>
      <w:r w:rsidRPr="000A052A">
        <w:rPr>
          <w:rFonts w:asciiTheme="minorHAnsi" w:hAnsiTheme="minorHAnsi" w:cs="Verdana"/>
        </w:rPr>
        <w:t>http://web.worldbank.org/WBSITE/EXTERNAL/TOPICS/EXTPOVERTY/EXTISPMA/0,,menuPK:384339~pagePK:162100~piPK:159310~theSitePK:384329,00.html</w:t>
      </w:r>
    </w:p>
    <w:p w:rsidR="00B30983" w:rsidRPr="00636DF4" w:rsidRDefault="00B30983">
      <w:pPr>
        <w:rPr>
          <w:rFonts w:asciiTheme="majorHAnsi" w:hAnsiTheme="majorHAnsi"/>
        </w:rPr>
      </w:pPr>
      <w:bookmarkStart w:id="41" w:name="_GoBack"/>
      <w:bookmarkEnd w:id="41"/>
    </w:p>
    <w:sectPr w:rsidR="00B30983" w:rsidRPr="00636DF4" w:rsidSect="00465A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869" w:rsidRDefault="00494869" w:rsidP="00C76CC2">
      <w:r>
        <w:separator/>
      </w:r>
    </w:p>
  </w:endnote>
  <w:endnote w:type="continuationSeparator" w:id="0">
    <w:p w:rsidR="00494869" w:rsidRDefault="00494869" w:rsidP="00C76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Verdana-BoldItalic">
    <w:panose1 w:val="00000000000000000000"/>
    <w:charset w:val="00"/>
    <w:family w:val="swiss"/>
    <w:notTrueType/>
    <w:pitch w:val="default"/>
    <w:sig w:usb0="00000003" w:usb1="00000000" w:usb2="00000000" w:usb3="00000000" w:csb0="00000001" w:csb1="00000000"/>
  </w:font>
  <w:font w:name="GillSans">
    <w:altName w:val="Gill San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Verdana-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4422617"/>
      <w:docPartObj>
        <w:docPartGallery w:val="Page Numbers (Bottom of Page)"/>
        <w:docPartUnique/>
      </w:docPartObj>
    </w:sdtPr>
    <w:sdtEndPr>
      <w:rPr>
        <w:rFonts w:asciiTheme="minorHAnsi" w:hAnsiTheme="minorHAnsi"/>
        <w:noProof/>
        <w:sz w:val="22"/>
        <w:szCs w:val="22"/>
      </w:rPr>
    </w:sdtEndPr>
    <w:sdtContent>
      <w:p w:rsidR="00E212DD" w:rsidRPr="00874196" w:rsidRDefault="00E212DD">
        <w:pPr>
          <w:pStyle w:val="Footer"/>
          <w:jc w:val="center"/>
          <w:rPr>
            <w:rFonts w:asciiTheme="minorHAnsi" w:hAnsiTheme="minorHAnsi"/>
            <w:sz w:val="22"/>
            <w:szCs w:val="22"/>
          </w:rPr>
        </w:pPr>
        <w:r w:rsidRPr="006A2636">
          <w:rPr>
            <w:rFonts w:asciiTheme="minorHAnsi" w:hAnsiTheme="minorHAnsi"/>
            <w:sz w:val="22"/>
            <w:szCs w:val="22"/>
          </w:rPr>
          <w:fldChar w:fldCharType="begin"/>
        </w:r>
        <w:r w:rsidRPr="006A2636">
          <w:rPr>
            <w:rFonts w:asciiTheme="minorHAnsi" w:hAnsiTheme="minorHAnsi"/>
            <w:sz w:val="22"/>
            <w:szCs w:val="22"/>
          </w:rPr>
          <w:instrText xml:space="preserve"> PAGE   \* MERGEFORMAT </w:instrText>
        </w:r>
        <w:r w:rsidRPr="006A2636">
          <w:rPr>
            <w:rFonts w:asciiTheme="minorHAnsi" w:hAnsiTheme="minorHAnsi"/>
            <w:sz w:val="22"/>
            <w:szCs w:val="22"/>
          </w:rPr>
          <w:fldChar w:fldCharType="separate"/>
        </w:r>
        <w:r w:rsidR="0014258E">
          <w:rPr>
            <w:rFonts w:asciiTheme="minorHAnsi" w:hAnsiTheme="minorHAnsi"/>
            <w:noProof/>
            <w:sz w:val="22"/>
            <w:szCs w:val="22"/>
          </w:rPr>
          <w:t>41</w:t>
        </w:r>
        <w:r w:rsidRPr="006A2636">
          <w:rPr>
            <w:rFonts w:asciiTheme="minorHAnsi" w:hAnsiTheme="minorHAnsi"/>
            <w:noProof/>
            <w:sz w:val="22"/>
            <w:szCs w:val="22"/>
          </w:rPr>
          <w:fldChar w:fldCharType="end"/>
        </w:r>
      </w:p>
    </w:sdtContent>
  </w:sdt>
  <w:p w:rsidR="00E212DD" w:rsidRDefault="00E212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869" w:rsidRDefault="00494869" w:rsidP="00C76CC2">
      <w:r>
        <w:separator/>
      </w:r>
    </w:p>
  </w:footnote>
  <w:footnote w:type="continuationSeparator" w:id="0">
    <w:p w:rsidR="00494869" w:rsidRDefault="00494869" w:rsidP="00C76CC2">
      <w:r>
        <w:continuationSeparator/>
      </w:r>
    </w:p>
  </w:footnote>
  <w:footnote w:id="1">
    <w:p w:rsidR="00E212DD" w:rsidRPr="00B02B95" w:rsidRDefault="00E212DD">
      <w:pPr>
        <w:pStyle w:val="FootnoteText"/>
        <w:rPr>
          <w:rFonts w:asciiTheme="minorHAnsi" w:hAnsiTheme="minorHAnsi"/>
        </w:rPr>
      </w:pPr>
      <w:r w:rsidRPr="00B02B95">
        <w:rPr>
          <w:rStyle w:val="FootnoteReference"/>
          <w:rFonts w:asciiTheme="minorHAnsi" w:hAnsiTheme="minorHAnsi"/>
        </w:rPr>
        <w:footnoteRef/>
      </w:r>
      <w:r w:rsidRPr="00B02B95">
        <w:rPr>
          <w:rFonts w:asciiTheme="minorHAnsi" w:hAnsiTheme="minorHAnsi"/>
        </w:rPr>
        <w:t xml:space="preserve"> “Real” expenditures are total expenditures adjusted for spatial price differences so that they reflect differences in purchasing power between the West Bank, Gaza and Jerusalem (J1).  </w:t>
      </w:r>
    </w:p>
  </w:footnote>
  <w:footnote w:id="2">
    <w:p w:rsidR="00E212DD" w:rsidRPr="00B02B95" w:rsidRDefault="00E212DD">
      <w:pPr>
        <w:pStyle w:val="FootnoteText"/>
        <w:rPr>
          <w:rFonts w:asciiTheme="minorHAnsi" w:hAnsiTheme="minorHAnsi"/>
        </w:rPr>
      </w:pPr>
      <w:r w:rsidRPr="00B02B95">
        <w:rPr>
          <w:rStyle w:val="FootnoteReference"/>
          <w:rFonts w:asciiTheme="minorHAnsi" w:hAnsiTheme="minorHAnsi"/>
        </w:rPr>
        <w:footnoteRef/>
      </w:r>
      <w:r w:rsidRPr="00B02B95">
        <w:rPr>
          <w:rFonts w:asciiTheme="minorHAnsi" w:hAnsiTheme="minorHAnsi"/>
        </w:rPr>
        <w:t xml:space="preserve"> The log of total expenditures is employed so that the dependent variable will have a normally-shaped distribution for the regression analysis (rather than log-normal).</w:t>
      </w:r>
    </w:p>
  </w:footnote>
  <w:footnote w:id="3">
    <w:p w:rsidR="00E212DD" w:rsidRPr="005E68D1" w:rsidRDefault="00E212DD">
      <w:pPr>
        <w:pStyle w:val="FootnoteText"/>
        <w:rPr>
          <w:rFonts w:asciiTheme="minorHAnsi" w:hAnsiTheme="minorHAnsi"/>
          <w:sz w:val="18"/>
          <w:szCs w:val="18"/>
        </w:rPr>
      </w:pPr>
      <w:r w:rsidRPr="005E68D1">
        <w:rPr>
          <w:rStyle w:val="FootnoteReference"/>
          <w:rFonts w:asciiTheme="minorHAnsi" w:hAnsiTheme="minorHAnsi"/>
          <w:sz w:val="18"/>
          <w:szCs w:val="18"/>
        </w:rPr>
        <w:footnoteRef/>
      </w:r>
      <w:r w:rsidRPr="005E68D1">
        <w:rPr>
          <w:rFonts w:asciiTheme="minorHAnsi" w:hAnsiTheme="minorHAnsi"/>
          <w:sz w:val="18"/>
          <w:szCs w:val="18"/>
        </w:rPr>
        <w:t xml:space="preserve"> Only two regression coefficients differ by more than 50 percent (but less than 100%) between any two years.  These are those for central heating between 2010 and 2011 and “refugee household” between 2009 and 2010.</w:t>
      </w:r>
    </w:p>
  </w:footnote>
  <w:footnote w:id="4">
    <w:p w:rsidR="00E212DD" w:rsidRPr="00DF1F96" w:rsidRDefault="00E212DD" w:rsidP="002165AD">
      <w:pPr>
        <w:pStyle w:val="FootnoteText"/>
        <w:rPr>
          <w:rFonts w:asciiTheme="minorHAnsi" w:hAnsiTheme="minorHAnsi"/>
        </w:rPr>
      </w:pPr>
      <w:r w:rsidRPr="00DF1F96">
        <w:rPr>
          <w:rStyle w:val="FootnoteReference"/>
          <w:rFonts w:asciiTheme="minorHAnsi" w:hAnsiTheme="minorHAnsi"/>
        </w:rPr>
        <w:footnoteRef/>
      </w:r>
      <w:r w:rsidRPr="00DF1F96">
        <w:rPr>
          <w:rFonts w:asciiTheme="minorHAnsi" w:hAnsiTheme="minorHAnsi"/>
        </w:rPr>
        <w:t xml:space="preserve"> Using 2011 PECS data, the lowest poverty rate possible (</w:t>
      </w:r>
      <w:r>
        <w:rPr>
          <w:rFonts w:asciiTheme="minorHAnsi" w:hAnsiTheme="minorHAnsi"/>
        </w:rPr>
        <w:t xml:space="preserve">based on </w:t>
      </w:r>
      <w:r w:rsidRPr="00DF1F96">
        <w:rPr>
          <w:rFonts w:asciiTheme="minorHAnsi" w:hAnsiTheme="minorHAnsi"/>
        </w:rPr>
        <w:t xml:space="preserve">the lowest possible value of the index as the poverty line) yields a poverty prevalence of 24.7 percent, which is higher than the </w:t>
      </w:r>
      <w:r>
        <w:rPr>
          <w:rFonts w:asciiTheme="minorHAnsi" w:hAnsiTheme="minorHAnsi"/>
        </w:rPr>
        <w:t xml:space="preserve">prevalence calculated using the </w:t>
      </w:r>
      <w:r w:rsidRPr="00DF1F96">
        <w:rPr>
          <w:rFonts w:asciiTheme="minorHAnsi" w:hAnsiTheme="minorHAnsi"/>
        </w:rPr>
        <w:t xml:space="preserve">national poverty </w:t>
      </w:r>
      <w:r>
        <w:rPr>
          <w:rFonts w:asciiTheme="minorHAnsi" w:hAnsiTheme="minorHAnsi"/>
        </w:rPr>
        <w:t>line</w:t>
      </w:r>
      <w:r w:rsidRPr="00DF1F96">
        <w:rPr>
          <w:rFonts w:asciiTheme="minorHAnsi" w:hAnsiTheme="minorHAnsi"/>
        </w:rPr>
        <w:t xml:space="preserve"> (see Table 2.1).</w:t>
      </w:r>
    </w:p>
  </w:footnote>
  <w:footnote w:id="5">
    <w:p w:rsidR="00E212DD" w:rsidRPr="00DF1F96" w:rsidRDefault="00E212DD" w:rsidP="00A043E7">
      <w:pPr>
        <w:pStyle w:val="FootnoteText"/>
        <w:rPr>
          <w:rFonts w:asciiTheme="minorHAnsi" w:hAnsiTheme="minorHAnsi"/>
        </w:rPr>
      </w:pPr>
      <w:r w:rsidRPr="00DF1F96">
        <w:rPr>
          <w:rStyle w:val="FootnoteReference"/>
          <w:rFonts w:asciiTheme="minorHAnsi" w:hAnsiTheme="minorHAnsi"/>
        </w:rPr>
        <w:footnoteRef/>
      </w:r>
      <w:r w:rsidRPr="00DF1F96">
        <w:rPr>
          <w:rFonts w:asciiTheme="minorHAnsi" w:hAnsiTheme="minorHAnsi"/>
        </w:rPr>
        <w:t xml:space="preserve">  For all three indexes the poverty lines yield poverty estimates that are within 0.7 percentage-points of the actual poverty prevalence. </w:t>
      </w:r>
    </w:p>
  </w:footnote>
  <w:footnote w:id="6">
    <w:p w:rsidR="00E212DD" w:rsidRDefault="00E212DD">
      <w:pPr>
        <w:pStyle w:val="FootnoteText"/>
      </w:pPr>
      <w:r>
        <w:rPr>
          <w:rStyle w:val="FootnoteReference"/>
        </w:rPr>
        <w:footnoteRef/>
      </w:r>
      <w:r>
        <w:t xml:space="preserve"> </w:t>
      </w:r>
      <w:r w:rsidRPr="00236F24">
        <w:rPr>
          <w:rFonts w:asciiTheme="minorHAnsi" w:hAnsiTheme="minorHAnsi"/>
        </w:rPr>
        <w:t>FSIN (2014).</w:t>
      </w:r>
    </w:p>
  </w:footnote>
  <w:footnote w:id="7">
    <w:p w:rsidR="00E212DD" w:rsidRPr="00236F24" w:rsidRDefault="00E212DD">
      <w:pPr>
        <w:pStyle w:val="FootnoteText"/>
        <w:rPr>
          <w:rFonts w:asciiTheme="minorHAnsi" w:hAnsiTheme="minorHAnsi"/>
        </w:rPr>
      </w:pPr>
      <w:r w:rsidRPr="00236F24">
        <w:rPr>
          <w:rStyle w:val="FootnoteReference"/>
          <w:rFonts w:asciiTheme="minorHAnsi" w:hAnsiTheme="minorHAnsi"/>
        </w:rPr>
        <w:footnoteRef/>
      </w:r>
      <w:r w:rsidRPr="00236F24">
        <w:rPr>
          <w:rFonts w:asciiTheme="minorHAnsi" w:hAnsiTheme="minorHAnsi"/>
        </w:rPr>
        <w:t xml:space="preserve"> Béné</w:t>
      </w:r>
      <w:r w:rsidRPr="00236F24">
        <w:rPr>
          <w:rFonts w:asciiTheme="minorHAnsi" w:hAnsiTheme="minorHAnsi" w:cstheme="minorHAnsi"/>
        </w:rPr>
        <w:t>, Wood, Newsham and Davies (2012).</w:t>
      </w:r>
      <w:r>
        <w:rPr>
          <w:rFonts w:asciiTheme="minorHAnsi" w:hAnsiTheme="minorHAnsi" w:cstheme="minorHAnsi"/>
        </w:rPr>
        <w:t xml:space="preserve">   Absorptive capacity is the ability to minimize exposure to shocks and stress (ex ante) where possible and to recover quickly when exposed (ex post).   Transformative capacity relates to governance mechanisms, policies/regulations, infrastructure, community networks, and formal safety nets that are part of the wider system in which households and communities are embedded.  It refers to system-level changes that enable more lasting resilience (Smith et al. 2014).</w:t>
      </w:r>
    </w:p>
  </w:footnote>
  <w:footnote w:id="8">
    <w:p w:rsidR="00E212DD" w:rsidRDefault="00E212DD" w:rsidP="0098190D">
      <w:pPr>
        <w:spacing w:after="200"/>
      </w:pPr>
      <w:r w:rsidRPr="00223B74">
        <w:rPr>
          <w:rStyle w:val="FootnoteReference"/>
          <w:rFonts w:asciiTheme="minorHAnsi" w:hAnsiTheme="minorHAnsi"/>
          <w:sz w:val="20"/>
          <w:szCs w:val="20"/>
        </w:rPr>
        <w:footnoteRef/>
      </w:r>
      <w:r w:rsidRPr="00223B74">
        <w:rPr>
          <w:rFonts w:asciiTheme="minorHAnsi" w:hAnsiTheme="minorHAnsi"/>
          <w:sz w:val="20"/>
          <w:szCs w:val="20"/>
        </w:rPr>
        <w:t xml:space="preserve"> </w:t>
      </w:r>
      <w:r>
        <w:rPr>
          <w:rFonts w:asciiTheme="minorHAnsi" w:hAnsiTheme="minorHAnsi"/>
          <w:sz w:val="20"/>
          <w:szCs w:val="20"/>
        </w:rPr>
        <w:t>Note that t</w:t>
      </w:r>
      <w:r w:rsidRPr="00223B74">
        <w:rPr>
          <w:rFonts w:asciiTheme="minorHAnsi" w:hAnsiTheme="minorHAnsi"/>
          <w:sz w:val="20"/>
          <w:szCs w:val="20"/>
        </w:rPr>
        <w:t>hree other indicators of resilience capacity are available in the SEFSec surveys but not used to calculate the index:  The first is “Absence of movement restrictions” based on the data in Section 9 of the survey (“Mobility and access to basic services”).  This indicator was not included because it correlates negatively with almost all of the other indicators and enters negatively into the PCA index.  The second, “Whether any household member has health insurance” was not included for the same reasons and, additionally, because it is an indicator of “absorptive capacity” rather than adaptive capacity.   The third is “Access to public services”.  In addition to having a negative factor loading in the PCA index, this is an indicator of “transformative” rather than adaptive capacity.</w:t>
      </w:r>
    </w:p>
  </w:footnote>
  <w:footnote w:id="9">
    <w:p w:rsidR="00E212DD" w:rsidRPr="00F72B83" w:rsidRDefault="00E212DD">
      <w:pPr>
        <w:pStyle w:val="FootnoteText"/>
        <w:rPr>
          <w:rFonts w:asciiTheme="minorHAnsi" w:hAnsiTheme="minorHAnsi"/>
        </w:rPr>
      </w:pPr>
      <w:r w:rsidRPr="00223B74">
        <w:rPr>
          <w:rStyle w:val="FootnoteReference"/>
          <w:rFonts w:asciiTheme="minorHAnsi" w:hAnsiTheme="minorHAnsi"/>
        </w:rPr>
        <w:footnoteRef/>
      </w:r>
      <w:r w:rsidRPr="00223B74">
        <w:rPr>
          <w:rFonts w:asciiTheme="minorHAnsi" w:hAnsiTheme="minorHAnsi"/>
        </w:rPr>
        <w:t xml:space="preserve"> The Phase I index included</w:t>
      </w:r>
      <w:r>
        <w:rPr>
          <w:rFonts w:asciiTheme="minorHAnsi" w:hAnsiTheme="minorHAnsi"/>
        </w:rPr>
        <w:t xml:space="preserve"> an indicator of “</w:t>
      </w:r>
      <w:r w:rsidRPr="00223B74">
        <w:rPr>
          <w:rFonts w:asciiTheme="minorHAnsi" w:hAnsiTheme="minorHAnsi"/>
        </w:rPr>
        <w:t>Access to Public Services</w:t>
      </w:r>
      <w:r>
        <w:rPr>
          <w:rFonts w:asciiTheme="minorHAnsi" w:hAnsiTheme="minorHAnsi"/>
        </w:rPr>
        <w:t>”</w:t>
      </w:r>
      <w:r w:rsidRPr="00223B74">
        <w:rPr>
          <w:rFonts w:asciiTheme="minorHAnsi" w:hAnsiTheme="minorHAnsi"/>
        </w:rPr>
        <w:t xml:space="preserve"> even though its scoring coefficient was negligible.</w:t>
      </w:r>
    </w:p>
  </w:footnote>
  <w:footnote w:id="10">
    <w:p w:rsidR="00E212DD" w:rsidRDefault="00E212DD">
      <w:pPr>
        <w:pStyle w:val="FootnoteText"/>
      </w:pPr>
      <w:r w:rsidRPr="00F72B83">
        <w:rPr>
          <w:rStyle w:val="FootnoteReference"/>
          <w:rFonts w:asciiTheme="minorHAnsi" w:hAnsiTheme="minorHAnsi"/>
        </w:rPr>
        <w:footnoteRef/>
      </w:r>
      <w:r w:rsidRPr="00F72B83">
        <w:rPr>
          <w:rFonts w:asciiTheme="minorHAnsi" w:hAnsiTheme="minorHAnsi"/>
        </w:rPr>
        <w:t xml:space="preserve">  Specifically, there is little different in “Disability status” between the medium and high groups and in the percent of working-age members and income diversity between the low and medium groups.</w:t>
      </w:r>
    </w:p>
  </w:footnote>
  <w:footnote w:id="11">
    <w:p w:rsidR="00E212DD" w:rsidRPr="009A0A04" w:rsidRDefault="00E212DD">
      <w:pPr>
        <w:pStyle w:val="FootnoteText"/>
        <w:rPr>
          <w:rFonts w:asciiTheme="minorHAnsi" w:hAnsiTheme="minorHAnsi"/>
        </w:rPr>
      </w:pPr>
      <w:r w:rsidRPr="009A0A04">
        <w:rPr>
          <w:rStyle w:val="FootnoteReference"/>
          <w:rFonts w:asciiTheme="minorHAnsi" w:hAnsiTheme="minorHAnsi"/>
        </w:rPr>
        <w:footnoteRef/>
      </w:r>
      <w:r w:rsidRPr="009A0A04">
        <w:rPr>
          <w:rFonts w:asciiTheme="minorHAnsi" w:hAnsiTheme="minorHAnsi"/>
        </w:rPr>
        <w:t xml:space="preserve"> The techniques are discussed in detail in Khandker, Koolwal and Samad(2010).</w:t>
      </w:r>
    </w:p>
  </w:footnote>
  <w:footnote w:id="12">
    <w:p w:rsidR="00E212DD" w:rsidRPr="00320102" w:rsidRDefault="00E212DD">
      <w:pPr>
        <w:pStyle w:val="FootnoteText"/>
        <w:rPr>
          <w:rFonts w:asciiTheme="minorHAnsi" w:hAnsiTheme="minorHAnsi"/>
        </w:rPr>
      </w:pPr>
      <w:r w:rsidRPr="00320102">
        <w:rPr>
          <w:rStyle w:val="FootnoteReference"/>
          <w:rFonts w:asciiTheme="minorHAnsi" w:hAnsiTheme="minorHAnsi"/>
        </w:rPr>
        <w:footnoteRef/>
      </w:r>
      <w:r w:rsidRPr="00320102">
        <w:rPr>
          <w:rFonts w:asciiTheme="minorHAnsi" w:hAnsiTheme="minorHAnsi"/>
        </w:rPr>
        <w:t xml:space="preserve"> A concern is whether there are sufficient non-participating households who have similar characteristics to participating households.   To have similar characteristics they would have to be eligible to participate in the assistance programs but still not participate.</w:t>
      </w:r>
    </w:p>
  </w:footnote>
  <w:footnote w:id="13">
    <w:p w:rsidR="00E212DD" w:rsidRPr="00B218D4" w:rsidRDefault="00E212DD">
      <w:pPr>
        <w:pStyle w:val="FootnoteText"/>
        <w:rPr>
          <w:rFonts w:asciiTheme="minorHAnsi" w:hAnsiTheme="minorHAnsi"/>
        </w:rPr>
      </w:pPr>
      <w:r w:rsidRPr="00B218D4">
        <w:rPr>
          <w:rStyle w:val="FootnoteReference"/>
          <w:rFonts w:asciiTheme="minorHAnsi" w:hAnsiTheme="minorHAnsi"/>
        </w:rPr>
        <w:footnoteRef/>
      </w:r>
      <w:r w:rsidRPr="00B218D4">
        <w:rPr>
          <w:rFonts w:asciiTheme="minorHAnsi" w:hAnsiTheme="minorHAnsi"/>
        </w:rPr>
        <w:t xml:space="preserve"> “Social protection” is also possibly not represented.</w:t>
      </w:r>
    </w:p>
  </w:footnote>
  <w:footnote w:id="14">
    <w:p w:rsidR="00E212DD" w:rsidRDefault="00E212DD">
      <w:pPr>
        <w:pStyle w:val="FootnoteText"/>
      </w:pPr>
      <w:r w:rsidRPr="00B218D4">
        <w:rPr>
          <w:rStyle w:val="FootnoteReference"/>
          <w:rFonts w:asciiTheme="minorHAnsi" w:hAnsiTheme="minorHAnsi"/>
        </w:rPr>
        <w:footnoteRef/>
      </w:r>
      <w:r w:rsidRPr="00B218D4">
        <w:rPr>
          <w:rFonts w:asciiTheme="minorHAnsi" w:hAnsiTheme="minorHAnsi"/>
        </w:rPr>
        <w:t xml:space="preserve"> The number of non-food items is an approximation—it is not clear from the PECS survey documentation which exact non-food expenditure items are included in and excluded from </w:t>
      </w:r>
      <w:r>
        <w:rPr>
          <w:rFonts w:asciiTheme="minorHAnsi" w:hAnsiTheme="minorHAnsi"/>
        </w:rPr>
        <w:t xml:space="preserve">the calculation of </w:t>
      </w:r>
      <w:r w:rsidRPr="00B218D4">
        <w:rPr>
          <w:rFonts w:asciiTheme="minorHAnsi" w:hAnsiTheme="minorHAnsi"/>
        </w:rPr>
        <w:t>“total consumption” (see Table 2.1 in PCBS 2012).</w:t>
      </w:r>
    </w:p>
  </w:footnote>
  <w:footnote w:id="15">
    <w:p w:rsidR="00E212DD" w:rsidRPr="00C1163F" w:rsidRDefault="00E212DD">
      <w:pPr>
        <w:pStyle w:val="FootnoteText"/>
        <w:rPr>
          <w:rFonts w:asciiTheme="minorHAnsi" w:hAnsiTheme="minorHAnsi"/>
        </w:rPr>
      </w:pPr>
      <w:r w:rsidRPr="00C1163F">
        <w:rPr>
          <w:rStyle w:val="FootnoteReference"/>
          <w:rFonts w:asciiTheme="minorHAnsi" w:hAnsiTheme="minorHAnsi"/>
        </w:rPr>
        <w:footnoteRef/>
      </w:r>
      <w:r w:rsidRPr="00C1163F">
        <w:rPr>
          <w:rFonts w:asciiTheme="minorHAnsi" w:hAnsiTheme="minorHAnsi"/>
        </w:rPr>
        <w:t xml:space="preserve"> The number of food items is from Smith et al. (2013) and refers on</w:t>
      </w:r>
      <w:r w:rsidR="00A75685">
        <w:rPr>
          <w:rFonts w:asciiTheme="minorHAnsi" w:hAnsiTheme="minorHAnsi"/>
        </w:rPr>
        <w:t>ly</w:t>
      </w:r>
      <w:r w:rsidRPr="00C1163F">
        <w:rPr>
          <w:rFonts w:asciiTheme="minorHAnsi" w:hAnsiTheme="minorHAnsi"/>
        </w:rPr>
        <w:t xml:space="preserve"> to interview (versus diary) surveys; the number of non-food items </w:t>
      </w:r>
      <w:r w:rsidR="00874196">
        <w:rPr>
          <w:rFonts w:asciiTheme="minorHAnsi" w:hAnsiTheme="minorHAnsi"/>
        </w:rPr>
        <w:t xml:space="preserve">is </w:t>
      </w:r>
      <w:r w:rsidRPr="00C1163F">
        <w:rPr>
          <w:rFonts w:asciiTheme="minorHAnsi" w:hAnsiTheme="minorHAnsi"/>
        </w:rPr>
        <w:t>from Beegle et al. (2011) and refers to Living Standards Measurement Surveys.</w:t>
      </w:r>
    </w:p>
  </w:footnote>
  <w:footnote w:id="16">
    <w:p w:rsidR="00A75685" w:rsidRPr="00A75685" w:rsidRDefault="00A75685" w:rsidP="00A75685">
      <w:pPr>
        <w:rPr>
          <w:rFonts w:asciiTheme="minorHAnsi" w:hAnsiTheme="minorHAnsi"/>
          <w:color w:val="000000"/>
          <w:sz w:val="20"/>
          <w:szCs w:val="20"/>
        </w:rPr>
      </w:pPr>
      <w:r w:rsidRPr="00A75685">
        <w:rPr>
          <w:rStyle w:val="FootnoteReference"/>
          <w:rFonts w:asciiTheme="minorHAnsi" w:hAnsiTheme="minorHAnsi"/>
          <w:sz w:val="20"/>
          <w:szCs w:val="20"/>
        </w:rPr>
        <w:footnoteRef/>
      </w:r>
      <w:r w:rsidRPr="00A75685">
        <w:rPr>
          <w:rFonts w:asciiTheme="minorHAnsi" w:hAnsiTheme="minorHAnsi"/>
          <w:sz w:val="20"/>
          <w:szCs w:val="20"/>
        </w:rPr>
        <w:t xml:space="preserve"> </w:t>
      </w:r>
      <w:r w:rsidRPr="00A75685">
        <w:rPr>
          <w:rFonts w:asciiTheme="minorHAnsi" w:hAnsiTheme="minorHAnsi"/>
          <w:color w:val="000000"/>
          <w:sz w:val="20"/>
          <w:szCs w:val="20"/>
        </w:rPr>
        <w:t>The questionnaire can be viewed at http://catalog.ihsn.org/index.php/catalog.</w:t>
      </w:r>
    </w:p>
    <w:p w:rsidR="00A75685" w:rsidRPr="00A75685" w:rsidRDefault="00A75685" w:rsidP="00A75685">
      <w:pPr>
        <w:rPr>
          <w:rFonts w:asciiTheme="minorHAnsi" w:hAnsiTheme="minorHAnsi"/>
          <w:color w:val="000000"/>
          <w:sz w:val="20"/>
          <w:szCs w:val="20"/>
        </w:rPr>
      </w:pPr>
    </w:p>
    <w:p w:rsidR="00A75685" w:rsidRDefault="00A75685">
      <w:pPr>
        <w:pStyle w:val="FootnoteText"/>
      </w:pPr>
    </w:p>
  </w:footnote>
  <w:footnote w:id="17">
    <w:p w:rsidR="0069139C" w:rsidRPr="0069139C" w:rsidRDefault="0069139C">
      <w:pPr>
        <w:pStyle w:val="FootnoteText"/>
        <w:rPr>
          <w:rFonts w:asciiTheme="minorHAnsi" w:hAnsiTheme="minorHAnsi"/>
        </w:rPr>
      </w:pPr>
      <w:r w:rsidRPr="0069139C">
        <w:rPr>
          <w:rStyle w:val="FootnoteReference"/>
          <w:rFonts w:asciiTheme="minorHAnsi" w:hAnsiTheme="minorHAnsi"/>
        </w:rPr>
        <w:footnoteRef/>
      </w:r>
      <w:r w:rsidRPr="0069139C">
        <w:rPr>
          <w:rFonts w:asciiTheme="minorHAnsi" w:hAnsiTheme="minorHAnsi"/>
        </w:rPr>
        <w:t xml:space="preserve"> Each module would have a different number of </w:t>
      </w:r>
      <w:r>
        <w:rPr>
          <w:rFonts w:asciiTheme="minorHAnsi" w:hAnsiTheme="minorHAnsi"/>
        </w:rPr>
        <w:t xml:space="preserve">expenditure </w:t>
      </w:r>
      <w:r w:rsidRPr="0069139C">
        <w:rPr>
          <w:rFonts w:asciiTheme="minorHAnsi" w:hAnsiTheme="minorHAnsi"/>
        </w:rPr>
        <w:t>items in order to test which yields the most reliable estimates of total expenditures and assess the relative costs of each.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24FF0"/>
    <w:multiLevelType w:val="multilevel"/>
    <w:tmpl w:val="B6B6D53C"/>
    <w:styleLink w:val="Headings"/>
    <w:lvl w:ilvl="0">
      <w:start w:val="1"/>
      <w:numFmt w:val="decimal"/>
      <w:pStyle w:val="Heading2"/>
      <w:lvlText w:val="%1.0"/>
      <w:lvlJc w:val="left"/>
      <w:pPr>
        <w:ind w:left="720" w:hanging="720"/>
      </w:pPr>
      <w:rPr>
        <w:rFonts w:hint="default"/>
      </w:rPr>
    </w:lvl>
    <w:lvl w:ilvl="1">
      <w:start w:val="1"/>
      <w:numFmt w:val="decimal"/>
      <w:pStyle w:val="Heading3"/>
      <w:lvlText w:val="%1.%2"/>
      <w:lvlJc w:val="left"/>
      <w:pPr>
        <w:ind w:left="1152" w:hanging="720"/>
      </w:pPr>
      <w:rPr>
        <w:rFonts w:hint="default"/>
      </w:rPr>
    </w:lvl>
    <w:lvl w:ilvl="2">
      <w:start w:val="1"/>
      <w:numFmt w:val="decimal"/>
      <w:lvlRestart w:val="1"/>
      <w:pStyle w:val="Heading4"/>
      <w:lvlText w:val="%2.%3.1"/>
      <w:lvlJc w:val="left"/>
      <w:pPr>
        <w:ind w:left="1584" w:hanging="720"/>
      </w:pPr>
      <w:rPr>
        <w:rFonts w:hint="default"/>
      </w:rPr>
    </w:lvl>
    <w:lvl w:ilvl="3">
      <w:start w:val="1"/>
      <w:numFmt w:val="decimal"/>
      <w:lvlText w:val="%4."/>
      <w:lvlJc w:val="left"/>
      <w:pPr>
        <w:ind w:left="2016" w:hanging="720"/>
      </w:pPr>
      <w:rPr>
        <w:rFonts w:hint="default"/>
      </w:rPr>
    </w:lvl>
    <w:lvl w:ilvl="4">
      <w:start w:val="1"/>
      <w:numFmt w:val="lowerLetter"/>
      <w:lvlText w:val="%5."/>
      <w:lvlJc w:val="left"/>
      <w:pPr>
        <w:ind w:left="2448" w:hanging="720"/>
      </w:pPr>
      <w:rPr>
        <w:rFonts w:hint="default"/>
      </w:rPr>
    </w:lvl>
    <w:lvl w:ilvl="5">
      <w:start w:val="1"/>
      <w:numFmt w:val="lowerRoman"/>
      <w:lvlText w:val="%6."/>
      <w:lvlJc w:val="right"/>
      <w:pPr>
        <w:ind w:left="2880" w:hanging="720"/>
      </w:pPr>
      <w:rPr>
        <w:rFonts w:hint="default"/>
      </w:rPr>
    </w:lvl>
    <w:lvl w:ilvl="6">
      <w:start w:val="1"/>
      <w:numFmt w:val="decimal"/>
      <w:lvlText w:val="%7."/>
      <w:lvlJc w:val="left"/>
      <w:pPr>
        <w:ind w:left="3312" w:hanging="720"/>
      </w:pPr>
      <w:rPr>
        <w:rFonts w:hint="default"/>
      </w:rPr>
    </w:lvl>
    <w:lvl w:ilvl="7">
      <w:start w:val="1"/>
      <w:numFmt w:val="lowerLetter"/>
      <w:lvlText w:val="%8."/>
      <w:lvlJc w:val="left"/>
      <w:pPr>
        <w:ind w:left="3744" w:hanging="720"/>
      </w:pPr>
      <w:rPr>
        <w:rFonts w:hint="default"/>
      </w:rPr>
    </w:lvl>
    <w:lvl w:ilvl="8">
      <w:start w:val="1"/>
      <w:numFmt w:val="lowerRoman"/>
      <w:lvlText w:val="%9."/>
      <w:lvlJc w:val="right"/>
      <w:pPr>
        <w:ind w:left="4176" w:hanging="720"/>
      </w:pPr>
      <w:rPr>
        <w:rFonts w:hint="default"/>
      </w:rPr>
    </w:lvl>
  </w:abstractNum>
  <w:abstractNum w:abstractNumId="1">
    <w:nsid w:val="06576B38"/>
    <w:multiLevelType w:val="hybridMultilevel"/>
    <w:tmpl w:val="18A6F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300E45"/>
    <w:multiLevelType w:val="hybridMultilevel"/>
    <w:tmpl w:val="6390FD10"/>
    <w:lvl w:ilvl="0" w:tplc="9E605236">
      <w:start w:val="1"/>
      <w:numFmt w:val="decimal"/>
      <w:lvlText w:val="%1."/>
      <w:lvlJc w:val="left"/>
      <w:pPr>
        <w:ind w:left="432" w:hanging="72"/>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04F3C76"/>
    <w:multiLevelType w:val="hybridMultilevel"/>
    <w:tmpl w:val="739201EA"/>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4">
    <w:nsid w:val="26705200"/>
    <w:multiLevelType w:val="hybridMultilevel"/>
    <w:tmpl w:val="3AE2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5375F3"/>
    <w:multiLevelType w:val="hybridMultilevel"/>
    <w:tmpl w:val="8B76C826"/>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6">
    <w:nsid w:val="323D18C5"/>
    <w:multiLevelType w:val="hybridMultilevel"/>
    <w:tmpl w:val="D6EA8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7CA28D7"/>
    <w:multiLevelType w:val="hybridMultilevel"/>
    <w:tmpl w:val="D9B24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989334D"/>
    <w:multiLevelType w:val="hybridMultilevel"/>
    <w:tmpl w:val="B67AD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A3781B"/>
    <w:multiLevelType w:val="hybridMultilevel"/>
    <w:tmpl w:val="FFF2A71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0">
    <w:nsid w:val="6CFB37A8"/>
    <w:multiLevelType w:val="hybridMultilevel"/>
    <w:tmpl w:val="C296A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710946B1"/>
    <w:multiLevelType w:val="hybridMultilevel"/>
    <w:tmpl w:val="8188B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31322F"/>
    <w:multiLevelType w:val="hybridMultilevel"/>
    <w:tmpl w:val="D73A8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800630"/>
    <w:multiLevelType w:val="hybridMultilevel"/>
    <w:tmpl w:val="FB96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4C77B0"/>
    <w:multiLevelType w:val="hybridMultilevel"/>
    <w:tmpl w:val="B8DA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3"/>
  </w:num>
  <w:num w:numId="4">
    <w:abstractNumId w:val="11"/>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5"/>
  </w:num>
  <w:num w:numId="9">
    <w:abstractNumId w:val="2"/>
  </w:num>
  <w:num w:numId="10">
    <w:abstractNumId w:val="2"/>
  </w:num>
  <w:num w:numId="11">
    <w:abstractNumId w:val="10"/>
  </w:num>
  <w:num w:numId="12">
    <w:abstractNumId w:val="4"/>
  </w:num>
  <w:num w:numId="13">
    <w:abstractNumId w:val="6"/>
  </w:num>
  <w:num w:numId="14">
    <w:abstractNumId w:val="3"/>
  </w:num>
  <w:num w:numId="15">
    <w:abstractNumId w:val="7"/>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A8B"/>
    <w:rsid w:val="00031C31"/>
    <w:rsid w:val="00033CCE"/>
    <w:rsid w:val="00034E53"/>
    <w:rsid w:val="00053928"/>
    <w:rsid w:val="000602FC"/>
    <w:rsid w:val="00095FF4"/>
    <w:rsid w:val="000A052A"/>
    <w:rsid w:val="000A14CE"/>
    <w:rsid w:val="000D1F45"/>
    <w:rsid w:val="000D430F"/>
    <w:rsid w:val="00123EB8"/>
    <w:rsid w:val="0014258E"/>
    <w:rsid w:val="001465C4"/>
    <w:rsid w:val="0019043C"/>
    <w:rsid w:val="00194352"/>
    <w:rsid w:val="001A17B4"/>
    <w:rsid w:val="001C3CE5"/>
    <w:rsid w:val="001C57E1"/>
    <w:rsid w:val="001D3997"/>
    <w:rsid w:val="00215FF6"/>
    <w:rsid w:val="002165AD"/>
    <w:rsid w:val="00223B74"/>
    <w:rsid w:val="00227E67"/>
    <w:rsid w:val="002325ED"/>
    <w:rsid w:val="00236F24"/>
    <w:rsid w:val="002614B1"/>
    <w:rsid w:val="00264E4C"/>
    <w:rsid w:val="002729EC"/>
    <w:rsid w:val="0029134E"/>
    <w:rsid w:val="00293896"/>
    <w:rsid w:val="002A573D"/>
    <w:rsid w:val="002A5BEE"/>
    <w:rsid w:val="002B4732"/>
    <w:rsid w:val="002C550E"/>
    <w:rsid w:val="002C6368"/>
    <w:rsid w:val="002D0623"/>
    <w:rsid w:val="002D0B40"/>
    <w:rsid w:val="002E19A9"/>
    <w:rsid w:val="002E4EC2"/>
    <w:rsid w:val="002E5725"/>
    <w:rsid w:val="00320102"/>
    <w:rsid w:val="00321B2E"/>
    <w:rsid w:val="00322A69"/>
    <w:rsid w:val="00322AAB"/>
    <w:rsid w:val="00331946"/>
    <w:rsid w:val="003441B0"/>
    <w:rsid w:val="00383A65"/>
    <w:rsid w:val="003978F0"/>
    <w:rsid w:val="003B567B"/>
    <w:rsid w:val="003C2563"/>
    <w:rsid w:val="003E5107"/>
    <w:rsid w:val="003F290A"/>
    <w:rsid w:val="003F3F01"/>
    <w:rsid w:val="00460018"/>
    <w:rsid w:val="00465AE7"/>
    <w:rsid w:val="004779FC"/>
    <w:rsid w:val="00494869"/>
    <w:rsid w:val="004B598C"/>
    <w:rsid w:val="004D03BC"/>
    <w:rsid w:val="004E13B2"/>
    <w:rsid w:val="004F111E"/>
    <w:rsid w:val="004F315A"/>
    <w:rsid w:val="005069EB"/>
    <w:rsid w:val="005115B1"/>
    <w:rsid w:val="0054129C"/>
    <w:rsid w:val="00544530"/>
    <w:rsid w:val="00556EB1"/>
    <w:rsid w:val="00575D04"/>
    <w:rsid w:val="005800DD"/>
    <w:rsid w:val="00594B82"/>
    <w:rsid w:val="005A5318"/>
    <w:rsid w:val="005C193A"/>
    <w:rsid w:val="005C4E78"/>
    <w:rsid w:val="005E06F7"/>
    <w:rsid w:val="005E4ABB"/>
    <w:rsid w:val="005E576B"/>
    <w:rsid w:val="005E68D1"/>
    <w:rsid w:val="005F6B56"/>
    <w:rsid w:val="00601D4E"/>
    <w:rsid w:val="00607295"/>
    <w:rsid w:val="00613506"/>
    <w:rsid w:val="00613D35"/>
    <w:rsid w:val="00623C20"/>
    <w:rsid w:val="00625F5B"/>
    <w:rsid w:val="00632201"/>
    <w:rsid w:val="00636DF4"/>
    <w:rsid w:val="00637275"/>
    <w:rsid w:val="00666246"/>
    <w:rsid w:val="0066763F"/>
    <w:rsid w:val="00670AAD"/>
    <w:rsid w:val="0069139C"/>
    <w:rsid w:val="00692319"/>
    <w:rsid w:val="006A2636"/>
    <w:rsid w:val="006B6A08"/>
    <w:rsid w:val="006E25FD"/>
    <w:rsid w:val="006E26B1"/>
    <w:rsid w:val="006E64B7"/>
    <w:rsid w:val="006F1B15"/>
    <w:rsid w:val="006F54E9"/>
    <w:rsid w:val="0070153A"/>
    <w:rsid w:val="0070750F"/>
    <w:rsid w:val="0071441A"/>
    <w:rsid w:val="00753FF9"/>
    <w:rsid w:val="00756016"/>
    <w:rsid w:val="00763705"/>
    <w:rsid w:val="0077539D"/>
    <w:rsid w:val="007817C7"/>
    <w:rsid w:val="00782C02"/>
    <w:rsid w:val="007A3F10"/>
    <w:rsid w:val="007B2F13"/>
    <w:rsid w:val="007B6A8B"/>
    <w:rsid w:val="007D3B09"/>
    <w:rsid w:val="007D7476"/>
    <w:rsid w:val="007E1031"/>
    <w:rsid w:val="007F3315"/>
    <w:rsid w:val="00804A02"/>
    <w:rsid w:val="00804E73"/>
    <w:rsid w:val="00807440"/>
    <w:rsid w:val="00810968"/>
    <w:rsid w:val="00824E91"/>
    <w:rsid w:val="008719CB"/>
    <w:rsid w:val="008726DB"/>
    <w:rsid w:val="00872919"/>
    <w:rsid w:val="00874196"/>
    <w:rsid w:val="008807AE"/>
    <w:rsid w:val="00887028"/>
    <w:rsid w:val="008935F0"/>
    <w:rsid w:val="008A0A65"/>
    <w:rsid w:val="008D0D97"/>
    <w:rsid w:val="00911547"/>
    <w:rsid w:val="009118D5"/>
    <w:rsid w:val="00927E83"/>
    <w:rsid w:val="0093064C"/>
    <w:rsid w:val="00931706"/>
    <w:rsid w:val="009321C3"/>
    <w:rsid w:val="00934047"/>
    <w:rsid w:val="00941714"/>
    <w:rsid w:val="00953514"/>
    <w:rsid w:val="00955AF0"/>
    <w:rsid w:val="009569CB"/>
    <w:rsid w:val="00973D4C"/>
    <w:rsid w:val="00974AF3"/>
    <w:rsid w:val="0098190D"/>
    <w:rsid w:val="009A0A04"/>
    <w:rsid w:val="009B71B8"/>
    <w:rsid w:val="009E2F1B"/>
    <w:rsid w:val="009E4703"/>
    <w:rsid w:val="009F06C0"/>
    <w:rsid w:val="009F769F"/>
    <w:rsid w:val="00A043E7"/>
    <w:rsid w:val="00A12695"/>
    <w:rsid w:val="00A21B4A"/>
    <w:rsid w:val="00A31604"/>
    <w:rsid w:val="00A52F6F"/>
    <w:rsid w:val="00A75685"/>
    <w:rsid w:val="00AA169D"/>
    <w:rsid w:val="00AB3DB6"/>
    <w:rsid w:val="00AC5E65"/>
    <w:rsid w:val="00B0207D"/>
    <w:rsid w:val="00B02B95"/>
    <w:rsid w:val="00B1127B"/>
    <w:rsid w:val="00B20A19"/>
    <w:rsid w:val="00B218D4"/>
    <w:rsid w:val="00B30983"/>
    <w:rsid w:val="00B34BF7"/>
    <w:rsid w:val="00B44D9D"/>
    <w:rsid w:val="00B473D6"/>
    <w:rsid w:val="00B90F08"/>
    <w:rsid w:val="00BA7B76"/>
    <w:rsid w:val="00BB54DB"/>
    <w:rsid w:val="00BC4EEE"/>
    <w:rsid w:val="00BC7F1F"/>
    <w:rsid w:val="00BD7E3D"/>
    <w:rsid w:val="00BF7737"/>
    <w:rsid w:val="00C01660"/>
    <w:rsid w:val="00C05B71"/>
    <w:rsid w:val="00C1163F"/>
    <w:rsid w:val="00C16D8D"/>
    <w:rsid w:val="00C215BF"/>
    <w:rsid w:val="00C36020"/>
    <w:rsid w:val="00C41249"/>
    <w:rsid w:val="00C47A55"/>
    <w:rsid w:val="00C602F7"/>
    <w:rsid w:val="00C73B9D"/>
    <w:rsid w:val="00C75C76"/>
    <w:rsid w:val="00C76CC2"/>
    <w:rsid w:val="00C87766"/>
    <w:rsid w:val="00C9172C"/>
    <w:rsid w:val="00CB10CC"/>
    <w:rsid w:val="00CB27F0"/>
    <w:rsid w:val="00CB791A"/>
    <w:rsid w:val="00CB7E54"/>
    <w:rsid w:val="00CC65DB"/>
    <w:rsid w:val="00CD7045"/>
    <w:rsid w:val="00CE33CB"/>
    <w:rsid w:val="00CF6DE0"/>
    <w:rsid w:val="00D02B9E"/>
    <w:rsid w:val="00D45E4F"/>
    <w:rsid w:val="00D56065"/>
    <w:rsid w:val="00D67920"/>
    <w:rsid w:val="00D67F50"/>
    <w:rsid w:val="00D82844"/>
    <w:rsid w:val="00DA204E"/>
    <w:rsid w:val="00DA5CAC"/>
    <w:rsid w:val="00DB6848"/>
    <w:rsid w:val="00DD1E17"/>
    <w:rsid w:val="00DD3E15"/>
    <w:rsid w:val="00DF0691"/>
    <w:rsid w:val="00DF1F96"/>
    <w:rsid w:val="00E04367"/>
    <w:rsid w:val="00E12898"/>
    <w:rsid w:val="00E17DE6"/>
    <w:rsid w:val="00E212DD"/>
    <w:rsid w:val="00E4511D"/>
    <w:rsid w:val="00E46237"/>
    <w:rsid w:val="00E47C52"/>
    <w:rsid w:val="00E571E9"/>
    <w:rsid w:val="00E6610A"/>
    <w:rsid w:val="00E9087E"/>
    <w:rsid w:val="00F11752"/>
    <w:rsid w:val="00F16304"/>
    <w:rsid w:val="00F22439"/>
    <w:rsid w:val="00F23CF3"/>
    <w:rsid w:val="00F44850"/>
    <w:rsid w:val="00F57AE2"/>
    <w:rsid w:val="00F67EED"/>
    <w:rsid w:val="00F72B83"/>
    <w:rsid w:val="00F85773"/>
    <w:rsid w:val="00FA54A5"/>
    <w:rsid w:val="00FA5E35"/>
    <w:rsid w:val="00FC50E4"/>
    <w:rsid w:val="00FC601F"/>
    <w:rsid w:val="00FD0DF4"/>
    <w:rsid w:val="00FF7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26B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C41249"/>
    <w:pPr>
      <w:keepNext/>
      <w:keepLines/>
      <w:numPr>
        <w:numId w:val="1"/>
      </w:numPr>
      <w:spacing w:before="200"/>
      <w:outlineLvl w:val="1"/>
    </w:pPr>
    <w:rPr>
      <w:rFonts w:asciiTheme="majorHAnsi" w:eastAsia="Calibri" w:hAnsiTheme="majorHAnsi" w:cstheme="majorBidi"/>
      <w:b/>
      <w:bCs/>
      <w:color w:val="4F81BD" w:themeColor="accent1"/>
      <w:sz w:val="26"/>
      <w:szCs w:val="26"/>
      <w:lang w:val="en-GB"/>
    </w:rPr>
  </w:style>
  <w:style w:type="paragraph" w:styleId="Heading3">
    <w:name w:val="heading 3"/>
    <w:basedOn w:val="Heading2"/>
    <w:next w:val="Normal"/>
    <w:link w:val="Heading3Char"/>
    <w:uiPriority w:val="9"/>
    <w:unhideWhenUsed/>
    <w:qFormat/>
    <w:rsid w:val="00C41249"/>
    <w:pPr>
      <w:numPr>
        <w:ilvl w:val="1"/>
      </w:numPr>
      <w:outlineLvl w:val="2"/>
    </w:pPr>
    <w:rPr>
      <w:rFonts w:eastAsiaTheme="majorEastAsia"/>
      <w:bCs w:val="0"/>
    </w:rPr>
  </w:style>
  <w:style w:type="paragraph" w:styleId="Heading4">
    <w:name w:val="heading 4"/>
    <w:basedOn w:val="Heading2"/>
    <w:next w:val="Normal"/>
    <w:link w:val="Heading4Char"/>
    <w:uiPriority w:val="9"/>
    <w:unhideWhenUsed/>
    <w:qFormat/>
    <w:rsid w:val="00C41249"/>
    <w:pPr>
      <w:numPr>
        <w:ilvl w:val="2"/>
      </w:numPr>
      <w:outlineLvl w:val="3"/>
    </w:pPr>
    <w:rPr>
      <w:rFonts w:eastAsiaTheme="majorEastAsia"/>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6B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E26B1"/>
    <w:pPr>
      <w:autoSpaceDE w:val="0"/>
      <w:autoSpaceDN w:val="0"/>
      <w:adjustRightInd w:val="0"/>
      <w:spacing w:line="276" w:lineRule="auto"/>
      <w:outlineLvl w:val="9"/>
    </w:pPr>
    <w:rPr>
      <w:lang w:eastAsia="ja-JP"/>
    </w:rPr>
  </w:style>
  <w:style w:type="paragraph" w:styleId="Footer">
    <w:name w:val="footer"/>
    <w:basedOn w:val="Normal"/>
    <w:link w:val="FooterChar"/>
    <w:uiPriority w:val="99"/>
    <w:unhideWhenUsed/>
    <w:rsid w:val="006E26B1"/>
    <w:pPr>
      <w:tabs>
        <w:tab w:val="center" w:pos="4680"/>
        <w:tab w:val="right" w:pos="9360"/>
      </w:tabs>
    </w:pPr>
  </w:style>
  <w:style w:type="character" w:customStyle="1" w:styleId="FooterChar">
    <w:name w:val="Footer Char"/>
    <w:basedOn w:val="DefaultParagraphFont"/>
    <w:link w:val="Footer"/>
    <w:uiPriority w:val="99"/>
    <w:rsid w:val="006E26B1"/>
  </w:style>
  <w:style w:type="paragraph" w:styleId="BalloonText">
    <w:name w:val="Balloon Text"/>
    <w:basedOn w:val="Normal"/>
    <w:link w:val="BalloonTextChar"/>
    <w:uiPriority w:val="99"/>
    <w:semiHidden/>
    <w:unhideWhenUsed/>
    <w:rsid w:val="006E26B1"/>
    <w:rPr>
      <w:rFonts w:ascii="Tahoma" w:hAnsi="Tahoma" w:cs="Tahoma"/>
      <w:sz w:val="16"/>
      <w:szCs w:val="16"/>
    </w:rPr>
  </w:style>
  <w:style w:type="character" w:customStyle="1" w:styleId="BalloonTextChar">
    <w:name w:val="Balloon Text Char"/>
    <w:basedOn w:val="DefaultParagraphFont"/>
    <w:link w:val="BalloonText"/>
    <w:uiPriority w:val="99"/>
    <w:semiHidden/>
    <w:rsid w:val="006E26B1"/>
    <w:rPr>
      <w:rFonts w:ascii="Tahoma" w:hAnsi="Tahoma" w:cs="Tahoma"/>
      <w:sz w:val="16"/>
      <w:szCs w:val="16"/>
    </w:rPr>
  </w:style>
  <w:style w:type="character" w:customStyle="1" w:styleId="Heading2Char">
    <w:name w:val="Heading 2 Char"/>
    <w:basedOn w:val="DefaultParagraphFont"/>
    <w:link w:val="Heading2"/>
    <w:uiPriority w:val="9"/>
    <w:rsid w:val="00C41249"/>
    <w:rPr>
      <w:rFonts w:asciiTheme="majorHAnsi" w:eastAsia="Calibri"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41249"/>
    <w:rPr>
      <w:rFonts w:asciiTheme="majorHAnsi" w:eastAsiaTheme="majorEastAsia" w:hAnsiTheme="majorHAnsi" w:cstheme="majorBidi"/>
      <w:b/>
      <w:color w:val="4F81BD" w:themeColor="accent1"/>
      <w:sz w:val="26"/>
      <w:szCs w:val="26"/>
      <w:lang w:val="en-GB"/>
    </w:rPr>
  </w:style>
  <w:style w:type="character" w:customStyle="1" w:styleId="Heading4Char">
    <w:name w:val="Heading 4 Char"/>
    <w:basedOn w:val="DefaultParagraphFont"/>
    <w:link w:val="Heading4"/>
    <w:uiPriority w:val="9"/>
    <w:rsid w:val="00C41249"/>
    <w:rPr>
      <w:rFonts w:asciiTheme="majorHAnsi" w:eastAsiaTheme="majorEastAsia" w:hAnsiTheme="majorHAnsi" w:cstheme="majorBidi"/>
      <w:i/>
      <w:iCs/>
      <w:color w:val="4F81BD" w:themeColor="accent1"/>
      <w:sz w:val="26"/>
      <w:szCs w:val="26"/>
      <w:lang w:val="en-GB"/>
    </w:rPr>
  </w:style>
  <w:style w:type="numbering" w:customStyle="1" w:styleId="Headings">
    <w:name w:val="Headings"/>
    <w:uiPriority w:val="99"/>
    <w:rsid w:val="00C41249"/>
    <w:pPr>
      <w:numPr>
        <w:numId w:val="1"/>
      </w:numPr>
    </w:pPr>
  </w:style>
  <w:style w:type="paragraph" w:styleId="FootnoteText">
    <w:name w:val="footnote text"/>
    <w:aliases w:val="single space,footnote text,Sharp - Footnote Text,Footnote Text - Sharp Char Char,Footnote Text - Sharp Char,Footnote Text - Sharp,Char,FOOTNOTES,fn,Footnote Text Char Char Char,Footnote Text1 Char,Footnote Text2,ft,ADB,ALTS FOOTNOTE"/>
    <w:basedOn w:val="Normal"/>
    <w:link w:val="FootnoteTextChar"/>
    <w:uiPriority w:val="99"/>
    <w:unhideWhenUsed/>
    <w:rsid w:val="00C76CC2"/>
    <w:rPr>
      <w:sz w:val="20"/>
      <w:szCs w:val="20"/>
    </w:rPr>
  </w:style>
  <w:style w:type="character" w:customStyle="1" w:styleId="FootnoteTextChar">
    <w:name w:val="Footnote Text Char"/>
    <w:aliases w:val="single space Char,footnote text Char,Sharp - Footnote Text Char,Footnote Text - Sharp Char Char Char,Footnote Text - Sharp Char Char1,Footnote Text - Sharp Char1,Char Char,FOOTNOTES Char,fn Char,Footnote Text Char Char Char Char"/>
    <w:basedOn w:val="DefaultParagraphFont"/>
    <w:link w:val="FootnoteText"/>
    <w:uiPriority w:val="99"/>
    <w:rsid w:val="00C76CC2"/>
    <w:rPr>
      <w:sz w:val="20"/>
      <w:szCs w:val="20"/>
    </w:rPr>
  </w:style>
  <w:style w:type="character" w:styleId="FootnoteReference">
    <w:name w:val="footnote reference"/>
    <w:aliases w:val="ftref,16 Point,Superscript 6 Point,BVI fnr,BVI fnr Car Car,BVI fnr Car,BVI fnr Car Car Car Car,Char Char1 Char Char Char Char1 Char Char Char Char Char Char Char Char Char Char Char Char (文字) Char Char Char Char Char,de nota al pie,Re"/>
    <w:basedOn w:val="DefaultParagraphFont"/>
    <w:link w:val="CharChar1CharCharCharChar1CharCharCharCharCharCharCharCharCharCharCharCharCharCharCharChar"/>
    <w:uiPriority w:val="99"/>
    <w:unhideWhenUsed/>
    <w:rsid w:val="00C76CC2"/>
    <w:rPr>
      <w:vertAlign w:val="superscript"/>
    </w:rPr>
  </w:style>
  <w:style w:type="paragraph" w:styleId="ListParagraph">
    <w:name w:val="List Paragraph"/>
    <w:basedOn w:val="Normal"/>
    <w:uiPriority w:val="34"/>
    <w:qFormat/>
    <w:rsid w:val="00973D4C"/>
    <w:pPr>
      <w:ind w:left="720"/>
      <w:contextualSpacing/>
    </w:pPr>
  </w:style>
  <w:style w:type="paragraph" w:styleId="Caption">
    <w:name w:val="caption"/>
    <w:basedOn w:val="Normal"/>
    <w:next w:val="Normal"/>
    <w:uiPriority w:val="35"/>
    <w:unhideWhenUsed/>
    <w:qFormat/>
    <w:rsid w:val="00FA5E35"/>
    <w:rPr>
      <w:rFonts w:asciiTheme="minorHAnsi" w:hAnsiTheme="minorHAnsi"/>
      <w:b/>
      <w:bCs/>
      <w:sz w:val="20"/>
      <w:szCs w:val="18"/>
    </w:rPr>
  </w:style>
  <w:style w:type="paragraph" w:customStyle="1" w:styleId="Default">
    <w:name w:val="Default"/>
    <w:rsid w:val="000A052A"/>
    <w:pPr>
      <w:autoSpaceDE w:val="0"/>
      <w:autoSpaceDN w:val="0"/>
      <w:adjustRightInd w:val="0"/>
    </w:pPr>
    <w:rPr>
      <w:color w:val="000000"/>
    </w:rPr>
  </w:style>
  <w:style w:type="paragraph" w:customStyle="1" w:styleId="CharChar1CharCharCharChar1CharCharCharCharCharCharCharCharCharCharCharCharCharCharCharChar">
    <w:name w:val="Char Char1 Char Char Char Char1 Char Char Char Char Char Char Char Char Char Char Char Char (文字) Char Char Char Char"/>
    <w:aliases w:val="Char Char Char Char1 Char Char (文字) Char Char Char Char"/>
    <w:basedOn w:val="Normal"/>
    <w:next w:val="Normal"/>
    <w:link w:val="FootnoteReference"/>
    <w:uiPriority w:val="99"/>
    <w:rsid w:val="009F06C0"/>
    <w:pPr>
      <w:spacing w:after="160" w:line="240" w:lineRule="exact"/>
    </w:pPr>
    <w:rPr>
      <w:vertAlign w:val="superscript"/>
    </w:rPr>
  </w:style>
  <w:style w:type="character" w:customStyle="1" w:styleId="apple-converted-space">
    <w:name w:val="apple-converted-space"/>
    <w:basedOn w:val="DefaultParagraphFont"/>
    <w:rsid w:val="002E5725"/>
  </w:style>
  <w:style w:type="paragraph" w:styleId="TOC1">
    <w:name w:val="toc 1"/>
    <w:basedOn w:val="Normal"/>
    <w:next w:val="Normal"/>
    <w:autoRedefine/>
    <w:uiPriority w:val="39"/>
    <w:unhideWhenUsed/>
    <w:rsid w:val="0098190D"/>
    <w:pPr>
      <w:spacing w:after="100"/>
    </w:pPr>
  </w:style>
  <w:style w:type="paragraph" w:styleId="TOC3">
    <w:name w:val="toc 3"/>
    <w:basedOn w:val="Normal"/>
    <w:next w:val="Normal"/>
    <w:autoRedefine/>
    <w:uiPriority w:val="39"/>
    <w:unhideWhenUsed/>
    <w:rsid w:val="0098190D"/>
    <w:pPr>
      <w:spacing w:after="100"/>
      <w:ind w:left="480"/>
    </w:pPr>
  </w:style>
  <w:style w:type="character" w:styleId="Hyperlink">
    <w:name w:val="Hyperlink"/>
    <w:basedOn w:val="DefaultParagraphFont"/>
    <w:uiPriority w:val="99"/>
    <w:unhideWhenUsed/>
    <w:rsid w:val="0098190D"/>
    <w:rPr>
      <w:color w:val="0000FF" w:themeColor="hyperlink"/>
      <w:u w:val="single"/>
    </w:rPr>
  </w:style>
  <w:style w:type="paragraph" w:styleId="Header">
    <w:name w:val="header"/>
    <w:basedOn w:val="Normal"/>
    <w:link w:val="HeaderChar"/>
    <w:uiPriority w:val="99"/>
    <w:unhideWhenUsed/>
    <w:rsid w:val="00465AE7"/>
    <w:pPr>
      <w:tabs>
        <w:tab w:val="center" w:pos="4680"/>
        <w:tab w:val="right" w:pos="9360"/>
      </w:tabs>
    </w:pPr>
  </w:style>
  <w:style w:type="character" w:customStyle="1" w:styleId="HeaderChar">
    <w:name w:val="Header Char"/>
    <w:basedOn w:val="DefaultParagraphFont"/>
    <w:link w:val="Header"/>
    <w:uiPriority w:val="99"/>
    <w:rsid w:val="00465A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26B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C41249"/>
    <w:pPr>
      <w:keepNext/>
      <w:keepLines/>
      <w:numPr>
        <w:numId w:val="1"/>
      </w:numPr>
      <w:spacing w:before="200"/>
      <w:outlineLvl w:val="1"/>
    </w:pPr>
    <w:rPr>
      <w:rFonts w:asciiTheme="majorHAnsi" w:eastAsia="Calibri" w:hAnsiTheme="majorHAnsi" w:cstheme="majorBidi"/>
      <w:b/>
      <w:bCs/>
      <w:color w:val="4F81BD" w:themeColor="accent1"/>
      <w:sz w:val="26"/>
      <w:szCs w:val="26"/>
      <w:lang w:val="en-GB"/>
    </w:rPr>
  </w:style>
  <w:style w:type="paragraph" w:styleId="Heading3">
    <w:name w:val="heading 3"/>
    <w:basedOn w:val="Heading2"/>
    <w:next w:val="Normal"/>
    <w:link w:val="Heading3Char"/>
    <w:uiPriority w:val="9"/>
    <w:unhideWhenUsed/>
    <w:qFormat/>
    <w:rsid w:val="00C41249"/>
    <w:pPr>
      <w:numPr>
        <w:ilvl w:val="1"/>
      </w:numPr>
      <w:outlineLvl w:val="2"/>
    </w:pPr>
    <w:rPr>
      <w:rFonts w:eastAsiaTheme="majorEastAsia"/>
      <w:bCs w:val="0"/>
    </w:rPr>
  </w:style>
  <w:style w:type="paragraph" w:styleId="Heading4">
    <w:name w:val="heading 4"/>
    <w:basedOn w:val="Heading2"/>
    <w:next w:val="Normal"/>
    <w:link w:val="Heading4Char"/>
    <w:uiPriority w:val="9"/>
    <w:unhideWhenUsed/>
    <w:qFormat/>
    <w:rsid w:val="00C41249"/>
    <w:pPr>
      <w:numPr>
        <w:ilvl w:val="2"/>
      </w:numPr>
      <w:outlineLvl w:val="3"/>
    </w:pPr>
    <w:rPr>
      <w:rFonts w:eastAsiaTheme="majorEastAsia"/>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6B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E26B1"/>
    <w:pPr>
      <w:autoSpaceDE w:val="0"/>
      <w:autoSpaceDN w:val="0"/>
      <w:adjustRightInd w:val="0"/>
      <w:spacing w:line="276" w:lineRule="auto"/>
      <w:outlineLvl w:val="9"/>
    </w:pPr>
    <w:rPr>
      <w:lang w:eastAsia="ja-JP"/>
    </w:rPr>
  </w:style>
  <w:style w:type="paragraph" w:styleId="Footer">
    <w:name w:val="footer"/>
    <w:basedOn w:val="Normal"/>
    <w:link w:val="FooterChar"/>
    <w:uiPriority w:val="99"/>
    <w:unhideWhenUsed/>
    <w:rsid w:val="006E26B1"/>
    <w:pPr>
      <w:tabs>
        <w:tab w:val="center" w:pos="4680"/>
        <w:tab w:val="right" w:pos="9360"/>
      </w:tabs>
    </w:pPr>
  </w:style>
  <w:style w:type="character" w:customStyle="1" w:styleId="FooterChar">
    <w:name w:val="Footer Char"/>
    <w:basedOn w:val="DefaultParagraphFont"/>
    <w:link w:val="Footer"/>
    <w:uiPriority w:val="99"/>
    <w:rsid w:val="006E26B1"/>
  </w:style>
  <w:style w:type="paragraph" w:styleId="BalloonText">
    <w:name w:val="Balloon Text"/>
    <w:basedOn w:val="Normal"/>
    <w:link w:val="BalloonTextChar"/>
    <w:uiPriority w:val="99"/>
    <w:semiHidden/>
    <w:unhideWhenUsed/>
    <w:rsid w:val="006E26B1"/>
    <w:rPr>
      <w:rFonts w:ascii="Tahoma" w:hAnsi="Tahoma" w:cs="Tahoma"/>
      <w:sz w:val="16"/>
      <w:szCs w:val="16"/>
    </w:rPr>
  </w:style>
  <w:style w:type="character" w:customStyle="1" w:styleId="BalloonTextChar">
    <w:name w:val="Balloon Text Char"/>
    <w:basedOn w:val="DefaultParagraphFont"/>
    <w:link w:val="BalloonText"/>
    <w:uiPriority w:val="99"/>
    <w:semiHidden/>
    <w:rsid w:val="006E26B1"/>
    <w:rPr>
      <w:rFonts w:ascii="Tahoma" w:hAnsi="Tahoma" w:cs="Tahoma"/>
      <w:sz w:val="16"/>
      <w:szCs w:val="16"/>
    </w:rPr>
  </w:style>
  <w:style w:type="character" w:customStyle="1" w:styleId="Heading2Char">
    <w:name w:val="Heading 2 Char"/>
    <w:basedOn w:val="DefaultParagraphFont"/>
    <w:link w:val="Heading2"/>
    <w:uiPriority w:val="9"/>
    <w:rsid w:val="00C41249"/>
    <w:rPr>
      <w:rFonts w:asciiTheme="majorHAnsi" w:eastAsia="Calibri"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41249"/>
    <w:rPr>
      <w:rFonts w:asciiTheme="majorHAnsi" w:eastAsiaTheme="majorEastAsia" w:hAnsiTheme="majorHAnsi" w:cstheme="majorBidi"/>
      <w:b/>
      <w:color w:val="4F81BD" w:themeColor="accent1"/>
      <w:sz w:val="26"/>
      <w:szCs w:val="26"/>
      <w:lang w:val="en-GB"/>
    </w:rPr>
  </w:style>
  <w:style w:type="character" w:customStyle="1" w:styleId="Heading4Char">
    <w:name w:val="Heading 4 Char"/>
    <w:basedOn w:val="DefaultParagraphFont"/>
    <w:link w:val="Heading4"/>
    <w:uiPriority w:val="9"/>
    <w:rsid w:val="00C41249"/>
    <w:rPr>
      <w:rFonts w:asciiTheme="majorHAnsi" w:eastAsiaTheme="majorEastAsia" w:hAnsiTheme="majorHAnsi" w:cstheme="majorBidi"/>
      <w:i/>
      <w:iCs/>
      <w:color w:val="4F81BD" w:themeColor="accent1"/>
      <w:sz w:val="26"/>
      <w:szCs w:val="26"/>
      <w:lang w:val="en-GB"/>
    </w:rPr>
  </w:style>
  <w:style w:type="numbering" w:customStyle="1" w:styleId="Headings">
    <w:name w:val="Headings"/>
    <w:uiPriority w:val="99"/>
    <w:rsid w:val="00C41249"/>
    <w:pPr>
      <w:numPr>
        <w:numId w:val="1"/>
      </w:numPr>
    </w:pPr>
  </w:style>
  <w:style w:type="paragraph" w:styleId="FootnoteText">
    <w:name w:val="footnote text"/>
    <w:aliases w:val="single space,footnote text,Sharp - Footnote Text,Footnote Text - Sharp Char Char,Footnote Text - Sharp Char,Footnote Text - Sharp,Char,FOOTNOTES,fn,Footnote Text Char Char Char,Footnote Text1 Char,Footnote Text2,ft,ADB,ALTS FOOTNOTE"/>
    <w:basedOn w:val="Normal"/>
    <w:link w:val="FootnoteTextChar"/>
    <w:uiPriority w:val="99"/>
    <w:unhideWhenUsed/>
    <w:rsid w:val="00C76CC2"/>
    <w:rPr>
      <w:sz w:val="20"/>
      <w:szCs w:val="20"/>
    </w:rPr>
  </w:style>
  <w:style w:type="character" w:customStyle="1" w:styleId="FootnoteTextChar">
    <w:name w:val="Footnote Text Char"/>
    <w:aliases w:val="single space Char,footnote text Char,Sharp - Footnote Text Char,Footnote Text - Sharp Char Char Char,Footnote Text - Sharp Char Char1,Footnote Text - Sharp Char1,Char Char,FOOTNOTES Char,fn Char,Footnote Text Char Char Char Char"/>
    <w:basedOn w:val="DefaultParagraphFont"/>
    <w:link w:val="FootnoteText"/>
    <w:uiPriority w:val="99"/>
    <w:rsid w:val="00C76CC2"/>
    <w:rPr>
      <w:sz w:val="20"/>
      <w:szCs w:val="20"/>
    </w:rPr>
  </w:style>
  <w:style w:type="character" w:styleId="FootnoteReference">
    <w:name w:val="footnote reference"/>
    <w:aliases w:val="ftref,16 Point,Superscript 6 Point,BVI fnr,BVI fnr Car Car,BVI fnr Car,BVI fnr Car Car Car Car,Char Char1 Char Char Char Char1 Char Char Char Char Char Char Char Char Char Char Char Char (文字) Char Char Char Char Char,de nota al pie,Re"/>
    <w:basedOn w:val="DefaultParagraphFont"/>
    <w:link w:val="CharChar1CharCharCharChar1CharCharCharCharCharCharCharCharCharCharCharCharCharCharCharChar"/>
    <w:uiPriority w:val="99"/>
    <w:unhideWhenUsed/>
    <w:rsid w:val="00C76CC2"/>
    <w:rPr>
      <w:vertAlign w:val="superscript"/>
    </w:rPr>
  </w:style>
  <w:style w:type="paragraph" w:styleId="ListParagraph">
    <w:name w:val="List Paragraph"/>
    <w:basedOn w:val="Normal"/>
    <w:uiPriority w:val="34"/>
    <w:qFormat/>
    <w:rsid w:val="00973D4C"/>
    <w:pPr>
      <w:ind w:left="720"/>
      <w:contextualSpacing/>
    </w:pPr>
  </w:style>
  <w:style w:type="paragraph" w:styleId="Caption">
    <w:name w:val="caption"/>
    <w:basedOn w:val="Normal"/>
    <w:next w:val="Normal"/>
    <w:uiPriority w:val="35"/>
    <w:unhideWhenUsed/>
    <w:qFormat/>
    <w:rsid w:val="00FA5E35"/>
    <w:rPr>
      <w:rFonts w:asciiTheme="minorHAnsi" w:hAnsiTheme="minorHAnsi"/>
      <w:b/>
      <w:bCs/>
      <w:sz w:val="20"/>
      <w:szCs w:val="18"/>
    </w:rPr>
  </w:style>
  <w:style w:type="paragraph" w:customStyle="1" w:styleId="Default">
    <w:name w:val="Default"/>
    <w:rsid w:val="000A052A"/>
    <w:pPr>
      <w:autoSpaceDE w:val="0"/>
      <w:autoSpaceDN w:val="0"/>
      <w:adjustRightInd w:val="0"/>
    </w:pPr>
    <w:rPr>
      <w:color w:val="000000"/>
    </w:rPr>
  </w:style>
  <w:style w:type="paragraph" w:customStyle="1" w:styleId="CharChar1CharCharCharChar1CharCharCharCharCharCharCharCharCharCharCharCharCharCharCharChar">
    <w:name w:val="Char Char1 Char Char Char Char1 Char Char Char Char Char Char Char Char Char Char Char Char (文字) Char Char Char Char"/>
    <w:aliases w:val="Char Char Char Char1 Char Char (文字) Char Char Char Char"/>
    <w:basedOn w:val="Normal"/>
    <w:next w:val="Normal"/>
    <w:link w:val="FootnoteReference"/>
    <w:uiPriority w:val="99"/>
    <w:rsid w:val="009F06C0"/>
    <w:pPr>
      <w:spacing w:after="160" w:line="240" w:lineRule="exact"/>
    </w:pPr>
    <w:rPr>
      <w:vertAlign w:val="superscript"/>
    </w:rPr>
  </w:style>
  <w:style w:type="character" w:customStyle="1" w:styleId="apple-converted-space">
    <w:name w:val="apple-converted-space"/>
    <w:basedOn w:val="DefaultParagraphFont"/>
    <w:rsid w:val="002E5725"/>
  </w:style>
  <w:style w:type="paragraph" w:styleId="TOC1">
    <w:name w:val="toc 1"/>
    <w:basedOn w:val="Normal"/>
    <w:next w:val="Normal"/>
    <w:autoRedefine/>
    <w:uiPriority w:val="39"/>
    <w:unhideWhenUsed/>
    <w:rsid w:val="0098190D"/>
    <w:pPr>
      <w:spacing w:after="100"/>
    </w:pPr>
  </w:style>
  <w:style w:type="paragraph" w:styleId="TOC3">
    <w:name w:val="toc 3"/>
    <w:basedOn w:val="Normal"/>
    <w:next w:val="Normal"/>
    <w:autoRedefine/>
    <w:uiPriority w:val="39"/>
    <w:unhideWhenUsed/>
    <w:rsid w:val="0098190D"/>
    <w:pPr>
      <w:spacing w:after="100"/>
      <w:ind w:left="480"/>
    </w:pPr>
  </w:style>
  <w:style w:type="character" w:styleId="Hyperlink">
    <w:name w:val="Hyperlink"/>
    <w:basedOn w:val="DefaultParagraphFont"/>
    <w:uiPriority w:val="99"/>
    <w:unhideWhenUsed/>
    <w:rsid w:val="0098190D"/>
    <w:rPr>
      <w:color w:val="0000FF" w:themeColor="hyperlink"/>
      <w:u w:val="single"/>
    </w:rPr>
  </w:style>
  <w:style w:type="paragraph" w:styleId="Header">
    <w:name w:val="header"/>
    <w:basedOn w:val="Normal"/>
    <w:link w:val="HeaderChar"/>
    <w:uiPriority w:val="99"/>
    <w:unhideWhenUsed/>
    <w:rsid w:val="00465AE7"/>
    <w:pPr>
      <w:tabs>
        <w:tab w:val="center" w:pos="4680"/>
        <w:tab w:val="right" w:pos="9360"/>
      </w:tabs>
    </w:pPr>
  </w:style>
  <w:style w:type="character" w:customStyle="1" w:styleId="HeaderChar">
    <w:name w:val="Header Char"/>
    <w:basedOn w:val="DefaultParagraphFont"/>
    <w:link w:val="Header"/>
    <w:uiPriority w:val="99"/>
    <w:rsid w:val="00465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45746">
      <w:bodyDiv w:val="1"/>
      <w:marLeft w:val="0"/>
      <w:marRight w:val="0"/>
      <w:marTop w:val="0"/>
      <w:marBottom w:val="0"/>
      <w:divBdr>
        <w:top w:val="none" w:sz="0" w:space="0" w:color="auto"/>
        <w:left w:val="none" w:sz="0" w:space="0" w:color="auto"/>
        <w:bottom w:val="none" w:sz="0" w:space="0" w:color="auto"/>
        <w:right w:val="none" w:sz="0" w:space="0" w:color="auto"/>
      </w:divBdr>
    </w:div>
    <w:div w:id="411855192">
      <w:bodyDiv w:val="1"/>
      <w:marLeft w:val="0"/>
      <w:marRight w:val="0"/>
      <w:marTop w:val="0"/>
      <w:marBottom w:val="0"/>
      <w:divBdr>
        <w:top w:val="none" w:sz="0" w:space="0" w:color="auto"/>
        <w:left w:val="none" w:sz="0" w:space="0" w:color="auto"/>
        <w:bottom w:val="none" w:sz="0" w:space="0" w:color="auto"/>
        <w:right w:val="none" w:sz="0" w:space="0" w:color="auto"/>
      </w:divBdr>
    </w:div>
    <w:div w:id="476455999">
      <w:bodyDiv w:val="1"/>
      <w:marLeft w:val="0"/>
      <w:marRight w:val="0"/>
      <w:marTop w:val="0"/>
      <w:marBottom w:val="0"/>
      <w:divBdr>
        <w:top w:val="none" w:sz="0" w:space="0" w:color="auto"/>
        <w:left w:val="none" w:sz="0" w:space="0" w:color="auto"/>
        <w:bottom w:val="none" w:sz="0" w:space="0" w:color="auto"/>
        <w:right w:val="none" w:sz="0" w:space="0" w:color="auto"/>
      </w:divBdr>
    </w:div>
    <w:div w:id="534318425">
      <w:bodyDiv w:val="1"/>
      <w:marLeft w:val="0"/>
      <w:marRight w:val="0"/>
      <w:marTop w:val="0"/>
      <w:marBottom w:val="0"/>
      <w:divBdr>
        <w:top w:val="none" w:sz="0" w:space="0" w:color="auto"/>
        <w:left w:val="none" w:sz="0" w:space="0" w:color="auto"/>
        <w:bottom w:val="none" w:sz="0" w:space="0" w:color="auto"/>
        <w:right w:val="none" w:sz="0" w:space="0" w:color="auto"/>
      </w:divBdr>
    </w:div>
    <w:div w:id="874806749">
      <w:bodyDiv w:val="1"/>
      <w:marLeft w:val="0"/>
      <w:marRight w:val="0"/>
      <w:marTop w:val="0"/>
      <w:marBottom w:val="0"/>
      <w:divBdr>
        <w:top w:val="none" w:sz="0" w:space="0" w:color="auto"/>
        <w:left w:val="none" w:sz="0" w:space="0" w:color="auto"/>
        <w:bottom w:val="none" w:sz="0" w:space="0" w:color="auto"/>
        <w:right w:val="none" w:sz="0" w:space="0" w:color="auto"/>
      </w:divBdr>
    </w:div>
    <w:div w:id="1027103255">
      <w:bodyDiv w:val="1"/>
      <w:marLeft w:val="0"/>
      <w:marRight w:val="0"/>
      <w:marTop w:val="0"/>
      <w:marBottom w:val="0"/>
      <w:divBdr>
        <w:top w:val="none" w:sz="0" w:space="0" w:color="auto"/>
        <w:left w:val="none" w:sz="0" w:space="0" w:color="auto"/>
        <w:bottom w:val="none" w:sz="0" w:space="0" w:color="auto"/>
        <w:right w:val="none" w:sz="0" w:space="0" w:color="auto"/>
      </w:divBdr>
    </w:div>
    <w:div w:id="1087455745">
      <w:bodyDiv w:val="1"/>
      <w:marLeft w:val="0"/>
      <w:marRight w:val="0"/>
      <w:marTop w:val="0"/>
      <w:marBottom w:val="0"/>
      <w:divBdr>
        <w:top w:val="none" w:sz="0" w:space="0" w:color="auto"/>
        <w:left w:val="none" w:sz="0" w:space="0" w:color="auto"/>
        <w:bottom w:val="none" w:sz="0" w:space="0" w:color="auto"/>
        <w:right w:val="none" w:sz="0" w:space="0" w:color="auto"/>
      </w:divBdr>
    </w:div>
    <w:div w:id="1201168624">
      <w:bodyDiv w:val="1"/>
      <w:marLeft w:val="0"/>
      <w:marRight w:val="0"/>
      <w:marTop w:val="0"/>
      <w:marBottom w:val="0"/>
      <w:divBdr>
        <w:top w:val="none" w:sz="0" w:space="0" w:color="auto"/>
        <w:left w:val="none" w:sz="0" w:space="0" w:color="auto"/>
        <w:bottom w:val="none" w:sz="0" w:space="0" w:color="auto"/>
        <w:right w:val="none" w:sz="0" w:space="0" w:color="auto"/>
      </w:divBdr>
    </w:div>
    <w:div w:id="1248420019">
      <w:bodyDiv w:val="1"/>
      <w:marLeft w:val="0"/>
      <w:marRight w:val="0"/>
      <w:marTop w:val="0"/>
      <w:marBottom w:val="0"/>
      <w:divBdr>
        <w:top w:val="none" w:sz="0" w:space="0" w:color="auto"/>
        <w:left w:val="none" w:sz="0" w:space="0" w:color="auto"/>
        <w:bottom w:val="none" w:sz="0" w:space="0" w:color="auto"/>
        <w:right w:val="none" w:sz="0" w:space="0" w:color="auto"/>
      </w:divBdr>
    </w:div>
    <w:div w:id="1376084455">
      <w:bodyDiv w:val="1"/>
      <w:marLeft w:val="0"/>
      <w:marRight w:val="0"/>
      <w:marTop w:val="0"/>
      <w:marBottom w:val="0"/>
      <w:divBdr>
        <w:top w:val="none" w:sz="0" w:space="0" w:color="auto"/>
        <w:left w:val="none" w:sz="0" w:space="0" w:color="auto"/>
        <w:bottom w:val="none" w:sz="0" w:space="0" w:color="auto"/>
        <w:right w:val="none" w:sz="0" w:space="0" w:color="auto"/>
      </w:divBdr>
    </w:div>
    <w:div w:id="1539120384">
      <w:bodyDiv w:val="1"/>
      <w:marLeft w:val="0"/>
      <w:marRight w:val="0"/>
      <w:marTop w:val="0"/>
      <w:marBottom w:val="0"/>
      <w:divBdr>
        <w:top w:val="none" w:sz="0" w:space="0" w:color="auto"/>
        <w:left w:val="none" w:sz="0" w:space="0" w:color="auto"/>
        <w:bottom w:val="none" w:sz="0" w:space="0" w:color="auto"/>
        <w:right w:val="none" w:sz="0" w:space="0" w:color="auto"/>
      </w:divBdr>
    </w:div>
    <w:div w:id="1774860415">
      <w:bodyDiv w:val="1"/>
      <w:marLeft w:val="0"/>
      <w:marRight w:val="0"/>
      <w:marTop w:val="0"/>
      <w:marBottom w:val="0"/>
      <w:divBdr>
        <w:top w:val="none" w:sz="0" w:space="0" w:color="auto"/>
        <w:left w:val="none" w:sz="0" w:space="0" w:color="auto"/>
        <w:bottom w:val="none" w:sz="0" w:space="0" w:color="auto"/>
        <w:right w:val="none" w:sz="0" w:space="0" w:color="auto"/>
      </w:divBdr>
    </w:div>
    <w:div w:id="1935702657">
      <w:bodyDiv w:val="1"/>
      <w:marLeft w:val="0"/>
      <w:marRight w:val="0"/>
      <w:marTop w:val="0"/>
      <w:marBottom w:val="0"/>
      <w:divBdr>
        <w:top w:val="none" w:sz="0" w:space="0" w:color="auto"/>
        <w:left w:val="none" w:sz="0" w:space="0" w:color="auto"/>
        <w:bottom w:val="none" w:sz="0" w:space="0" w:color="auto"/>
        <w:right w:val="none" w:sz="0" w:space="0" w:color="auto"/>
      </w:divBdr>
    </w:div>
    <w:div w:id="196850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emf"/></Relationships>
</file>

<file path=word/charts/_rels/chart1.xml.rels><?xml version="1.0" encoding="UTF-8" standalone="yes"?>
<Relationships xmlns="http://schemas.openxmlformats.org/package/2006/relationships"><Relationship Id="rId1" Type="http://schemas.openxmlformats.org/officeDocument/2006/relationships/oleObject" Target="file:///C:\AA_LISACAT\aa_TANGO\Palestine%20SEFSec\Phase%20II%20Report\Tables%20and%20figures\Palestine%20SEFSec%20Phase%20II_Tables%20and%20figures_July1'1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AA_LISACAT\aa_TANGO\Palestine%20SEFSec\Phase%20II%20Report\Tables%20and%20figures\Palestine%20SEFSec%20Phase%20II_Tables%20and%20figures_July1'1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AA_LISACAT\aa_TANGO\Palestine%20SEFSec\Phase%20II%20Report\Tables%20and%20figures\Palestine%20SEFSec%20Phase%20II_Tables%20and%20figures_July1'1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solidFill>
              <a:schemeClr val="accent3">
                <a:lumMod val="75000"/>
              </a:schemeClr>
            </a:solidFill>
          </c:spPr>
          <c:invertIfNegative val="0"/>
          <c:dLbls>
            <c:showLegendKey val="0"/>
            <c:showVal val="1"/>
            <c:showCatName val="0"/>
            <c:showSerName val="0"/>
            <c:showPercent val="0"/>
            <c:showBubbleSize val="0"/>
            <c:showLeaderLines val="0"/>
          </c:dLbls>
          <c:cat>
            <c:strRef>
              <c:f>Figure3.1!$B$6:$B$8</c:f>
              <c:strCache>
                <c:ptCount val="3"/>
                <c:pt idx="0">
                  <c:v>West Bank</c:v>
                </c:pt>
                <c:pt idx="1">
                  <c:v>Gaza</c:v>
                </c:pt>
                <c:pt idx="2">
                  <c:v>Palestine</c:v>
                </c:pt>
              </c:strCache>
            </c:strRef>
          </c:cat>
          <c:val>
            <c:numRef>
              <c:f>Figure3.1!$C$6:$C$8</c:f>
              <c:numCache>
                <c:formatCode>General</c:formatCode>
                <c:ptCount val="3"/>
                <c:pt idx="0">
                  <c:v>19.899999999999999</c:v>
                </c:pt>
                <c:pt idx="1">
                  <c:v>33.1</c:v>
                </c:pt>
                <c:pt idx="2">
                  <c:v>24.4</c:v>
                </c:pt>
              </c:numCache>
            </c:numRef>
          </c:val>
        </c:ser>
        <c:dLbls>
          <c:showLegendKey val="0"/>
          <c:showVal val="0"/>
          <c:showCatName val="0"/>
          <c:showSerName val="0"/>
          <c:showPercent val="0"/>
          <c:showBubbleSize val="0"/>
        </c:dLbls>
        <c:gapWidth val="150"/>
        <c:axId val="228600832"/>
        <c:axId val="229676928"/>
      </c:barChart>
      <c:catAx>
        <c:axId val="228600832"/>
        <c:scaling>
          <c:orientation val="minMax"/>
        </c:scaling>
        <c:delete val="0"/>
        <c:axPos val="b"/>
        <c:majorTickMark val="out"/>
        <c:minorTickMark val="none"/>
        <c:tickLblPos val="nextTo"/>
        <c:txPr>
          <a:bodyPr/>
          <a:lstStyle/>
          <a:p>
            <a:pPr>
              <a:defRPr baseline="0">
                <a:latin typeface="Gill Sans MT" panose="020B0502020104020203" pitchFamily="34" charset="0"/>
              </a:defRPr>
            </a:pPr>
            <a:endParaRPr lang="en-US"/>
          </a:p>
        </c:txPr>
        <c:crossAx val="229676928"/>
        <c:crosses val="autoZero"/>
        <c:auto val="1"/>
        <c:lblAlgn val="ctr"/>
        <c:lblOffset val="100"/>
        <c:noMultiLvlLbl val="0"/>
      </c:catAx>
      <c:valAx>
        <c:axId val="229676928"/>
        <c:scaling>
          <c:orientation val="minMax"/>
          <c:max val="35"/>
          <c:min val="0"/>
        </c:scaling>
        <c:delete val="0"/>
        <c:axPos val="l"/>
        <c:majorGridlines/>
        <c:numFmt formatCode="General" sourceLinked="1"/>
        <c:majorTickMark val="out"/>
        <c:minorTickMark val="none"/>
        <c:tickLblPos val="nextTo"/>
        <c:txPr>
          <a:bodyPr/>
          <a:lstStyle/>
          <a:p>
            <a:pPr>
              <a:defRPr baseline="0">
                <a:latin typeface="Gill Sans MT" panose="020B0502020104020203" pitchFamily="34" charset="0"/>
              </a:defRPr>
            </a:pPr>
            <a:endParaRPr lang="en-US"/>
          </a:p>
        </c:txPr>
        <c:crossAx val="228600832"/>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solidFill>
              <a:schemeClr val="accent3">
                <a:lumMod val="75000"/>
              </a:schemeClr>
            </a:solidFill>
            <a:ln>
              <a:solidFill>
                <a:schemeClr val="accent1"/>
              </a:solidFill>
            </a:ln>
          </c:spPr>
          <c:invertIfNegative val="0"/>
          <c:dLbls>
            <c:showLegendKey val="0"/>
            <c:showVal val="1"/>
            <c:showCatName val="0"/>
            <c:showSerName val="0"/>
            <c:showPercent val="0"/>
            <c:showBubbleSize val="0"/>
            <c:showLeaderLines val="0"/>
          </c:dLbls>
          <c:cat>
            <c:strRef>
              <c:f>Figure3.2!$B$6:$B$8</c:f>
              <c:strCache>
                <c:ptCount val="3"/>
                <c:pt idx="0">
                  <c:v>West Bank</c:v>
                </c:pt>
                <c:pt idx="1">
                  <c:v>Gaza</c:v>
                </c:pt>
                <c:pt idx="2">
                  <c:v>Palestine</c:v>
                </c:pt>
              </c:strCache>
            </c:strRef>
          </c:cat>
          <c:val>
            <c:numRef>
              <c:f>Figure3.2!$C$6:$C$8</c:f>
              <c:numCache>
                <c:formatCode>General</c:formatCode>
                <c:ptCount val="3"/>
                <c:pt idx="0">
                  <c:v>17.600000000000001</c:v>
                </c:pt>
                <c:pt idx="1">
                  <c:v>24.2</c:v>
                </c:pt>
                <c:pt idx="2">
                  <c:v>19.8</c:v>
                </c:pt>
              </c:numCache>
            </c:numRef>
          </c:val>
        </c:ser>
        <c:dLbls>
          <c:showLegendKey val="0"/>
          <c:showVal val="0"/>
          <c:showCatName val="0"/>
          <c:showSerName val="0"/>
          <c:showPercent val="0"/>
          <c:showBubbleSize val="0"/>
        </c:dLbls>
        <c:gapWidth val="150"/>
        <c:axId val="228616064"/>
        <c:axId val="228617600"/>
      </c:barChart>
      <c:catAx>
        <c:axId val="228616064"/>
        <c:scaling>
          <c:orientation val="minMax"/>
        </c:scaling>
        <c:delete val="0"/>
        <c:axPos val="b"/>
        <c:majorTickMark val="out"/>
        <c:minorTickMark val="none"/>
        <c:tickLblPos val="nextTo"/>
        <c:txPr>
          <a:bodyPr/>
          <a:lstStyle/>
          <a:p>
            <a:pPr>
              <a:defRPr baseline="0">
                <a:latin typeface="Gill Sans MT" panose="020B0502020104020203" pitchFamily="34" charset="0"/>
              </a:defRPr>
            </a:pPr>
            <a:endParaRPr lang="en-US"/>
          </a:p>
        </c:txPr>
        <c:crossAx val="228617600"/>
        <c:crosses val="autoZero"/>
        <c:auto val="1"/>
        <c:lblAlgn val="ctr"/>
        <c:lblOffset val="100"/>
        <c:noMultiLvlLbl val="0"/>
      </c:catAx>
      <c:valAx>
        <c:axId val="228617600"/>
        <c:scaling>
          <c:orientation val="minMax"/>
          <c:max val="35"/>
          <c:min val="0"/>
        </c:scaling>
        <c:delete val="0"/>
        <c:axPos val="l"/>
        <c:majorGridlines/>
        <c:numFmt formatCode="General" sourceLinked="1"/>
        <c:majorTickMark val="out"/>
        <c:minorTickMark val="none"/>
        <c:tickLblPos val="nextTo"/>
        <c:txPr>
          <a:bodyPr/>
          <a:lstStyle/>
          <a:p>
            <a:pPr>
              <a:defRPr baseline="0">
                <a:latin typeface="Gill Sans MT" panose="020B0502020104020203" pitchFamily="34" charset="0"/>
              </a:defRPr>
            </a:pPr>
            <a:endParaRPr lang="en-US"/>
          </a:p>
        </c:txPr>
        <c:crossAx val="228616064"/>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Figure3.3!$D$3</c:f>
              <c:strCache>
                <c:ptCount val="1"/>
                <c:pt idx="0">
                  <c:v>Severely food deprived</c:v>
                </c:pt>
              </c:strCache>
            </c:strRef>
          </c:tx>
          <c:spPr>
            <a:solidFill>
              <a:srgbClr val="212FAF"/>
            </a:solidFill>
            <a:ln w="12700">
              <a:noFill/>
            </a:ln>
          </c:spPr>
          <c:invertIfNegative val="0"/>
          <c:dLbls>
            <c:showLegendKey val="0"/>
            <c:showVal val="1"/>
            <c:showCatName val="0"/>
            <c:showSerName val="0"/>
            <c:showPercent val="0"/>
            <c:showBubbleSize val="0"/>
            <c:showLeaderLines val="0"/>
          </c:dLbls>
          <c:cat>
            <c:strRef>
              <c:f>Figure3.3!$C$4:$C$6</c:f>
              <c:strCache>
                <c:ptCount val="3"/>
                <c:pt idx="0">
                  <c:v>West Bank</c:v>
                </c:pt>
                <c:pt idx="1">
                  <c:v>Gaza</c:v>
                </c:pt>
                <c:pt idx="2">
                  <c:v>Palestine</c:v>
                </c:pt>
              </c:strCache>
            </c:strRef>
          </c:cat>
          <c:val>
            <c:numRef>
              <c:f>Figure3.3!$D$4:$D$6</c:f>
              <c:numCache>
                <c:formatCode>0.0</c:formatCode>
                <c:ptCount val="3"/>
                <c:pt idx="0">
                  <c:v>7.2928730000000002</c:v>
                </c:pt>
                <c:pt idx="1">
                  <c:v>12.26911</c:v>
                </c:pt>
                <c:pt idx="2">
                  <c:v>8.9984269999999995</c:v>
                </c:pt>
              </c:numCache>
            </c:numRef>
          </c:val>
        </c:ser>
        <c:ser>
          <c:idx val="1"/>
          <c:order val="1"/>
          <c:tx>
            <c:strRef>
              <c:f>Figure3.3!$E$3</c:f>
              <c:strCache>
                <c:ptCount val="1"/>
                <c:pt idx="0">
                  <c:v>Moderately food deprived</c:v>
                </c:pt>
              </c:strCache>
            </c:strRef>
          </c:tx>
          <c:spPr>
            <a:solidFill>
              <a:schemeClr val="accent3">
                <a:lumMod val="75000"/>
              </a:schemeClr>
            </a:solidFill>
            <a:ln w="12700">
              <a:noFill/>
            </a:ln>
          </c:spPr>
          <c:invertIfNegative val="0"/>
          <c:dLbls>
            <c:showLegendKey val="0"/>
            <c:showVal val="1"/>
            <c:showCatName val="0"/>
            <c:showSerName val="0"/>
            <c:showPercent val="0"/>
            <c:showBubbleSize val="0"/>
            <c:showLeaderLines val="0"/>
          </c:dLbls>
          <c:cat>
            <c:strRef>
              <c:f>Figure3.3!$C$4:$C$6</c:f>
              <c:strCache>
                <c:ptCount val="3"/>
                <c:pt idx="0">
                  <c:v>West Bank</c:v>
                </c:pt>
                <c:pt idx="1">
                  <c:v>Gaza</c:v>
                </c:pt>
                <c:pt idx="2">
                  <c:v>Palestine</c:v>
                </c:pt>
              </c:strCache>
            </c:strRef>
          </c:cat>
          <c:val>
            <c:numRef>
              <c:f>Figure3.3!$E$4:$E$6</c:f>
              <c:numCache>
                <c:formatCode>0.0</c:formatCode>
                <c:ptCount val="3"/>
                <c:pt idx="0">
                  <c:v>25.073250000000002</c:v>
                </c:pt>
                <c:pt idx="1">
                  <c:v>34.824460000000002</c:v>
                </c:pt>
                <c:pt idx="2">
                  <c:v>28.415369999999999</c:v>
                </c:pt>
              </c:numCache>
            </c:numRef>
          </c:val>
        </c:ser>
        <c:ser>
          <c:idx val="2"/>
          <c:order val="2"/>
          <c:tx>
            <c:strRef>
              <c:f>Figure3.3!$F$3</c:f>
              <c:strCache>
                <c:ptCount val="1"/>
                <c:pt idx="0">
                  <c:v>Not food deprived</c:v>
                </c:pt>
              </c:strCache>
            </c:strRef>
          </c:tx>
          <c:spPr>
            <a:solidFill>
              <a:schemeClr val="bg2">
                <a:lumMod val="50000"/>
              </a:schemeClr>
            </a:solidFill>
            <a:ln w="12700">
              <a:noFill/>
            </a:ln>
          </c:spPr>
          <c:invertIfNegative val="0"/>
          <c:dLbls>
            <c:showLegendKey val="0"/>
            <c:showVal val="1"/>
            <c:showCatName val="0"/>
            <c:showSerName val="0"/>
            <c:showPercent val="0"/>
            <c:showBubbleSize val="0"/>
            <c:showLeaderLines val="0"/>
          </c:dLbls>
          <c:cat>
            <c:strRef>
              <c:f>Figure3.3!$C$4:$C$6</c:f>
              <c:strCache>
                <c:ptCount val="3"/>
                <c:pt idx="0">
                  <c:v>West Bank</c:v>
                </c:pt>
                <c:pt idx="1">
                  <c:v>Gaza</c:v>
                </c:pt>
                <c:pt idx="2">
                  <c:v>Palestine</c:v>
                </c:pt>
              </c:strCache>
            </c:strRef>
          </c:cat>
          <c:val>
            <c:numRef>
              <c:f>Figure3.3!$F$4:$F$6</c:f>
              <c:numCache>
                <c:formatCode>0.0</c:formatCode>
                <c:ptCount val="3"/>
                <c:pt idx="0">
                  <c:v>67.633880000000005</c:v>
                </c:pt>
                <c:pt idx="1">
                  <c:v>52.90643</c:v>
                </c:pt>
                <c:pt idx="2">
                  <c:v>62.586199999999998</c:v>
                </c:pt>
              </c:numCache>
            </c:numRef>
          </c:val>
        </c:ser>
        <c:dLbls>
          <c:showLegendKey val="0"/>
          <c:showVal val="0"/>
          <c:showCatName val="0"/>
          <c:showSerName val="0"/>
          <c:showPercent val="0"/>
          <c:showBubbleSize val="0"/>
        </c:dLbls>
        <c:gapWidth val="150"/>
        <c:axId val="238036480"/>
        <c:axId val="238038016"/>
      </c:barChart>
      <c:catAx>
        <c:axId val="238036480"/>
        <c:scaling>
          <c:orientation val="minMax"/>
        </c:scaling>
        <c:delete val="0"/>
        <c:axPos val="b"/>
        <c:majorTickMark val="out"/>
        <c:minorTickMark val="none"/>
        <c:tickLblPos val="nextTo"/>
        <c:crossAx val="238038016"/>
        <c:crosses val="autoZero"/>
        <c:auto val="1"/>
        <c:lblAlgn val="ctr"/>
        <c:lblOffset val="100"/>
        <c:noMultiLvlLbl val="0"/>
      </c:catAx>
      <c:valAx>
        <c:axId val="238038016"/>
        <c:scaling>
          <c:orientation val="minMax"/>
        </c:scaling>
        <c:delete val="0"/>
        <c:axPos val="l"/>
        <c:majorGridlines/>
        <c:numFmt formatCode="0" sourceLinked="0"/>
        <c:majorTickMark val="out"/>
        <c:minorTickMark val="none"/>
        <c:tickLblPos val="nextTo"/>
        <c:crossAx val="238036480"/>
        <c:crosses val="autoZero"/>
        <c:crossBetween val="between"/>
      </c:valAx>
    </c:plotArea>
    <c:legend>
      <c:legendPos val="b"/>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3A25485-AB1A-468A-92A7-5BFB32258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11241</Words>
  <Characters>64074</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2</cp:revision>
  <cp:lastPrinted>2014-08-17T01:24:00Z</cp:lastPrinted>
  <dcterms:created xsi:type="dcterms:W3CDTF">2014-08-17T02:18:00Z</dcterms:created>
  <dcterms:modified xsi:type="dcterms:W3CDTF">2014-08-17T02:18:00Z</dcterms:modified>
</cp:coreProperties>
</file>