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20"/>
          <w:szCs w:val="20"/>
        </w:rPr>
        <w:t xml:space="preserve"/>
      </w:r>
    </w:p>
    <w:p>
      <w:pPr>
        <w:spacing w:after="200"/>
        <w:jc w:val="center"/>
      </w:pPr>
      <w:r>
        <w:rPr>
          <w:rFonts w:ascii="Arial" w:cs="Arial" w:eastAsia="Arial" w:hAnsi="Arial"/>
          <w:b/>
          <w:bCs/>
          <w:color w:val="1A3C6E"/>
          <w:sz w:val="48"/>
          <w:szCs w:val="48"/>
        </w:rPr>
        <w:t xml:space="preserve">LEGAL RESEARCH REPORT</w:t>
      </w:r>
    </w:p>
    <w:p>
      <w:pPr>
        <w:spacing w:after="100"/>
        <w:jc w:val="center"/>
      </w:pPr>
      <w:r>
        <w:rPr>
          <w:rFonts w:ascii="Arial" w:cs="Arial" w:eastAsia="Arial" w:hAnsi="Arial"/>
          <w:color w:val="2E6DA4"/>
          <w:sz w:val="28"/>
          <w:szCs w:val="28"/>
        </w:rPr>
        <w:t xml:space="preserve">Bank Compliance &amp; Government-Request Response System</w:t>
      </w:r>
    </w:p>
    <w:p>
      <w:pPr>
        <w:spacing w:after="400"/>
        <w:jc w:val="center"/>
      </w:pPr>
      <w:r>
        <w:rPr>
          <w:rFonts w:ascii="Arial" w:cs="Arial" w:eastAsia="Arial" w:hAnsi="Arial"/>
          <w:color w:val="666666"/>
          <w:sz w:val="22"/>
          <w:szCs w:val="22"/>
        </w:rPr>
        <w:t xml:space="preserve">Republic of Uzbekistan — Regulatory &amp; Legal Framework</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 Hackathon Prototype Draft</w:t>
            </w:r>
          </w:p>
        </w:tc>
      </w:tr>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Jurisdiction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Republic of Uzbekistan</w:t>
            </w:r>
          </w:p>
        </w:tc>
      </w:tr>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Prepared For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 Compliance Product Team</w:t>
            </w:r>
          </w:p>
        </w:tc>
      </w:tr>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Primary 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lex.uz, cbu.uz, Official State Laws</w:t>
            </w:r>
          </w:p>
        </w:tc>
      </w:tr>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April 2026</w:t>
            </w:r>
          </w:p>
        </w:tc>
      </w:tr>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Confidential — Internal Use Only</w:t>
            </w:r>
          </w:p>
        </w:tc>
      </w:tr>
    </w:tbl>
    <w:p>
      <w:pPr>
        <w:spacing w:before="300"/>
        <w:jc w:val="center"/>
      </w:pPr>
      <w:r>
        <w:rPr>
          <w:rFonts w:ascii="Arial" w:cs="Arial" w:eastAsia="Arial" w:hAnsi="Arial"/>
          <w:i/>
          <w:iCs/>
          <w:color w:val="888888"/>
          <w:sz w:val="16"/>
          <w:szCs w:val="16"/>
        </w:rPr>
        <w:t xml:space="preserve">DISCLAIMER: This document is prepared for a hackathon prototype and is based on publicly available legal sources. It does not constitute legal advice. All specific statutory deadlines and procedural details should be verified against the current text of each law at lex.uz before use in production.</w:t>
      </w:r>
    </w:p>
    <w:p>
      <w:pPr>
        <w:pageBreakBefore/>
      </w:pPr>
      <w:r>
        <w:t xml:space="preserve"/>
      </w:r>
    </w:p>
    <w:p>
      <w:pPr>
        <w:pBdr>
          <w:bottom w:val="single" w:color="1A3C6E" w:sz="8" w:space="4"/>
        </w:pBdr>
        <w:spacing w:after="300" w:before="200"/>
      </w:pPr>
      <w:r>
        <w:rPr>
          <w:rFonts w:ascii="Arial" w:cs="Arial" w:eastAsia="Arial" w:hAnsi="Arial"/>
          <w:b/>
          <w:bCs/>
          <w:color w:val="1A3C6E"/>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1. Executive Summary</w:t>
      </w:r>
    </w:p>
    <w:p>
      <w:pPr>
        <w:spacing w:after="100"/>
      </w:pPr>
      <w:r>
        <w:rPr>
          <w:rFonts w:ascii="Arial" w:cs="Arial" w:eastAsia="Arial" w:hAnsi="Arial"/>
          <w:sz w:val="20"/>
          <w:szCs w:val="20"/>
        </w:rPr>
        <w:t xml:space="preserve">This report provides a structured legal research overview for a bank operating in Uzbekistan that must build a compliant, auditable system for receiving, processing, and responding to official requests from state bodies including the Central Bank (CBU), the State Tax Committee (Soliq), the Prosecutor General's Office (Prokuratura), law enforcement agencies, and courts.</w:t>
      </w:r>
    </w:p>
    <w:p>
      <w:pPr>
        <w:spacing w:after="100"/>
      </w:pPr>
      <w:r>
        <w:t xml:space="preserve"/>
      </w:r>
    </w:p>
    <w:p>
      <w:pPr>
        <w:spacing w:after="100"/>
      </w:pPr>
      <w:r>
        <w:rPr>
          <w:rFonts w:ascii="Arial" w:cs="Arial" w:eastAsia="Arial" w:hAnsi="Arial"/>
          <w:sz w:val="20"/>
          <w:szCs w:val="20"/>
        </w:rPr>
        <w:t xml:space="preserve">The legal framework is well-established across several key laws. The critical challenge for any compliance system is balancing the legal obligation to respond to authorized state requests against the equally firm obligation to protect bank secrecy and personal data. These are not contradictory — Uzbek law explicitly defines the exceptions — but every disclosure must follow a documented, authorized process.</w:t>
      </w:r>
    </w:p>
    <w:p>
      <w:pPr>
        <w:spacing w:after="100"/>
      </w:pPr>
      <w:r>
        <w:t xml:space="preserve"/>
      </w:r>
    </w:p>
    <w:p>
      <w:pPr>
        <w:pStyle w:val="Heading2"/>
        <w:spacing w:after="120" w:before="280"/>
      </w:pPr>
      <w:r>
        <w:rPr>
          <w:rFonts w:ascii="Arial" w:cs="Arial" w:eastAsia="Arial" w:hAnsi="Arial"/>
          <w:b/>
          <w:bCs/>
          <w:color w:val="2E6DA4"/>
          <w:sz w:val="26"/>
          <w:szCs w:val="26"/>
        </w:rPr>
        <w:t xml:space="preserve">Key Findings</w:t>
      </w:r>
    </w:p>
    <w:p>
      <w:pPr>
        <w:pStyle w:val="ListParagraph"/>
        <w:numPr>
          <w:ilvl w:val="0"/>
          <w:numId w:val="2"/>
        </w:numPr>
        <w:spacing w:after="60"/>
      </w:pPr>
      <w:r>
        <w:rPr>
          <w:rFonts w:ascii="Arial" w:cs="Arial" w:eastAsia="Arial" w:hAnsi="Arial"/>
          <w:b w:val="false"/>
          <w:bCs w:val="false"/>
          <w:sz w:val="20"/>
          <w:szCs w:val="20"/>
        </w:rPr>
        <w:t xml:space="preserve">Bank secrecy is protected by Law No. 530-II (2003, amended 2021). Disclosure is permitted only to specific state bodies under specific conditions — never informally.</w:t>
      </w:r>
    </w:p>
    <w:p>
      <w:pPr>
        <w:pStyle w:val="ListParagraph"/>
        <w:numPr>
          <w:ilvl w:val="0"/>
          <w:numId w:val="2"/>
        </w:numPr>
        <w:spacing w:after="60"/>
      </w:pPr>
      <w:r>
        <w:rPr>
          <w:rFonts w:ascii="Arial" w:cs="Arial" w:eastAsia="Arial" w:hAnsi="Arial"/>
          <w:b w:val="false"/>
          <w:bCs w:val="false"/>
          <w:sz w:val="20"/>
          <w:szCs w:val="20"/>
        </w:rPr>
        <w:t xml:space="preserve">Personal data is protected by Law No. ZRU-547 (2019). The bank must treat all client data as personal data unless legally required to share it.</w:t>
      </w:r>
    </w:p>
    <w:p>
      <w:pPr>
        <w:pStyle w:val="ListParagraph"/>
        <w:numPr>
          <w:ilvl w:val="0"/>
          <w:numId w:val="2"/>
        </w:numPr>
        <w:spacing w:after="60"/>
      </w:pPr>
      <w:r>
        <w:rPr>
          <w:rFonts w:ascii="Arial" w:cs="Arial" w:eastAsia="Arial" w:hAnsi="Arial"/>
          <w:b w:val="false"/>
          <w:bCs w:val="false"/>
          <w:sz w:val="20"/>
          <w:szCs w:val="20"/>
        </w:rPr>
        <w:t xml:space="preserve">AML/KYC is mandatory under Law No. 660-II (2004). Suspicious transaction reports go to the Department for Combating Economic Crimes under the Prosecutor General's Office.</w:t>
      </w:r>
    </w:p>
    <w:p>
      <w:pPr>
        <w:pStyle w:val="ListParagraph"/>
        <w:numPr>
          <w:ilvl w:val="0"/>
          <w:numId w:val="2"/>
        </w:numPr>
        <w:spacing w:after="60"/>
      </w:pPr>
      <w:r>
        <w:rPr>
          <w:rFonts w:ascii="Arial" w:cs="Arial" w:eastAsia="Arial" w:hAnsi="Arial"/>
          <w:b w:val="false"/>
          <w:bCs w:val="false"/>
          <w:sz w:val="20"/>
          <w:szCs w:val="20"/>
        </w:rPr>
        <w:t xml:space="preserve">Electronic documents signed with a valid EDS (Electronic Digital Signature) have full legal force under Law No. ZRU-793 (2022).</w:t>
      </w:r>
    </w:p>
    <w:p>
      <w:pPr>
        <w:pStyle w:val="ListParagraph"/>
        <w:numPr>
          <w:ilvl w:val="0"/>
          <w:numId w:val="2"/>
        </w:numPr>
        <w:spacing w:after="60"/>
      </w:pPr>
      <w:r>
        <w:rPr>
          <w:rFonts w:ascii="Arial" w:cs="Arial" w:eastAsia="Arial" w:hAnsi="Arial"/>
          <w:b w:val="false"/>
          <w:bCs w:val="false"/>
          <w:sz w:val="20"/>
          <w:szCs w:val="20"/>
        </w:rPr>
        <w:t xml:space="preserve">The Central Bank has supervisory authority and the broadest right to request information. Tax authority, courts, and prosecutors have defined but more constrained rights.</w:t>
      </w:r>
    </w:p>
    <w:p>
      <w:pPr>
        <w:pStyle w:val="ListParagraph"/>
        <w:numPr>
          <w:ilvl w:val="0"/>
          <w:numId w:val="2"/>
        </w:numPr>
        <w:spacing w:after="60"/>
      </w:pPr>
      <w:r>
        <w:rPr>
          <w:rFonts w:ascii="Arial" w:cs="Arial" w:eastAsia="Arial" w:hAnsi="Arial"/>
          <w:b w:val="false"/>
          <w:bCs w:val="false"/>
          <w:sz w:val="20"/>
          <w:szCs w:val="20"/>
        </w:rPr>
        <w:t xml:space="preserve">Response deadlines are partially defined in law (e.g., 2 business days for securities disclosures, 3 days for AML notifications) but general deadlines for government requests are not always explicitly codified — the system should default to 3-5 business days and track all incoming request timestamps.</w:t>
      </w:r>
    </w:p>
    <w:p>
      <w:pPr>
        <w:pStyle w:val="ListParagraph"/>
        <w:numPr>
          <w:ilvl w:val="0"/>
          <w:numId w:val="2"/>
        </w:numPr>
        <w:spacing w:after="60"/>
      </w:pPr>
      <w:r>
        <w:rPr>
          <w:rFonts w:ascii="Arial" w:cs="Arial" w:eastAsia="Arial" w:hAnsi="Arial"/>
          <w:b w:val="false"/>
          <w:bCs w:val="false"/>
          <w:sz w:val="20"/>
          <w:szCs w:val="20"/>
        </w:rPr>
        <w:t xml:space="preserve">Audit trails and document retention are legally required. AML records must be kept for at least 5 years per FATF standards adopted by Uzbekistan.</w:t>
      </w:r>
    </w:p>
    <w:p>
      <w:pPr>
        <w:spacing w:after="100"/>
      </w:pPr>
      <w:r>
        <w:t xml:space="preserve"/>
      </w:r>
    </w:p>
    <w:p>
      <w:pPr>
        <w:pStyle w:val="Heading2"/>
        <w:spacing w:after="120" w:before="280"/>
      </w:pPr>
      <w:r>
        <w:rPr>
          <w:rFonts w:ascii="Arial" w:cs="Arial" w:eastAsia="Arial" w:hAnsi="Arial"/>
          <w:b/>
          <w:bCs/>
          <w:color w:val="2E6DA4"/>
          <w:sz w:val="26"/>
          <w:szCs w:val="26"/>
        </w:rPr>
        <w:t xml:space="preserve">Confidence Assessment</w:t>
      </w:r>
    </w:p>
    <w:p>
      <w:pPr>
        <w:spacing w:after="100" w:before="60"/>
        <w:ind w:left="360"/>
      </w:pPr>
      <w:r>
        <w:rPr>
          <w:rFonts w:ascii="Arial" w:cs="Arial" w:eastAsia="Arial" w:hAnsi="Arial"/>
          <w:i/>
          <w:iCs/>
          <w:color w:val="8B0000"/>
          <w:sz w:val="18"/>
          <w:szCs w:val="18"/>
        </w:rPr>
        <w:t xml:space="preserve">⚠ Items marked with ⚠ are inferred from general legal principles or comparable jurisdictions where the exact Uzbek rule was not directly confirmed. Do not rely on these without verifying against the current version of the cited law on lex.uz.</w:t>
      </w:r>
    </w:p>
    <w:p>
      <w:pPr>
        <w:spacing w:after="60"/>
        <w:ind w:left="360"/>
      </w:pPr>
      <w:r>
        <w:rPr>
          <w:rFonts w:ascii="Arial" w:cs="Arial" w:eastAsia="Arial" w:hAnsi="Arial"/>
          <w:color w:val="196619"/>
          <w:sz w:val="18"/>
          <w:szCs w:val="18"/>
        </w:rPr>
        <w:t xml:space="preserve">✔ Items marked with ✔ are confirmed from authoritative sources.</w:t>
      </w:r>
    </w:p>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2. Relevant Laws, Rules &amp; Official Sources</w:t>
      </w:r>
    </w:p>
    <w:p>
      <w:pPr>
        <w:pStyle w:val="Heading2"/>
        <w:spacing w:after="120" w:before="280"/>
      </w:pPr>
      <w:r>
        <w:rPr>
          <w:rFonts w:ascii="Arial" w:cs="Arial" w:eastAsia="Arial" w:hAnsi="Arial"/>
          <w:b/>
          <w:bCs/>
          <w:color w:val="2E6DA4"/>
          <w:sz w:val="26"/>
          <w:szCs w:val="26"/>
        </w:rPr>
        <w:t xml:space="preserve">2.1 Primary Banking &amp; Secrecy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530-II (2003, amended 2021)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Law on Bank Secrecy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lex.uz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Core law governing what constitutes bank secrecy, who can request it, and how. Disclosure is permitted to courts, prosecutors, tax bodies, law enforcement, and the Central Bank under defined conditions.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 216-I (1996, amended 2025)</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Law on Banks and Banking Activities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lex.uz</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Establishes the structure of the banking system, supervisory powers of the CBU, disclosure obligations, and the bank's general duty to respond to regulatory requests.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ZRU-1026 (2025)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Amendment re: Microfinance Banks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milditman.com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Most recent amendment to banking law allowing microfinance organizations to transform into microfinance banks. Signals continued active legislative environment.</w:t>
            </w:r>
          </w:p>
        </w:tc>
      </w:tr>
    </w:tbl>
    <w:p>
      <w:pPr>
        <w:spacing w:after="100"/>
      </w:pPr>
      <w:r>
        <w:t xml:space="preserve"/>
      </w:r>
    </w:p>
    <w:p>
      <w:pPr>
        <w:pStyle w:val="Heading2"/>
        <w:spacing w:after="120" w:before="280"/>
      </w:pPr>
      <w:r>
        <w:rPr>
          <w:rFonts w:ascii="Arial" w:cs="Arial" w:eastAsia="Arial" w:hAnsi="Arial"/>
          <w:b/>
          <w:bCs/>
          <w:color w:val="2E6DA4"/>
          <w:sz w:val="26"/>
          <w:szCs w:val="26"/>
        </w:rPr>
        <w:t xml:space="preserve">2.2 Personal Data &amp; Privacy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ZRU-547 (2019, amended 2021)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Law on Personal 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lex.uz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Primary data protection law. Banks must process/store personal data of Uzbek citizens on servers located within Uzbekistan (localization requirement added in 2021). Transfers to state bodies require a legal basis.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 439-II (2002)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On Principles and Guarantees of Freedom of Information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Defines what information is public and what is restricted. Establishes that restrictions on information must be set by law.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560-II (2003)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On Informatization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Governs state information systems and the handling of information resources. Relevant to how the bank's systems interact with state databases.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2025 Decree PP-153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Financial Sector Data Protection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regulations.ai</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Adds specific cyber-attack liability for banks that fail to protect client data. Augments ZRU-547 for the financial sector.</w:t>
            </w:r>
          </w:p>
        </w:tc>
      </w:tr>
    </w:tbl>
    <w:p>
      <w:pPr>
        <w:spacing w:after="100"/>
      </w:pPr>
      <w:r>
        <w:t xml:space="preserve"/>
      </w:r>
    </w:p>
    <w:p>
      <w:pPr>
        <w:pStyle w:val="Heading2"/>
        <w:spacing w:after="120" w:before="280"/>
      </w:pPr>
      <w:r>
        <w:rPr>
          <w:rFonts w:ascii="Arial" w:cs="Arial" w:eastAsia="Arial" w:hAnsi="Arial"/>
          <w:b/>
          <w:bCs/>
          <w:color w:val="2E6DA4"/>
          <w:sz w:val="26"/>
          <w:szCs w:val="26"/>
        </w:rPr>
        <w:t xml:space="preserve">2.3 AML / KYC / Financial Crimes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660-II (2004)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On Countering Legalization of Criminal Proceeds, Financing of Terrorism and WMD Proliferation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lex.uz, azizovpartners.uz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Foundation of the AML/CTF/FPWMD system. Defines organizations subject to internal AML controls (including all banks). Requires KYC, suspicious transaction reporting, and cooperation with the Department for Combating Economic Crimes.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 ZRU-1015 (2024)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On Telecommunications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dlapiperdataprotection.com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Operators and service providers must ensure secrecy of communications.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FATF Standards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International AML/CFT recommendations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Adopted via UP-6252 (2021)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Uzbekistan officially committed to aligning its AML system with FATF standards through a Presidential strategy decree in 2021. This implies 5-year record retention for AML transactions.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CBU Risk-Based Supervision Guidelines (Dec 2023)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Risk-Based AML Supervision Framework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lightspark.com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Requires banks to tailor compliance efforts to specific risk assessments. Affects how the bank classifies incoming state requests by risk level.</w:t>
            </w:r>
          </w:p>
        </w:tc>
      </w:tr>
    </w:tbl>
    <w:p>
      <w:pPr>
        <w:spacing w:after="100"/>
      </w:pPr>
      <w:r>
        <w:t xml:space="preserve"/>
      </w:r>
    </w:p>
    <w:p>
      <w:pPr>
        <w:pStyle w:val="Heading2"/>
        <w:spacing w:after="120" w:before="280"/>
      </w:pPr>
      <w:r>
        <w:rPr>
          <w:rFonts w:ascii="Arial" w:cs="Arial" w:eastAsia="Arial" w:hAnsi="Arial"/>
          <w:b/>
          <w:bCs/>
          <w:color w:val="2E6DA4"/>
          <w:sz w:val="26"/>
          <w:szCs w:val="26"/>
        </w:rPr>
        <w:t xml:space="preserve">2.4 Electronic Documents &amp; Digital Signature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ZRU-793 (2022)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Law on Electronic Digital Signature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lex.uz, mondaq.com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An electronic document with a valid EDS from a legal entity is legally equivalent to a paper document with a wet seal. EDS must be valid at the time of signing. Certificates issued by centers under the State Tax Committee.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 611-II (2004)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Law on Electronic Document Management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cis-legislation.com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Regulates the processes for sending/receiving electronic documents via information systems. Covers official correspondence. Electronic documents can be used for transactions and official communications.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 ZRU-792 (2022)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Law on Electronic Commerce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Regulates electronic commercial transactions. Relevant to how banks send and receive electronic responses to state bodies.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Cabinet Resolution No. 94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Procedure for EDS Registration and Use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flowmono.com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Designates the Scientific-Information Center for New Technologies under the State Tax Committee as the primary EDS certificate operator.</w:t>
            </w:r>
          </w:p>
        </w:tc>
      </w:tr>
    </w:tbl>
    <w:p>
      <w:pPr>
        <w:spacing w:after="100"/>
      </w:pPr>
      <w:r>
        <w:t xml:space="preserve"/>
      </w:r>
    </w:p>
    <w:p>
      <w:pPr>
        <w:pStyle w:val="Heading2"/>
        <w:spacing w:after="120" w:before="280"/>
      </w:pPr>
      <w:r>
        <w:rPr>
          <w:rFonts w:ascii="Arial" w:cs="Arial" w:eastAsia="Arial" w:hAnsi="Arial"/>
          <w:b/>
          <w:bCs/>
          <w:color w:val="2E6DA4"/>
          <w:sz w:val="26"/>
          <w:szCs w:val="26"/>
        </w:rPr>
        <w:t xml:space="preserve">2.5 Constitutional and Procedural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Constitution (2023 edition)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Art. 31 — Right to Privacy of Personal 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lex.uz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Constitutionally guaranteed right. Collection, storage, use, and dissemination of personal data without consent is prohibited at the highest legal level.</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Constitution (2023 edition)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Art. 34-35 — Access to Information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lex.uz</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State bodies must allow access to documents relating to citizens' rights. Restrictions are only permitted by law and only to the extent necessary.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Tax Code of Uzbekistan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Bank Account Suspension &amp; Tax Authority Powers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tax-legal.uz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Tax authority (Soliq) can suspend bank accounts for up to 10 days without a court order. Longer suspension requires a court decision. This directly constrains how the bank responds to Soliq.</w:t>
            </w:r>
          </w:p>
        </w:tc>
      </w:tr>
    </w:tbl>
    <w:p>
      <w:pPr>
        <w:spacing w:after="100"/>
      </w:pPr>
      <w:r>
        <w:t xml:space="preserve"/>
      </w:r>
    </w:p>
    <w:p>
      <w:pPr>
        <w:pStyle w:val="Heading2"/>
        <w:spacing w:after="120" w:before="280"/>
      </w:pPr>
      <w:r>
        <w:rPr>
          <w:rFonts w:ascii="Arial" w:cs="Arial" w:eastAsia="Arial" w:hAnsi="Arial"/>
          <w:b/>
          <w:bCs/>
          <w:color w:val="2E6DA4"/>
          <w:sz w:val="26"/>
          <w:szCs w:val="26"/>
        </w:rPr>
        <w:t xml:space="preserve">2.6 Other Relevant Regulatory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Law Number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Name / Subject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Relevance to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CBU Official Website (cbu.uz)</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Central Bank Regulations, Circulars, and Prudential Standards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Primary Source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The CBU issues binding regulations, circulars, and guidelines that supplement the laws. All CBU regulations on banking supervision, payment documents, and prudential standards apply.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 ZRU-30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On Protection of Information in the Automated Banking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CONFIRMED — kinstellar.com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Specific information security requirements for automated banking systems. Relevant to access control and data protection within the compliance 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EAG Membership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Eurasian Group on Combating Money Laundering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CONFIRMED — eurasiangroup.org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Uzbekistan is a member. International AML evaluation standards (EAG/FATF) apply to domestic banks.</w:t>
            </w:r>
          </w:p>
        </w:tc>
      </w:tr>
    </w:tbl>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3. Key Policy Requirements to Implement in the System</w:t>
      </w:r>
    </w:p>
    <w:p>
      <w:pPr>
        <w:pStyle w:val="Heading2"/>
        <w:spacing w:after="120" w:before="280"/>
      </w:pPr>
      <w:r>
        <w:rPr>
          <w:rFonts w:ascii="Arial" w:cs="Arial" w:eastAsia="Arial" w:hAnsi="Arial"/>
          <w:b/>
          <w:bCs/>
          <w:color w:val="2E6DA4"/>
          <w:sz w:val="26"/>
          <w:szCs w:val="26"/>
        </w:rPr>
        <w:t xml:space="preserve">3.1 Bank Secrecy &amp; Information Disclosure</w:t>
      </w:r>
    </w:p>
    <w:p>
      <w:pPr>
        <w:spacing w:after="100"/>
      </w:pPr>
      <w:r>
        <w:rPr>
          <w:rFonts w:ascii="Arial" w:cs="Arial" w:eastAsia="Arial" w:hAnsi="Arial"/>
          <w:sz w:val="20"/>
          <w:szCs w:val="20"/>
        </w:rPr>
        <w:t xml:space="preserve">The Law on Bank Secrecy (No. 530-II) is the single most important law for this system. Every outbound disclosure of customer data must be traceable to a specific legal basis under this law.</w:t>
      </w:r>
    </w:p>
    <w:p>
      <w:pPr>
        <w:spacing w:after="100"/>
      </w:pPr>
      <w:r>
        <w:t xml:space="preserve"/>
      </w:r>
    </w:p>
    <w:p>
      <w:pPr>
        <w:pStyle w:val="Heading3"/>
        <w:spacing w:after="80" w:before="200"/>
      </w:pPr>
      <w:r>
        <w:rPr>
          <w:rFonts w:ascii="Arial" w:cs="Arial" w:eastAsia="Arial" w:hAnsi="Arial"/>
          <w:b/>
          <w:bCs/>
          <w:color w:val="444444"/>
          <w:sz w:val="22"/>
          <w:szCs w:val="22"/>
        </w:rPr>
        <w:t xml:space="preserve">What constitutes bank secrecy (Article 3, Law 530-II):</w:t>
      </w:r>
    </w:p>
    <w:p>
      <w:pPr>
        <w:pStyle w:val="ListParagraph"/>
        <w:numPr>
          <w:ilvl w:val="0"/>
          <w:numId w:val="2"/>
        </w:numPr>
        <w:spacing w:after="60"/>
      </w:pPr>
      <w:r>
        <w:rPr>
          <w:rFonts w:ascii="Arial" w:cs="Arial" w:eastAsia="Arial" w:hAnsi="Arial"/>
          <w:b w:val="false"/>
          <w:bCs w:val="false"/>
          <w:sz w:val="20"/>
          <w:szCs w:val="20"/>
        </w:rPr>
        <w:t xml:space="preserve">Information about banking operations, accounts, and deposits of the customer/correspondent</w:t>
      </w:r>
    </w:p>
    <w:p>
      <w:pPr>
        <w:pStyle w:val="ListParagraph"/>
        <w:numPr>
          <w:ilvl w:val="0"/>
          <w:numId w:val="2"/>
        </w:numPr>
        <w:spacing w:after="60"/>
      </w:pPr>
      <w:r>
        <w:rPr>
          <w:rFonts w:ascii="Arial" w:cs="Arial" w:eastAsia="Arial" w:hAnsi="Arial"/>
          <w:b w:val="false"/>
          <w:bCs w:val="false"/>
          <w:sz w:val="20"/>
          <w:szCs w:val="20"/>
        </w:rPr>
        <w:t xml:space="preserve">Customer identity information collected during account opening</w:t>
      </w:r>
    </w:p>
    <w:p>
      <w:pPr>
        <w:pStyle w:val="ListParagraph"/>
        <w:numPr>
          <w:ilvl w:val="0"/>
          <w:numId w:val="2"/>
        </w:numPr>
        <w:spacing w:after="60"/>
      </w:pPr>
      <w:r>
        <w:rPr>
          <w:rFonts w:ascii="Arial" w:cs="Arial" w:eastAsia="Arial" w:hAnsi="Arial"/>
          <w:b w:val="false"/>
          <w:bCs w:val="false"/>
          <w:sz w:val="20"/>
          <w:szCs w:val="20"/>
        </w:rPr>
        <w:t xml:space="preserve">Any other information the bank is obligated to keep confidential by law or agreement</w:t>
      </w:r>
    </w:p>
    <w:p>
      <w:pPr>
        <w:spacing w:after="100"/>
      </w:pPr>
      <w:r>
        <w:t xml:space="preserve"/>
      </w:r>
    </w:p>
    <w:p>
      <w:pPr>
        <w:pStyle w:val="Heading3"/>
        <w:spacing w:after="80" w:before="200"/>
      </w:pPr>
      <w:r>
        <w:rPr>
          <w:rFonts w:ascii="Arial" w:cs="Arial" w:eastAsia="Arial" w:hAnsi="Arial"/>
          <w:b/>
          <w:bCs/>
          <w:color w:val="444444"/>
          <w:sz w:val="22"/>
          <w:szCs w:val="22"/>
        </w:rPr>
        <w:t xml:space="preserve">Who may legally request bank secrecy information (confirmed):</w:t>
      </w:r>
    </w:p>
    <w:p>
      <w:pPr>
        <w:spacing w:after="60"/>
        <w:ind w:left="360"/>
      </w:pPr>
      <w:r>
        <w:rPr>
          <w:rFonts w:ascii="Arial" w:cs="Arial" w:eastAsia="Arial" w:hAnsi="Arial"/>
          <w:color w:val="196619"/>
          <w:sz w:val="18"/>
          <w:szCs w:val="18"/>
        </w:rPr>
        <w:t xml:space="preserve">✔ Central Bank of Uzbekistan (CBU) — in supervisory capacity, broadest access</w:t>
      </w:r>
    </w:p>
    <w:p>
      <w:pPr>
        <w:spacing w:after="60"/>
        <w:ind w:left="360"/>
      </w:pPr>
      <w:r>
        <w:rPr>
          <w:rFonts w:ascii="Arial" w:cs="Arial" w:eastAsia="Arial" w:hAnsi="Arial"/>
          <w:color w:val="196619"/>
          <w:sz w:val="18"/>
          <w:szCs w:val="18"/>
        </w:rPr>
        <w:t xml:space="preserve">✔ Courts — upon court order or in the context of legal proceedings</w:t>
      </w:r>
    </w:p>
    <w:p>
      <w:pPr>
        <w:spacing w:after="60"/>
        <w:ind w:left="360"/>
      </w:pPr>
      <w:r>
        <w:rPr>
          <w:rFonts w:ascii="Arial" w:cs="Arial" w:eastAsia="Arial" w:hAnsi="Arial"/>
          <w:color w:val="196619"/>
          <w:sz w:val="18"/>
          <w:szCs w:val="18"/>
        </w:rPr>
        <w:t xml:space="preserve">✔ Tax authority (Soliq / State Tax Committee) — for tax control purposes</w:t>
      </w:r>
    </w:p>
    <w:p>
      <w:pPr>
        <w:spacing w:after="60"/>
        <w:ind w:left="360"/>
      </w:pPr>
      <w:r>
        <w:rPr>
          <w:rFonts w:ascii="Arial" w:cs="Arial" w:eastAsia="Arial" w:hAnsi="Arial"/>
          <w:color w:val="196619"/>
          <w:sz w:val="18"/>
          <w:szCs w:val="18"/>
        </w:rPr>
        <w:t xml:space="preserve">✔ Customs authorities — in their regulatory capacity</w:t>
      </w:r>
    </w:p>
    <w:p>
      <w:pPr>
        <w:spacing w:after="60"/>
        <w:ind w:left="360"/>
      </w:pPr>
      <w:r>
        <w:rPr>
          <w:rFonts w:ascii="Arial" w:cs="Arial" w:eastAsia="Arial" w:hAnsi="Arial"/>
          <w:color w:val="196619"/>
          <w:sz w:val="18"/>
          <w:szCs w:val="18"/>
        </w:rPr>
        <w:t xml:space="preserve">✔ Law enforcement agencies (Ministry of Internal Affairs, SSS) — upon authorized request</w:t>
      </w:r>
    </w:p>
    <w:p>
      <w:pPr>
        <w:spacing w:after="60"/>
        <w:ind w:left="360"/>
      </w:pPr>
      <w:r>
        <w:rPr>
          <w:rFonts w:ascii="Arial" w:cs="Arial" w:eastAsia="Arial" w:hAnsi="Arial"/>
          <w:color w:val="196619"/>
          <w:sz w:val="18"/>
          <w:szCs w:val="18"/>
        </w:rPr>
        <w:t xml:space="preserve">✔ Prosecutor's Office (Prokuratura) — with or without sanction depending on request type (see 2021 amendment)</w:t>
      </w:r>
    </w:p>
    <w:p>
      <w:pPr>
        <w:spacing w:after="60"/>
        <w:ind w:left="360"/>
      </w:pPr>
      <w:r>
        <w:rPr>
          <w:rFonts w:ascii="Arial" w:cs="Arial" w:eastAsia="Arial" w:hAnsi="Arial"/>
          <w:color w:val="196619"/>
          <w:sz w:val="18"/>
          <w:szCs w:val="18"/>
        </w:rPr>
        <w:t xml:space="preserve">✔ Preliminary investigation, inquiry bodies, and operational-search bodies</w:t>
      </w:r>
    </w:p>
    <w:p>
      <w:pPr>
        <w:spacing w:after="100" w:before="60"/>
        <w:ind w:left="360"/>
      </w:pPr>
      <w:r>
        <w:rPr>
          <w:rFonts w:ascii="Arial" w:cs="Arial" w:eastAsia="Arial" w:hAnsi="Arial"/>
          <w:i/>
          <w:iCs/>
          <w:color w:val="8B0000"/>
          <w:sz w:val="18"/>
          <w:szCs w:val="18"/>
        </w:rPr>
        <w:t xml:space="preserve">⚠ Under the 2021 amendment: law enforcement agencies can automatically obtain whether a citizen has a bank account from the CBU's central database without a prosecutor's sanction. However, full account details still require proper authorization.</w:t>
      </w:r>
    </w:p>
    <w:p>
      <w:pPr>
        <w:spacing w:after="100"/>
      </w:pPr>
      <w:r>
        <w:t xml:space="preserve"/>
      </w:r>
    </w:p>
    <w:p>
      <w:pPr>
        <w:pStyle w:val="Heading3"/>
        <w:spacing w:after="80" w:before="200"/>
      </w:pPr>
      <w:r>
        <w:rPr>
          <w:rFonts w:ascii="Arial" w:cs="Arial" w:eastAsia="Arial" w:hAnsi="Arial"/>
          <w:b/>
          <w:bCs/>
          <w:color w:val="444444"/>
          <w:sz w:val="22"/>
          <w:szCs w:val="22"/>
        </w:rPr>
        <w:t xml:space="preserve">What is NOT considered disclosure of bank secrecy (Article 5, Law 530-II):</w:t>
      </w:r>
    </w:p>
    <w:p>
      <w:pPr>
        <w:pStyle w:val="ListParagraph"/>
        <w:numPr>
          <w:ilvl w:val="0"/>
          <w:numId w:val="2"/>
        </w:numPr>
        <w:spacing w:after="60"/>
      </w:pPr>
      <w:r>
        <w:rPr>
          <w:rFonts w:ascii="Arial" w:cs="Arial" w:eastAsia="Arial" w:hAnsi="Arial"/>
          <w:b w:val="false"/>
          <w:bCs w:val="false"/>
          <w:sz w:val="20"/>
          <w:szCs w:val="20"/>
        </w:rPr>
        <w:t xml:space="preserve">Sharing with legal, accounting, audit, or IT service providers strictly necessary for rendering their service</w:t>
      </w:r>
    </w:p>
    <w:p>
      <w:pPr>
        <w:pStyle w:val="ListParagraph"/>
        <w:numPr>
          <w:ilvl w:val="0"/>
          <w:numId w:val="2"/>
        </w:numPr>
        <w:spacing w:after="60"/>
      </w:pPr>
      <w:r>
        <w:rPr>
          <w:rFonts w:ascii="Arial" w:cs="Arial" w:eastAsia="Arial" w:hAnsi="Arial"/>
          <w:b w:val="false"/>
          <w:bCs w:val="false"/>
          <w:sz w:val="20"/>
          <w:szCs w:val="20"/>
        </w:rPr>
        <w:t xml:space="preserve">Exchange between law enforcement bodies, investigators, and foreign competent authorities per international treaties</w:t>
      </w:r>
    </w:p>
    <w:p>
      <w:pPr>
        <w:pStyle w:val="ListParagraph"/>
        <w:numPr>
          <w:ilvl w:val="0"/>
          <w:numId w:val="2"/>
        </w:numPr>
        <w:spacing w:after="60"/>
      </w:pPr>
      <w:r>
        <w:rPr>
          <w:rFonts w:ascii="Arial" w:cs="Arial" w:eastAsia="Arial" w:hAnsi="Arial"/>
          <w:b w:val="false"/>
          <w:bCs w:val="false"/>
          <w:sz w:val="20"/>
          <w:szCs w:val="20"/>
        </w:rPr>
        <w:t xml:space="preserve">Reporting to the AML authority (Department for Combating Economic Crimes) under the AML law</w:t>
      </w:r>
    </w:p>
    <w:p>
      <w:pPr>
        <w:spacing w:after="100"/>
      </w:pPr>
      <w:r>
        <w:t xml:space="preserve"/>
      </w:r>
    </w:p>
    <w:p>
      <w:pPr>
        <w:pStyle w:val="Heading2"/>
        <w:spacing w:after="120" w:before="280"/>
      </w:pPr>
      <w:r>
        <w:rPr>
          <w:rFonts w:ascii="Arial" w:cs="Arial" w:eastAsia="Arial" w:hAnsi="Arial"/>
          <w:b/>
          <w:bCs/>
          <w:color w:val="2E6DA4"/>
          <w:sz w:val="26"/>
          <w:szCs w:val="26"/>
        </w:rPr>
        <w:t xml:space="preserve">3.2 Personal Data Handling</w:t>
      </w:r>
    </w:p>
    <w:p>
      <w:pPr>
        <w:pStyle w:val="ListParagraph"/>
        <w:numPr>
          <w:ilvl w:val="0"/>
          <w:numId w:val="2"/>
        </w:numPr>
        <w:spacing w:after="60"/>
      </w:pPr>
      <w:r>
        <w:rPr>
          <w:rFonts w:ascii="Arial" w:cs="Arial" w:eastAsia="Arial" w:hAnsi="Arial"/>
          <w:b w:val="false"/>
          <w:bCs w:val="false"/>
          <w:sz w:val="20"/>
          <w:szCs w:val="20"/>
        </w:rPr>
        <w:t xml:space="preserve">All client personal data must be stored on servers physically located within Uzbekistan (data localization — ZRU-666, 2021 amendment to ZRU-547).</w:t>
      </w:r>
    </w:p>
    <w:p>
      <w:pPr>
        <w:pStyle w:val="ListParagraph"/>
        <w:numPr>
          <w:ilvl w:val="0"/>
          <w:numId w:val="2"/>
        </w:numPr>
        <w:spacing w:after="60"/>
      </w:pPr>
      <w:r>
        <w:rPr>
          <w:rFonts w:ascii="Arial" w:cs="Arial" w:eastAsia="Arial" w:hAnsi="Arial"/>
          <w:b w:val="false"/>
          <w:bCs w:val="false"/>
          <w:sz w:val="20"/>
          <w:szCs w:val="20"/>
        </w:rPr>
        <w:t xml:space="preserve">Personal data can only be transferred to state bodies if there is an explicit legal basis (court order, law, or government decree).</w:t>
      </w:r>
    </w:p>
    <w:p>
      <w:pPr>
        <w:pStyle w:val="ListParagraph"/>
        <w:numPr>
          <w:ilvl w:val="0"/>
          <w:numId w:val="2"/>
        </w:numPr>
        <w:spacing w:after="60"/>
      </w:pPr>
      <w:r>
        <w:rPr>
          <w:rFonts w:ascii="Arial" w:cs="Arial" w:eastAsia="Arial" w:hAnsi="Arial"/>
          <w:b w:val="false"/>
          <w:bCs w:val="false"/>
          <w:sz w:val="20"/>
          <w:szCs w:val="20"/>
        </w:rPr>
        <w:t xml:space="preserve">The bank must log every access to personal data records with timestamp, accessing user, and legal basis.</w:t>
      </w:r>
    </w:p>
    <w:p>
      <w:pPr>
        <w:pStyle w:val="ListParagraph"/>
        <w:numPr>
          <w:ilvl w:val="0"/>
          <w:numId w:val="2"/>
        </w:numPr>
        <w:spacing w:after="60"/>
      </w:pPr>
      <w:r>
        <w:rPr>
          <w:rFonts w:ascii="Arial" w:cs="Arial" w:eastAsia="Arial" w:hAnsi="Arial"/>
          <w:b w:val="false"/>
          <w:bCs w:val="false"/>
          <w:sz w:val="20"/>
          <w:szCs w:val="20"/>
        </w:rPr>
        <w:t xml:space="preserve">2025 Decree PP-153 adds specific financial-sector liability for data breaches caused by cyber-attacks.</w:t>
      </w:r>
    </w:p>
    <w:p>
      <w:pPr>
        <w:spacing w:after="100" w:before="60"/>
        <w:ind w:left="360"/>
      </w:pPr>
      <w:r>
        <w:rPr>
          <w:rFonts w:ascii="Arial" w:cs="Arial" w:eastAsia="Arial" w:hAnsi="Arial"/>
          <w:i/>
          <w:iCs/>
          <w:color w:val="8B0000"/>
          <w:sz w:val="18"/>
          <w:szCs w:val="18"/>
        </w:rPr>
        <w:t xml:space="preserve">⚠ The exact consent and notification requirements under ZRU-547 when disclosing to state bodies should be verified against the current text on lex.uz. Practice suggests that court orders and legal mandates override the consent requirement.</w:t>
      </w:r>
    </w:p>
    <w:p>
      <w:pPr>
        <w:spacing w:after="100"/>
      </w:pPr>
      <w:r>
        <w:t xml:space="preserve"/>
      </w:r>
    </w:p>
    <w:p>
      <w:pPr>
        <w:pStyle w:val="Heading2"/>
        <w:spacing w:after="120" w:before="280"/>
      </w:pPr>
      <w:r>
        <w:rPr>
          <w:rFonts w:ascii="Arial" w:cs="Arial" w:eastAsia="Arial" w:hAnsi="Arial"/>
          <w:b/>
          <w:bCs/>
          <w:color w:val="2E6DA4"/>
          <w:sz w:val="26"/>
          <w:szCs w:val="26"/>
        </w:rPr>
        <w:t xml:space="preserve">3.3 AML / KYC Compliance</w:t>
      </w:r>
    </w:p>
    <w:p>
      <w:pPr>
        <w:pStyle w:val="ListParagraph"/>
        <w:numPr>
          <w:ilvl w:val="0"/>
          <w:numId w:val="2"/>
        </w:numPr>
        <w:spacing w:after="60"/>
      </w:pPr>
      <w:r>
        <w:rPr>
          <w:rFonts w:ascii="Arial" w:cs="Arial" w:eastAsia="Arial" w:hAnsi="Arial"/>
          <w:b w:val="false"/>
          <w:bCs w:val="false"/>
          <w:sz w:val="20"/>
          <w:szCs w:val="20"/>
        </w:rPr>
        <w:t xml:space="preserve">Every bank must maintain an internal AML control system (Law 660-II, Article 12).</w:t>
      </w:r>
    </w:p>
    <w:p>
      <w:pPr>
        <w:pStyle w:val="ListParagraph"/>
        <w:numPr>
          <w:ilvl w:val="0"/>
          <w:numId w:val="2"/>
        </w:numPr>
        <w:spacing w:after="60"/>
      </w:pPr>
      <w:r>
        <w:rPr>
          <w:rFonts w:ascii="Arial" w:cs="Arial" w:eastAsia="Arial" w:hAnsi="Arial"/>
          <w:b w:val="false"/>
          <w:bCs w:val="false"/>
          <w:sz w:val="20"/>
          <w:szCs w:val="20"/>
        </w:rPr>
        <w:t xml:space="preserve">Suspicious transactions must be reported to the Department for Combating Economic Crimes under the Prosecutor General's Office — the national FIU.</w:t>
      </w:r>
    </w:p>
    <w:p>
      <w:pPr>
        <w:pStyle w:val="ListParagraph"/>
        <w:numPr>
          <w:ilvl w:val="0"/>
          <w:numId w:val="2"/>
        </w:numPr>
        <w:spacing w:after="60"/>
      </w:pPr>
      <w:r>
        <w:rPr>
          <w:rFonts w:ascii="Arial" w:cs="Arial" w:eastAsia="Arial" w:hAnsi="Arial"/>
          <w:b w:val="false"/>
          <w:bCs w:val="false"/>
          <w:sz w:val="20"/>
          <w:szCs w:val="20"/>
        </w:rPr>
        <w:t xml:space="preserve">KYC involves: Customer Due Diligence (CDD), Enhanced Due Diligence (EDD) for high-risk clients, Politically Exposed Persons (PEP) screening, beneficial owner identification.</w:t>
      </w:r>
    </w:p>
    <w:p>
      <w:pPr>
        <w:pStyle w:val="ListParagraph"/>
        <w:numPr>
          <w:ilvl w:val="0"/>
          <w:numId w:val="2"/>
        </w:numPr>
        <w:spacing w:after="60"/>
      </w:pPr>
      <w:r>
        <w:rPr>
          <w:rFonts w:ascii="Arial" w:cs="Arial" w:eastAsia="Arial" w:hAnsi="Arial"/>
          <w:b w:val="false"/>
          <w:bCs w:val="false"/>
          <w:sz w:val="20"/>
          <w:szCs w:val="20"/>
        </w:rPr>
        <w:t xml:space="preserve">Client risk categorization is required: Low / Medium / High risk (per CBU Risk-Based Supervision Guidelines, Dec 2023).</w:t>
      </w:r>
    </w:p>
    <w:p>
      <w:pPr>
        <w:pStyle w:val="ListParagraph"/>
        <w:numPr>
          <w:ilvl w:val="0"/>
          <w:numId w:val="2"/>
        </w:numPr>
        <w:spacing w:after="60"/>
      </w:pPr>
      <w:r>
        <w:rPr>
          <w:rFonts w:ascii="Arial" w:cs="Arial" w:eastAsia="Arial" w:hAnsi="Arial"/>
          <w:b w:val="false"/>
          <w:bCs w:val="false"/>
          <w:sz w:val="20"/>
          <w:szCs w:val="20"/>
        </w:rPr>
        <w:t xml:space="preserve">All AML records (transaction data, KYC files, suspicious activity reports) must be retained for at least 5 years (FATF standard adopted by Uzbekistan).</w:t>
      </w:r>
    </w:p>
    <w:p>
      <w:pPr>
        <w:spacing w:after="60"/>
        <w:ind w:left="360"/>
      </w:pPr>
      <w:r>
        <w:rPr>
          <w:rFonts w:ascii="Arial" w:cs="Arial" w:eastAsia="Arial" w:hAnsi="Arial"/>
          <w:color w:val="196619"/>
          <w:sz w:val="18"/>
          <w:szCs w:val="18"/>
        </w:rPr>
        <w:t xml:space="preserve">✔ State Tax Service bodies must notify the Department for Combating Economic Crimes in writing within 3 days of identifying AML-related issues during monitoring.</w:t>
      </w:r>
    </w:p>
    <w:p>
      <w:pPr>
        <w:spacing w:after="100"/>
      </w:pPr>
      <w:r>
        <w:t xml:space="preserve"/>
      </w:r>
    </w:p>
    <w:p>
      <w:pPr>
        <w:pStyle w:val="Heading2"/>
        <w:spacing w:after="120" w:before="280"/>
      </w:pPr>
      <w:r>
        <w:rPr>
          <w:rFonts w:ascii="Arial" w:cs="Arial" w:eastAsia="Arial" w:hAnsi="Arial"/>
          <w:b/>
          <w:bCs/>
          <w:color w:val="2E6DA4"/>
          <w:sz w:val="26"/>
          <w:szCs w:val="26"/>
        </w:rPr>
        <w:t xml:space="preserve">3.4 Electronic Documents &amp; Digital Signatures</w:t>
      </w:r>
    </w:p>
    <w:p>
      <w:pPr>
        <w:pStyle w:val="ListParagraph"/>
        <w:numPr>
          <w:ilvl w:val="0"/>
          <w:numId w:val="2"/>
        </w:numPr>
        <w:spacing w:after="60"/>
      </w:pPr>
      <w:r>
        <w:rPr>
          <w:rFonts w:ascii="Arial" w:cs="Arial" w:eastAsia="Arial" w:hAnsi="Arial"/>
          <w:b w:val="false"/>
          <w:bCs w:val="false"/>
          <w:sz w:val="20"/>
          <w:szCs w:val="20"/>
        </w:rPr>
        <w:t xml:space="preserve">All outbound official responses should be signed with a valid EDS to have full legal standing (Law ZRU-793, 2022).</w:t>
      </w:r>
    </w:p>
    <w:p>
      <w:pPr>
        <w:pStyle w:val="ListParagraph"/>
        <w:numPr>
          <w:ilvl w:val="0"/>
          <w:numId w:val="2"/>
        </w:numPr>
        <w:spacing w:after="60"/>
      </w:pPr>
      <w:r>
        <w:rPr>
          <w:rFonts w:ascii="Arial" w:cs="Arial" w:eastAsia="Arial" w:hAnsi="Arial"/>
          <w:b w:val="false"/>
          <w:bCs w:val="false"/>
          <w:sz w:val="20"/>
          <w:szCs w:val="20"/>
        </w:rPr>
        <w:t xml:space="preserve">The bank's EDS certificate must be issued by an authorized Certification Center under the State Tax Committee.</w:t>
      </w:r>
    </w:p>
    <w:p>
      <w:pPr>
        <w:pStyle w:val="ListParagraph"/>
        <w:numPr>
          <w:ilvl w:val="0"/>
          <w:numId w:val="2"/>
        </w:numPr>
        <w:spacing w:after="60"/>
      </w:pPr>
      <w:r>
        <w:rPr>
          <w:rFonts w:ascii="Arial" w:cs="Arial" w:eastAsia="Arial" w:hAnsi="Arial"/>
          <w:b w:val="false"/>
          <w:bCs w:val="false"/>
          <w:sz w:val="20"/>
          <w:szCs w:val="20"/>
        </w:rPr>
        <w:t xml:space="preserve">An EDS key certificate is valid for a specific period (typically 2 years) and must be renewed. The system must track certificate expiry.</w:t>
      </w:r>
    </w:p>
    <w:p>
      <w:pPr>
        <w:pStyle w:val="ListParagraph"/>
        <w:numPr>
          <w:ilvl w:val="0"/>
          <w:numId w:val="2"/>
        </w:numPr>
        <w:spacing w:after="60"/>
      </w:pPr>
      <w:r>
        <w:rPr>
          <w:rFonts w:ascii="Arial" w:cs="Arial" w:eastAsia="Arial" w:hAnsi="Arial"/>
          <w:b w:val="false"/>
          <w:bCs w:val="false"/>
          <w:sz w:val="20"/>
          <w:szCs w:val="20"/>
        </w:rPr>
        <w:t xml:space="preserve">Electronic documents are legally admissible in court if signed with a valid EDS (Law 611-II, 2004).</w:t>
      </w:r>
    </w:p>
    <w:p>
      <w:pPr>
        <w:pStyle w:val="ListParagraph"/>
        <w:numPr>
          <w:ilvl w:val="0"/>
          <w:numId w:val="2"/>
        </w:numPr>
        <w:spacing w:after="60"/>
      </w:pPr>
      <w:r>
        <w:rPr>
          <w:rFonts w:ascii="Arial" w:cs="Arial" w:eastAsia="Arial" w:hAnsi="Arial"/>
          <w:b w:val="false"/>
          <w:bCs w:val="false"/>
          <w:sz w:val="20"/>
          <w:szCs w:val="20"/>
        </w:rPr>
        <w:t xml:space="preserve">All B2B transactions require electronic invoices (e-factura) signed with valid EDS. This affects how the bank documents its responses.</w:t>
      </w:r>
    </w:p>
    <w:p>
      <w:pPr>
        <w:spacing w:after="100"/>
      </w:pPr>
      <w:r>
        <w:t xml:space="preserve"/>
      </w:r>
    </w:p>
    <w:p>
      <w:pPr>
        <w:pStyle w:val="Heading2"/>
        <w:spacing w:after="120" w:before="280"/>
      </w:pPr>
      <w:r>
        <w:rPr>
          <w:rFonts w:ascii="Arial" w:cs="Arial" w:eastAsia="Arial" w:hAnsi="Arial"/>
          <w:b/>
          <w:bCs/>
          <w:color w:val="2E6DA4"/>
          <w:sz w:val="26"/>
          <w:szCs w:val="26"/>
        </w:rPr>
        <w:t xml:space="preserve">3.5 Document Retention</w:t>
      </w:r>
    </w:p>
    <w:p>
      <w:pPr>
        <w:pStyle w:val="ListParagraph"/>
        <w:numPr>
          <w:ilvl w:val="0"/>
          <w:numId w:val="2"/>
        </w:numPr>
        <w:spacing w:after="60"/>
      </w:pPr>
      <w:r>
        <w:rPr>
          <w:rFonts w:ascii="Arial" w:cs="Arial" w:eastAsia="Arial" w:hAnsi="Arial"/>
          <w:b w:val="false"/>
          <w:bCs w:val="false"/>
          <w:sz w:val="20"/>
          <w:szCs w:val="20"/>
        </w:rPr>
        <w:t xml:space="preserve">AML records: minimum 5 years (FATF / Law 660-II).</w:t>
      </w:r>
    </w:p>
    <w:p>
      <w:pPr>
        <w:pStyle w:val="ListParagraph"/>
        <w:numPr>
          <w:ilvl w:val="0"/>
          <w:numId w:val="2"/>
        </w:numPr>
        <w:spacing w:after="60"/>
      </w:pPr>
      <w:r>
        <w:rPr>
          <w:rFonts w:ascii="Arial" w:cs="Arial" w:eastAsia="Arial" w:hAnsi="Arial"/>
          <w:b w:val="false"/>
          <w:bCs w:val="false"/>
          <w:sz w:val="20"/>
          <w:szCs w:val="20"/>
        </w:rPr>
        <w:t xml:space="preserve">KYC files: minimum 5 years after end of customer relationship (FATF standard).</w:t>
      </w:r>
    </w:p>
    <w:p>
      <w:pPr>
        <w:pStyle w:val="ListParagraph"/>
        <w:numPr>
          <w:ilvl w:val="0"/>
          <w:numId w:val="2"/>
        </w:numPr>
        <w:spacing w:after="60"/>
      </w:pPr>
      <w:r>
        <w:rPr>
          <w:rFonts w:ascii="Arial" w:cs="Arial" w:eastAsia="Arial" w:hAnsi="Arial"/>
          <w:b w:val="false"/>
          <w:bCs w:val="false"/>
          <w:sz w:val="20"/>
          <w:szCs w:val="20"/>
        </w:rPr>
        <w:t xml:space="preserve">Banking operations documents: standard archival periods apply — likely 5-10 years under accounting law.</w:t>
      </w:r>
    </w:p>
    <w:p>
      <w:pPr>
        <w:pStyle w:val="ListParagraph"/>
        <w:numPr>
          <w:ilvl w:val="0"/>
          <w:numId w:val="2"/>
        </w:numPr>
        <w:spacing w:after="60"/>
      </w:pPr>
      <w:r>
        <w:rPr>
          <w:rFonts w:ascii="Arial" w:cs="Arial" w:eastAsia="Arial" w:hAnsi="Arial"/>
          <w:b w:val="false"/>
          <w:bCs w:val="false"/>
          <w:sz w:val="20"/>
          <w:szCs w:val="20"/>
        </w:rPr>
        <w:t xml:space="preserve">Audit trail records for state request responses: should be retained for the same period as the underlying records — at minimum 5 years.</w:t>
      </w:r>
    </w:p>
    <w:p>
      <w:pPr>
        <w:spacing w:after="100" w:before="60"/>
        <w:ind w:left="360"/>
      </w:pPr>
      <w:r>
        <w:rPr>
          <w:rFonts w:ascii="Arial" w:cs="Arial" w:eastAsia="Arial" w:hAnsi="Arial"/>
          <w:i/>
          <w:iCs/>
          <w:color w:val="8B0000"/>
          <w:sz w:val="18"/>
          <w:szCs w:val="18"/>
        </w:rPr>
        <w:t xml:space="preserve">⚠ Specific document retention periods for bank-to-state correspondence are not explicitly codified in a single place. The system should default to 5 years minimum and align with CBU circulars. This should be verified against current CBU regulations.</w:t>
      </w:r>
    </w:p>
    <w:p>
      <w:pPr>
        <w:spacing w:after="100"/>
      </w:pPr>
      <w:r>
        <w:t xml:space="preserve"/>
      </w:r>
    </w:p>
    <w:p>
      <w:pPr>
        <w:pStyle w:val="Heading2"/>
        <w:spacing w:after="120" w:before="280"/>
      </w:pPr>
      <w:r>
        <w:rPr>
          <w:rFonts w:ascii="Arial" w:cs="Arial" w:eastAsia="Arial" w:hAnsi="Arial"/>
          <w:b/>
          <w:bCs/>
          <w:color w:val="2E6DA4"/>
          <w:sz w:val="26"/>
          <w:szCs w:val="26"/>
        </w:rPr>
        <w:t xml:space="preserve">3.6 Response Timelines (Confirmed &amp; Estimated)</w:t>
      </w:r>
    </w:p>
    <w:p>
      <w:pPr>
        <w:spacing w:after="100"/>
      </w:pPr>
      <w:r>
        <w:rPr>
          <w:rFonts w:ascii="Arial" w:cs="Arial" w:eastAsia="Arial" w:hAnsi="Arial"/>
          <w:sz w:val="20"/>
          <w:szCs w:val="20"/>
        </w:rPr>
        <w:t xml:space="preserve">The following response timelines have been identified or can be reasonably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gridCol w:w="1360"/>
      </w:tblGrid>
      <w:tr>
        <w:trPr>
          <w:tblHeader/>
        </w:trP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7"/>
                <w:szCs w:val="17"/>
              </w:rPr>
              <w:t xml:space="preserve">Requesting Body</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7"/>
                <w:szCs w:val="17"/>
              </w:rPr>
              <w:t xml:space="preserve">Confirmed Deadline</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7"/>
                <w:szCs w:val="17"/>
              </w:rPr>
              <w:t xml:space="preserve">Notes</w:t>
            </w:r>
          </w:p>
        </w:tc>
        <w:tc>
          <w:tcPr>
            <w:tcW w:type="dxa" w:w="1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7"/>
                <w:szCs w:val="17"/>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Central Bank (CBU)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No universal deadline — as specified in CBU requests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CBU supervision requests must be treated as highest priority. Typical expectation: 1-3 business days.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Law 216-I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Securities Agency Disclosure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2 business days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Specific rule for securities transaction notifications.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ZRU-163, 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Quarterly report to Securities Agency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30 days after quarter end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For banks engaged in securities activities.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MoJ Order No. 2383</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AML Suspicious Transaction Report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Immediately / same day</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Suspicious transactions must be reported without delay.</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Law 660-II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State Tax Service AML finding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3 days from identification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Tax service must notify Department within 3 days.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Confirmed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Tax Authority (Soliq) — Account Suspension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Immediate (up to 10 days)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Bank must comply with suspension order immediately. Over 10 days requires court order.</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Tax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Prosecutor / Court / Law Enforcement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Not explicitly codified in confirmed sources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Best practice: 3-5 business days. Urgency should be assessed per request. Treat prosecutor requests with same priority as court orders.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Law 530-II (inferred)</w:t>
            </w:r>
          </w:p>
        </w:tc>
      </w:tr>
    </w:tbl>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4. Suggested Bank Internal Policy Sections</w:t>
      </w:r>
    </w:p>
    <w:p>
      <w:pPr>
        <w:spacing w:after="100"/>
      </w:pPr>
      <w:r>
        <w:rPr>
          <w:rFonts w:ascii="Arial" w:cs="Arial" w:eastAsia="Arial" w:hAnsi="Arial"/>
          <w:sz w:val="20"/>
          <w:szCs w:val="20"/>
        </w:rPr>
        <w:t xml:space="preserve">The following sections should be included in the bank's Internal Policy for Responding to Official State Requests (Внутренняя политика). These mirror the legal requirements identified in Section 3.</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A — Scope and Definitions</w:t>
      </w:r>
    </w:p>
    <w:p>
      <w:pPr>
        <w:pStyle w:val="ListParagraph"/>
        <w:numPr>
          <w:ilvl w:val="0"/>
          <w:numId w:val="2"/>
        </w:numPr>
        <w:spacing w:after="60"/>
      </w:pPr>
      <w:r>
        <w:rPr>
          <w:rFonts w:ascii="Arial" w:cs="Arial" w:eastAsia="Arial" w:hAnsi="Arial"/>
          <w:b w:val="false"/>
          <w:bCs w:val="false"/>
          <w:sz w:val="20"/>
          <w:szCs w:val="20"/>
        </w:rPr>
        <w:t xml:space="preserve">Define 'Official Request': any written communication from a state body (CBU, Soliq, Prokuratura, courts, MIA, SSS, etc.) requesting information, documents, or actions from the bank.</w:t>
      </w:r>
    </w:p>
    <w:p>
      <w:pPr>
        <w:pStyle w:val="ListParagraph"/>
        <w:numPr>
          <w:ilvl w:val="0"/>
          <w:numId w:val="2"/>
        </w:numPr>
        <w:spacing w:after="60"/>
      </w:pPr>
      <w:r>
        <w:rPr>
          <w:rFonts w:ascii="Arial" w:cs="Arial" w:eastAsia="Arial" w:hAnsi="Arial"/>
          <w:b w:val="false"/>
          <w:bCs w:val="false"/>
          <w:sz w:val="20"/>
          <w:szCs w:val="20"/>
        </w:rPr>
        <w:t xml:space="preserve">Define 'Authorized Requestor': a state body with the legal right to access bank secrecy information under Law 530-II.</w:t>
      </w:r>
    </w:p>
    <w:p>
      <w:pPr>
        <w:pStyle w:val="ListParagraph"/>
        <w:numPr>
          <w:ilvl w:val="0"/>
          <w:numId w:val="2"/>
        </w:numPr>
        <w:spacing w:after="60"/>
      </w:pPr>
      <w:r>
        <w:rPr>
          <w:rFonts w:ascii="Arial" w:cs="Arial" w:eastAsia="Arial" w:hAnsi="Arial"/>
          <w:b w:val="false"/>
          <w:bCs w:val="false"/>
          <w:sz w:val="20"/>
          <w:szCs w:val="20"/>
        </w:rPr>
        <w:t xml:space="preserve">Define 'Bank Secrecy Information': as per Article 3 of Law 530-II.</w:t>
      </w:r>
    </w:p>
    <w:p>
      <w:pPr>
        <w:pStyle w:val="ListParagraph"/>
        <w:numPr>
          <w:ilvl w:val="0"/>
          <w:numId w:val="2"/>
        </w:numPr>
        <w:spacing w:after="60"/>
      </w:pPr>
      <w:r>
        <w:rPr>
          <w:rFonts w:ascii="Arial" w:cs="Arial" w:eastAsia="Arial" w:hAnsi="Arial"/>
          <w:b w:val="false"/>
          <w:bCs w:val="false"/>
          <w:sz w:val="20"/>
          <w:szCs w:val="20"/>
        </w:rPr>
        <w:t xml:space="preserve">Define 'Personal Data': as per Law ZRU-547.</w:t>
      </w:r>
    </w:p>
    <w:p>
      <w:pPr>
        <w:pStyle w:val="ListParagraph"/>
        <w:numPr>
          <w:ilvl w:val="0"/>
          <w:numId w:val="2"/>
        </w:numPr>
        <w:spacing w:after="60"/>
      </w:pPr>
      <w:r>
        <w:rPr>
          <w:rFonts w:ascii="Arial" w:cs="Arial" w:eastAsia="Arial" w:hAnsi="Arial"/>
          <w:b w:val="false"/>
          <w:bCs w:val="false"/>
          <w:sz w:val="20"/>
          <w:szCs w:val="20"/>
        </w:rPr>
        <w:t xml:space="preserve">Define 'Response Package': all documents prepared in response to an official request, including cover letter, attachments, audit log, and approval records.</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B — Intake and Classification of Requests</w:t>
      </w:r>
    </w:p>
    <w:p>
      <w:pPr>
        <w:pStyle w:val="ListParagraph"/>
        <w:numPr>
          <w:ilvl w:val="0"/>
          <w:numId w:val="2"/>
        </w:numPr>
        <w:spacing w:after="60"/>
      </w:pPr>
      <w:r>
        <w:rPr>
          <w:rFonts w:ascii="Arial" w:cs="Arial" w:eastAsia="Arial" w:hAnsi="Arial"/>
          <w:b w:val="false"/>
          <w:bCs w:val="false"/>
          <w:sz w:val="20"/>
          <w:szCs w:val="20"/>
        </w:rPr>
        <w:t xml:space="preserve">All official requests must be received through a designated channel and logged immediately upon receipt.</w:t>
      </w:r>
    </w:p>
    <w:p>
      <w:pPr>
        <w:pStyle w:val="ListParagraph"/>
        <w:numPr>
          <w:ilvl w:val="0"/>
          <w:numId w:val="2"/>
        </w:numPr>
        <w:spacing w:after="60"/>
      </w:pPr>
      <w:r>
        <w:rPr>
          <w:rFonts w:ascii="Arial" w:cs="Arial" w:eastAsia="Arial" w:hAnsi="Arial"/>
          <w:b w:val="false"/>
          <w:bCs w:val="false"/>
          <w:sz w:val="20"/>
          <w:szCs w:val="20"/>
        </w:rPr>
        <w:t xml:space="preserve">Each request must be classified by: (1) Requesting body type, (2) Legal basis cited in the request, (3) Nature of information requested, (4) Urgency level.</w:t>
      </w:r>
    </w:p>
    <w:p>
      <w:pPr>
        <w:pStyle w:val="ListParagraph"/>
        <w:numPr>
          <w:ilvl w:val="0"/>
          <w:numId w:val="2"/>
        </w:numPr>
        <w:spacing w:after="60"/>
      </w:pPr>
      <w:r>
        <w:rPr>
          <w:rFonts w:ascii="Arial" w:cs="Arial" w:eastAsia="Arial" w:hAnsi="Arial"/>
          <w:b w:val="false"/>
          <w:bCs w:val="false"/>
          <w:sz w:val="20"/>
          <w:szCs w:val="20"/>
        </w:rPr>
        <w:t xml:space="preserve">The request must be verified for authenticity: official letterhead, authorized signature, reference number, and legal basis.</w:t>
      </w:r>
    </w:p>
    <w:p>
      <w:pPr>
        <w:pStyle w:val="ListParagraph"/>
        <w:numPr>
          <w:ilvl w:val="0"/>
          <w:numId w:val="2"/>
        </w:numPr>
        <w:spacing w:after="60"/>
      </w:pPr>
      <w:r>
        <w:rPr>
          <w:rFonts w:ascii="Arial" w:cs="Arial" w:eastAsia="Arial" w:hAnsi="Arial"/>
          <w:b w:val="false"/>
          <w:bCs w:val="false"/>
          <w:sz w:val="20"/>
          <w:szCs w:val="20"/>
        </w:rPr>
        <w:t xml:space="preserve">Requests lacking a valid legal basis must be flagged for legal review before any information is shared.</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C — Information Disclosure Process</w:t>
      </w:r>
    </w:p>
    <w:p>
      <w:pPr>
        <w:pStyle w:val="ListParagraph"/>
        <w:numPr>
          <w:ilvl w:val="0"/>
          <w:numId w:val="2"/>
        </w:numPr>
        <w:spacing w:after="60"/>
      </w:pPr>
      <w:r>
        <w:rPr>
          <w:rFonts w:ascii="Arial" w:cs="Arial" w:eastAsia="Arial" w:hAnsi="Arial"/>
          <w:b w:val="false"/>
          <w:bCs w:val="false"/>
          <w:sz w:val="20"/>
          <w:szCs w:val="20"/>
        </w:rPr>
        <w:t xml:space="preserve">Only employees with an explicit role-based authorization may access client data for state request response purposes.</w:t>
      </w:r>
    </w:p>
    <w:p>
      <w:pPr>
        <w:pStyle w:val="ListParagraph"/>
        <w:numPr>
          <w:ilvl w:val="0"/>
          <w:numId w:val="2"/>
        </w:numPr>
        <w:spacing w:after="60"/>
      </w:pPr>
      <w:r>
        <w:rPr>
          <w:rFonts w:ascii="Arial" w:cs="Arial" w:eastAsia="Arial" w:hAnsi="Arial"/>
          <w:b w:val="false"/>
          <w:bCs w:val="false"/>
          <w:sz w:val="20"/>
          <w:szCs w:val="20"/>
        </w:rPr>
        <w:t xml:space="preserve">Every data access in connection with a state request must be logged with: employee ID, timestamp, client record accessed, request ID.</w:t>
      </w:r>
    </w:p>
    <w:p>
      <w:pPr>
        <w:pStyle w:val="ListParagraph"/>
        <w:numPr>
          <w:ilvl w:val="0"/>
          <w:numId w:val="2"/>
        </w:numPr>
        <w:spacing w:after="60"/>
      </w:pPr>
      <w:r>
        <w:rPr>
          <w:rFonts w:ascii="Arial" w:cs="Arial" w:eastAsia="Arial" w:hAnsi="Arial"/>
          <w:b w:val="false"/>
          <w:bCs w:val="false"/>
          <w:sz w:val="20"/>
          <w:szCs w:val="20"/>
        </w:rPr>
        <w:t xml:space="preserve">Draft responses must be reviewed by the Compliance Officer and approved by an authorized manager before dispatch.</w:t>
      </w:r>
    </w:p>
    <w:p>
      <w:pPr>
        <w:pStyle w:val="ListParagraph"/>
        <w:numPr>
          <w:ilvl w:val="0"/>
          <w:numId w:val="2"/>
        </w:numPr>
        <w:spacing w:after="60"/>
      </w:pPr>
      <w:r>
        <w:rPr>
          <w:rFonts w:ascii="Arial" w:cs="Arial" w:eastAsia="Arial" w:hAnsi="Arial"/>
          <w:b w:val="false"/>
          <w:bCs w:val="false"/>
          <w:sz w:val="20"/>
          <w:szCs w:val="20"/>
        </w:rPr>
        <w:t xml:space="preserve">No information constituting bank secrecy may be shared without documented legal authorization.</w:t>
      </w:r>
    </w:p>
    <w:p>
      <w:pPr>
        <w:pStyle w:val="ListParagraph"/>
        <w:numPr>
          <w:ilvl w:val="0"/>
          <w:numId w:val="2"/>
        </w:numPr>
        <w:spacing w:after="60"/>
      </w:pPr>
      <w:r>
        <w:rPr>
          <w:rFonts w:ascii="Arial" w:cs="Arial" w:eastAsia="Arial" w:hAnsi="Arial"/>
          <w:b w:val="false"/>
          <w:bCs w:val="false"/>
          <w:sz w:val="20"/>
          <w:szCs w:val="20"/>
        </w:rPr>
        <w:t xml:space="preserve">Responses must be sent via an official channel (registered mail or EDS-signed electronic document).</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D — AML / Suspicious Activity Reporting</w:t>
      </w:r>
    </w:p>
    <w:p>
      <w:pPr>
        <w:pStyle w:val="ListParagraph"/>
        <w:numPr>
          <w:ilvl w:val="0"/>
          <w:numId w:val="2"/>
        </w:numPr>
        <w:spacing w:after="60"/>
      </w:pPr>
      <w:r>
        <w:rPr>
          <w:rFonts w:ascii="Arial" w:cs="Arial" w:eastAsia="Arial" w:hAnsi="Arial"/>
          <w:b w:val="false"/>
          <w:bCs w:val="false"/>
          <w:sz w:val="20"/>
          <w:szCs w:val="20"/>
        </w:rPr>
        <w:t xml:space="preserve">Suspicious transactions must be reported to the Department for Combating Economic Crimes (FIU) without delay per Law 660-II.</w:t>
      </w:r>
    </w:p>
    <w:p>
      <w:pPr>
        <w:pStyle w:val="ListParagraph"/>
        <w:numPr>
          <w:ilvl w:val="0"/>
          <w:numId w:val="2"/>
        </w:numPr>
        <w:spacing w:after="60"/>
      </w:pPr>
      <w:r>
        <w:rPr>
          <w:rFonts w:ascii="Arial" w:cs="Arial" w:eastAsia="Arial" w:hAnsi="Arial"/>
          <w:b w:val="false"/>
          <w:bCs w:val="false"/>
          <w:sz w:val="20"/>
          <w:szCs w:val="20"/>
        </w:rPr>
        <w:t xml:space="preserve">The bank must not notify the client that a suspicious activity report has been filed.</w:t>
      </w:r>
    </w:p>
    <w:p>
      <w:pPr>
        <w:pStyle w:val="ListParagraph"/>
        <w:numPr>
          <w:ilvl w:val="0"/>
          <w:numId w:val="2"/>
        </w:numPr>
        <w:spacing w:after="60"/>
      </w:pPr>
      <w:r>
        <w:rPr>
          <w:rFonts w:ascii="Arial" w:cs="Arial" w:eastAsia="Arial" w:hAnsi="Arial"/>
          <w:b w:val="false"/>
          <w:bCs w:val="false"/>
          <w:sz w:val="20"/>
          <w:szCs w:val="20"/>
        </w:rPr>
        <w:t xml:space="preserve">All STRs (Suspicious Transaction Reports) must be logged and retained for a minimum of 5 years.</w:t>
      </w:r>
    </w:p>
    <w:p>
      <w:pPr>
        <w:pStyle w:val="ListParagraph"/>
        <w:numPr>
          <w:ilvl w:val="0"/>
          <w:numId w:val="2"/>
        </w:numPr>
        <w:spacing w:after="60"/>
      </w:pPr>
      <w:r>
        <w:rPr>
          <w:rFonts w:ascii="Arial" w:cs="Arial" w:eastAsia="Arial" w:hAnsi="Arial"/>
          <w:b w:val="false"/>
          <w:bCs w:val="false"/>
          <w:sz w:val="20"/>
          <w:szCs w:val="20"/>
        </w:rPr>
        <w:t xml:space="preserve">KYC files must be kept current and subject to periodic review (annual for high-risk clients, every 3 years for standard clients).</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E — Electronic Documents and Signatures</w:t>
      </w:r>
    </w:p>
    <w:p>
      <w:pPr>
        <w:pStyle w:val="ListParagraph"/>
        <w:numPr>
          <w:ilvl w:val="0"/>
          <w:numId w:val="2"/>
        </w:numPr>
        <w:spacing w:after="60"/>
      </w:pPr>
      <w:r>
        <w:rPr>
          <w:rFonts w:ascii="Arial" w:cs="Arial" w:eastAsia="Arial" w:hAnsi="Arial"/>
          <w:b w:val="false"/>
          <w:bCs w:val="false"/>
          <w:sz w:val="20"/>
          <w:szCs w:val="20"/>
        </w:rPr>
        <w:t xml:space="preserve">All outbound official responses must be signed with the bank's valid EDS certificate.</w:t>
      </w:r>
    </w:p>
    <w:p>
      <w:pPr>
        <w:pStyle w:val="ListParagraph"/>
        <w:numPr>
          <w:ilvl w:val="0"/>
          <w:numId w:val="2"/>
        </w:numPr>
        <w:spacing w:after="60"/>
      </w:pPr>
      <w:r>
        <w:rPr>
          <w:rFonts w:ascii="Arial" w:cs="Arial" w:eastAsia="Arial" w:hAnsi="Arial"/>
          <w:b w:val="false"/>
          <w:bCs w:val="false"/>
          <w:sz w:val="20"/>
          <w:szCs w:val="20"/>
        </w:rPr>
        <w:t xml:space="preserve">The Compliance Department must track EDS certificate expiry and initiate renewal at least 30 days before expiry.</w:t>
      </w:r>
    </w:p>
    <w:p>
      <w:pPr>
        <w:pStyle w:val="ListParagraph"/>
        <w:numPr>
          <w:ilvl w:val="0"/>
          <w:numId w:val="2"/>
        </w:numPr>
        <w:spacing w:after="60"/>
      </w:pPr>
      <w:r>
        <w:rPr>
          <w:rFonts w:ascii="Arial" w:cs="Arial" w:eastAsia="Arial" w:hAnsi="Arial"/>
          <w:b w:val="false"/>
          <w:bCs w:val="false"/>
          <w:sz w:val="20"/>
          <w:szCs w:val="20"/>
        </w:rPr>
        <w:t xml:space="preserve">Incoming requests in electronic form must be verified for a valid sender EDS or official digital identification.</w:t>
      </w:r>
    </w:p>
    <w:p>
      <w:pPr>
        <w:pStyle w:val="ListParagraph"/>
        <w:numPr>
          <w:ilvl w:val="0"/>
          <w:numId w:val="2"/>
        </w:numPr>
        <w:spacing w:after="60"/>
      </w:pPr>
      <w:r>
        <w:rPr>
          <w:rFonts w:ascii="Arial" w:cs="Arial" w:eastAsia="Arial" w:hAnsi="Arial"/>
          <w:b w:val="false"/>
          <w:bCs w:val="false"/>
          <w:sz w:val="20"/>
          <w:szCs w:val="20"/>
        </w:rPr>
        <w:t xml:space="preserve">Electronic documents must be stored in a tamper-evident archive system.</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F — Audit Trail and Record Keeping</w:t>
      </w:r>
    </w:p>
    <w:p>
      <w:pPr>
        <w:pStyle w:val="ListParagraph"/>
        <w:numPr>
          <w:ilvl w:val="0"/>
          <w:numId w:val="2"/>
        </w:numPr>
        <w:spacing w:after="60"/>
      </w:pPr>
      <w:r>
        <w:rPr>
          <w:rFonts w:ascii="Arial" w:cs="Arial" w:eastAsia="Arial" w:hAnsi="Arial"/>
          <w:b w:val="false"/>
          <w:bCs w:val="false"/>
          <w:sz w:val="20"/>
          <w:szCs w:val="20"/>
        </w:rPr>
        <w:t xml:space="preserve">Every step in the request lifecycle must be logged: receipt, classification, legal review, data access, draft preparation, approval, dispatch, and acknowledgment.</w:t>
      </w:r>
    </w:p>
    <w:p>
      <w:pPr>
        <w:pStyle w:val="ListParagraph"/>
        <w:numPr>
          <w:ilvl w:val="0"/>
          <w:numId w:val="2"/>
        </w:numPr>
        <w:spacing w:after="60"/>
      </w:pPr>
      <w:r>
        <w:rPr>
          <w:rFonts w:ascii="Arial" w:cs="Arial" w:eastAsia="Arial" w:hAnsi="Arial"/>
          <w:b w:val="false"/>
          <w:bCs w:val="false"/>
          <w:sz w:val="20"/>
          <w:szCs w:val="20"/>
        </w:rPr>
        <w:t xml:space="preserve">Audit logs must be immutable — no deletion or modification after creation.</w:t>
      </w:r>
    </w:p>
    <w:p>
      <w:pPr>
        <w:pStyle w:val="ListParagraph"/>
        <w:numPr>
          <w:ilvl w:val="0"/>
          <w:numId w:val="2"/>
        </w:numPr>
        <w:spacing w:after="60"/>
      </w:pPr>
      <w:r>
        <w:rPr>
          <w:rFonts w:ascii="Arial" w:cs="Arial" w:eastAsia="Arial" w:hAnsi="Arial"/>
          <w:b w:val="false"/>
          <w:bCs w:val="false"/>
          <w:sz w:val="20"/>
          <w:szCs w:val="20"/>
        </w:rPr>
        <w:t xml:space="preserve">Retention: all records related to state request responses must be retained for minimum 5 years.</w:t>
      </w:r>
    </w:p>
    <w:p>
      <w:pPr>
        <w:pStyle w:val="ListParagraph"/>
        <w:numPr>
          <w:ilvl w:val="0"/>
          <w:numId w:val="2"/>
        </w:numPr>
        <w:spacing w:after="60"/>
      </w:pPr>
      <w:r>
        <w:rPr>
          <w:rFonts w:ascii="Arial" w:cs="Arial" w:eastAsia="Arial" w:hAnsi="Arial"/>
          <w:b w:val="false"/>
          <w:bCs w:val="false"/>
          <w:sz w:val="20"/>
          <w:szCs w:val="20"/>
        </w:rPr>
        <w:t xml:space="preserve">Annual audit of the response log must be conducted by the Internal Audit Department.</w:t>
      </w:r>
    </w:p>
    <w:p>
      <w:pPr>
        <w:spacing w:after="100"/>
      </w:pPr>
      <w:r>
        <w:t xml:space="preserve"/>
      </w:r>
    </w:p>
    <w:p>
      <w:pPr>
        <w:pStyle w:val="Heading2"/>
        <w:spacing w:after="120" w:before="280"/>
      </w:pPr>
      <w:r>
        <w:rPr>
          <w:rFonts w:ascii="Arial" w:cs="Arial" w:eastAsia="Arial" w:hAnsi="Arial"/>
          <w:b/>
          <w:bCs/>
          <w:color w:val="2E6DA4"/>
          <w:sz w:val="26"/>
          <w:szCs w:val="26"/>
        </w:rPr>
        <w:t xml:space="preserve">Section G — Escalation and Exceptions</w:t>
      </w:r>
    </w:p>
    <w:p>
      <w:pPr>
        <w:pStyle w:val="ListParagraph"/>
        <w:numPr>
          <w:ilvl w:val="0"/>
          <w:numId w:val="2"/>
        </w:numPr>
        <w:spacing w:after="60"/>
      </w:pPr>
      <w:r>
        <w:rPr>
          <w:rFonts w:ascii="Arial" w:cs="Arial" w:eastAsia="Arial" w:hAnsi="Arial"/>
          <w:b w:val="false"/>
          <w:bCs w:val="false"/>
          <w:sz w:val="20"/>
          <w:szCs w:val="20"/>
        </w:rPr>
        <w:t xml:space="preserve">Requests from the Prosecutor's Office, courts, or law enforcement involving criminal investigations must be escalated immediately to senior management and legal counsel.</w:t>
      </w:r>
    </w:p>
    <w:p>
      <w:pPr>
        <w:pStyle w:val="ListParagraph"/>
        <w:numPr>
          <w:ilvl w:val="0"/>
          <w:numId w:val="2"/>
        </w:numPr>
        <w:spacing w:after="60"/>
      </w:pPr>
      <w:r>
        <w:rPr>
          <w:rFonts w:ascii="Arial" w:cs="Arial" w:eastAsia="Arial" w:hAnsi="Arial"/>
          <w:b w:val="false"/>
          <w:bCs w:val="false"/>
          <w:sz w:val="20"/>
          <w:szCs w:val="20"/>
        </w:rPr>
        <w:t xml:space="preserve">Any request that appears irregular (e.g., no legal basis, informal channel, pressure to bypass process) must be escalated and documented.</w:t>
      </w:r>
    </w:p>
    <w:p>
      <w:pPr>
        <w:pStyle w:val="ListParagraph"/>
        <w:numPr>
          <w:ilvl w:val="0"/>
          <w:numId w:val="2"/>
        </w:numPr>
        <w:spacing w:after="60"/>
      </w:pPr>
      <w:r>
        <w:rPr>
          <w:rFonts w:ascii="Arial" w:cs="Arial" w:eastAsia="Arial" w:hAnsi="Arial"/>
          <w:b w:val="false"/>
          <w:bCs w:val="false"/>
          <w:sz w:val="20"/>
          <w:szCs w:val="20"/>
        </w:rPr>
        <w:t xml:space="preserve">The bank shall not comply with any request that cannot be matched to a valid legal basis under Law 530-II or other applicable law.</w:t>
      </w:r>
    </w:p>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5. Suggested Rule Engine Checks for the App</w:t>
      </w:r>
    </w:p>
    <w:p>
      <w:pPr>
        <w:spacing w:after="100"/>
      </w:pPr>
      <w:r>
        <w:rPr>
          <w:rFonts w:ascii="Arial" w:cs="Arial" w:eastAsia="Arial" w:hAnsi="Arial"/>
          <w:sz w:val="20"/>
          <w:szCs w:val="20"/>
        </w:rPr>
        <w:t xml:space="preserve">These are validation checks the system should perform automatically on each incoming request before it proceeds through the workflow.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600"/>
        <w:gridCol w:w="2660"/>
      </w:tblGrid>
      <w:tr>
        <w:trPr>
          <w:tblHeader/>
        </w:trPr>
        <w:tc>
          <w:tcPr>
            <w:tcW w:type="dxa" w:w="6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35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Rule Check</w:t>
            </w:r>
          </w:p>
        </w:tc>
        <w:tc>
          <w:tcPr>
            <w:tcW w:type="dxa" w:w="26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Legal Basis</w:t>
            </w:r>
          </w:p>
        </w:tc>
        <w:tc>
          <w:tcPr>
            <w:tcW w:type="dxa" w:w="266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Fail Action</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Requestor identity verified: must be a recognized state body with correct identifying information.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530-II, Art. 3-5</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 route to Legal Review queue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Legal basis present: request must cite a specific law/article authorizing the disclosure.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530-II</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 generate clarification request template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Request format valid: official letterhead or EDS-signed electronic document.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ZRU-793 (2022)</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Warn — route to manual review for authentication</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Request does not relate to an active AML/STR case that must be kept confidential from the subject.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660-II, FATF</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 escalate to Compliance Officer immediately</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R-05</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Requested information falls within bank secrecy category AND requestor is in the authorized list.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530-II, Art. 5</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 generate legal refusal template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R-06</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Deadline calculated: response due date set based on request type and date received.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Tax Code, Law 660-II, ZRU-163</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Warn if &lt; 2 business days remaining — escalate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R-07</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Approver assigned: a compliance officer and manager must be assigned before data is accessed.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Internal Policy, Law ZRU-30</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data access until approval assigned</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R-08</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Data access logged: every access to client records tied to this request must be audit-logged.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ZRU-547, Law ZRU-30</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access if logging system unavailable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R-09</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EDS certificate for outbound response is valid (not expired).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ZRU-793 (2022)</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dispatch — alert certificate manager</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R-10</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Response approved by authorized manager before dispatch.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Internal Policy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dispatch — require approval action</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R-11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Response includes only information directly responsive to the request — no over-disclosure.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530-II, ZRU-547</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Flag for legal review if response exceeds scope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R-12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AML/STR: if request involves a suspicious transaction, verify STR was filed before responding.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660-II</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Escalate — compliance review required before response</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R-13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Personal data localization: verify that data being referenced was stored on Uzbekistan servers.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Law ZRU-547 + 2021 amendment (ZRU-666)</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Warn — log compliance concern</w:t>
            </w:r>
          </w:p>
        </w:tc>
      </w:tr>
      <w:tr>
        <w:tc>
          <w:tcPr>
            <w:tcW w:type="dxa" w:w="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R-14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Retention check: confirm response records will be stored for ≥ 5 years.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6"/>
                <w:szCs w:val="16"/>
              </w:rPr>
              <w:t xml:space="preserve">FATF / Law 660-II / internal policy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B0000"/>
                <w:sz w:val="16"/>
                <w:szCs w:val="16"/>
              </w:rPr>
              <w:t xml:space="preserve">Block close of case until retention confirmed</w:t>
            </w:r>
          </w:p>
        </w:tc>
      </w:tr>
    </w:tbl>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6. Risks and Things to Avoid</w:t>
      </w:r>
    </w:p>
    <w:p>
      <w:pPr>
        <w:pStyle w:val="Heading2"/>
        <w:spacing w:after="120" w:before="280"/>
      </w:pPr>
      <w:r>
        <w:rPr>
          <w:rFonts w:ascii="Arial" w:cs="Arial" w:eastAsia="Arial" w:hAnsi="Arial"/>
          <w:b/>
          <w:bCs/>
          <w:color w:val="2E6DA4"/>
          <w:sz w:val="26"/>
          <w:szCs w:val="26"/>
        </w:rPr>
        <w:t xml:space="preserve">6.1 Legal Risks</w:t>
      </w:r>
    </w:p>
    <w:p>
      <w:pPr>
        <w:pStyle w:val="ListParagraph"/>
        <w:numPr>
          <w:ilvl w:val="0"/>
          <w:numId w:val="2"/>
        </w:numPr>
        <w:spacing w:after="60"/>
      </w:pPr>
      <w:r>
        <w:rPr>
          <w:rFonts w:ascii="Arial" w:cs="Arial" w:eastAsia="Arial" w:hAnsi="Arial"/>
          <w:b w:val="false"/>
          <w:bCs w:val="false"/>
          <w:sz w:val="20"/>
          <w:szCs w:val="20"/>
        </w:rPr>
        <w:t xml:space="preserve">Disclosing bank secrecy information without a valid legal basis: Criminal liability under the Criminal Code of Uzbekistan for bank officers. This is the single highest legal risk.</w:t>
      </w:r>
    </w:p>
    <w:p>
      <w:pPr>
        <w:pStyle w:val="ListParagraph"/>
        <w:numPr>
          <w:ilvl w:val="0"/>
          <w:numId w:val="2"/>
        </w:numPr>
        <w:spacing w:after="60"/>
      </w:pPr>
      <w:r>
        <w:rPr>
          <w:rFonts w:ascii="Arial" w:cs="Arial" w:eastAsia="Arial" w:hAnsi="Arial"/>
          <w:b w:val="false"/>
          <w:bCs w:val="false"/>
          <w:sz w:val="20"/>
          <w:szCs w:val="20"/>
        </w:rPr>
        <w:t xml:space="preserve">Failing to respond to a lawful state request: Can result in sanctions, fines, account suspension orders, and regulatory action by the CBU.</w:t>
      </w:r>
    </w:p>
    <w:p>
      <w:pPr>
        <w:pStyle w:val="ListParagraph"/>
        <w:numPr>
          <w:ilvl w:val="0"/>
          <w:numId w:val="2"/>
        </w:numPr>
        <w:spacing w:after="60"/>
      </w:pPr>
      <w:r>
        <w:rPr>
          <w:rFonts w:ascii="Arial" w:cs="Arial" w:eastAsia="Arial" w:hAnsi="Arial"/>
          <w:b w:val="false"/>
          <w:bCs w:val="false"/>
          <w:sz w:val="20"/>
          <w:szCs w:val="20"/>
        </w:rPr>
        <w:t xml:space="preserve">Notifying a client that a suspicious activity report has been filed: Expressly prohibited under AML law. Creates criminal risk.</w:t>
      </w:r>
    </w:p>
    <w:p>
      <w:pPr>
        <w:pStyle w:val="ListParagraph"/>
        <w:numPr>
          <w:ilvl w:val="0"/>
          <w:numId w:val="2"/>
        </w:numPr>
        <w:spacing w:after="60"/>
      </w:pPr>
      <w:r>
        <w:rPr>
          <w:rFonts w:ascii="Arial" w:cs="Arial" w:eastAsia="Arial" w:hAnsi="Arial"/>
          <w:b w:val="false"/>
          <w:bCs w:val="false"/>
          <w:sz w:val="20"/>
          <w:szCs w:val="20"/>
        </w:rPr>
        <w:t xml:space="preserve">Storing personal data of Uzbek citizens on servers outside Uzbekistan: Violation of ZRU-547 (2021 amendment). Significant regulatory liability, especially under 2025 Decree PP-153.</w:t>
      </w:r>
    </w:p>
    <w:p>
      <w:pPr>
        <w:pStyle w:val="ListParagraph"/>
        <w:numPr>
          <w:ilvl w:val="0"/>
          <w:numId w:val="2"/>
        </w:numPr>
        <w:spacing w:after="60"/>
      </w:pPr>
      <w:r>
        <w:rPr>
          <w:rFonts w:ascii="Arial" w:cs="Arial" w:eastAsia="Arial" w:hAnsi="Arial"/>
          <w:b w:val="false"/>
          <w:bCs w:val="false"/>
          <w:sz w:val="20"/>
          <w:szCs w:val="20"/>
        </w:rPr>
        <w:t xml:space="preserve">Using an expired EDS certificate for official correspondence: Renders the response legally defective.</w:t>
      </w:r>
    </w:p>
    <w:p>
      <w:pPr>
        <w:spacing w:after="100"/>
      </w:pPr>
      <w:r>
        <w:t xml:space="preserve"/>
      </w:r>
    </w:p>
    <w:p>
      <w:pPr>
        <w:pStyle w:val="Heading2"/>
        <w:spacing w:after="120" w:before="280"/>
      </w:pPr>
      <w:r>
        <w:rPr>
          <w:rFonts w:ascii="Arial" w:cs="Arial" w:eastAsia="Arial" w:hAnsi="Arial"/>
          <w:b/>
          <w:bCs/>
          <w:color w:val="2E6DA4"/>
          <w:sz w:val="26"/>
          <w:szCs w:val="26"/>
        </w:rPr>
        <w:t xml:space="preserve">6.2 Compliance &amp; Operational Risks</w:t>
      </w:r>
    </w:p>
    <w:p>
      <w:pPr>
        <w:pStyle w:val="ListParagraph"/>
        <w:numPr>
          <w:ilvl w:val="0"/>
          <w:numId w:val="2"/>
        </w:numPr>
        <w:spacing w:after="60"/>
      </w:pPr>
      <w:r>
        <w:rPr>
          <w:rFonts w:ascii="Arial" w:cs="Arial" w:eastAsia="Arial" w:hAnsi="Arial"/>
          <w:b w:val="false"/>
          <w:bCs w:val="false"/>
          <w:sz w:val="20"/>
          <w:szCs w:val="20"/>
        </w:rPr>
        <w:t xml:space="preserve">Missing response deadlines: Even where not explicitly codified, exceeding a reasonable deadline may be used by a state body to justify escalatory action. Always treat deadlines as binding.</w:t>
      </w:r>
    </w:p>
    <w:p>
      <w:pPr>
        <w:pStyle w:val="ListParagraph"/>
        <w:numPr>
          <w:ilvl w:val="0"/>
          <w:numId w:val="2"/>
        </w:numPr>
        <w:spacing w:after="60"/>
      </w:pPr>
      <w:r>
        <w:rPr>
          <w:rFonts w:ascii="Arial" w:cs="Arial" w:eastAsia="Arial" w:hAnsi="Arial"/>
          <w:b w:val="false"/>
          <w:bCs w:val="false"/>
          <w:sz w:val="20"/>
          <w:szCs w:val="20"/>
        </w:rPr>
        <w:t xml:space="preserve">Over-disclosure: Sharing more information than the request legally authorizes exposes the bank to client claims and regulatory scrutiny.</w:t>
      </w:r>
    </w:p>
    <w:p>
      <w:pPr>
        <w:pStyle w:val="ListParagraph"/>
        <w:numPr>
          <w:ilvl w:val="0"/>
          <w:numId w:val="2"/>
        </w:numPr>
        <w:spacing w:after="60"/>
      </w:pPr>
      <w:r>
        <w:rPr>
          <w:rFonts w:ascii="Arial" w:cs="Arial" w:eastAsia="Arial" w:hAnsi="Arial"/>
          <w:b w:val="false"/>
          <w:bCs w:val="false"/>
          <w:sz w:val="20"/>
          <w:szCs w:val="20"/>
        </w:rPr>
        <w:t xml:space="preserve">Under-disclosure: Withholding information from an authorized body is also a violation. Every refusal must be documented with its legal basis.</w:t>
      </w:r>
    </w:p>
    <w:p>
      <w:pPr>
        <w:pStyle w:val="ListParagraph"/>
        <w:numPr>
          <w:ilvl w:val="0"/>
          <w:numId w:val="2"/>
        </w:numPr>
        <w:spacing w:after="60"/>
      </w:pPr>
      <w:r>
        <w:rPr>
          <w:rFonts w:ascii="Arial" w:cs="Arial" w:eastAsia="Arial" w:hAnsi="Arial"/>
          <w:b w:val="false"/>
          <w:bCs w:val="false"/>
          <w:sz w:val="20"/>
          <w:szCs w:val="20"/>
        </w:rPr>
        <w:t xml:space="preserve">Informal requests: State officials may sometimes make informal requests (verbal, email without EDS). The system must enforce that only formally authenticated requests trigger disclosure.</w:t>
      </w:r>
    </w:p>
    <w:p>
      <w:pPr>
        <w:pStyle w:val="ListParagraph"/>
        <w:numPr>
          <w:ilvl w:val="0"/>
          <w:numId w:val="2"/>
        </w:numPr>
        <w:spacing w:after="60"/>
      </w:pPr>
      <w:r>
        <w:rPr>
          <w:rFonts w:ascii="Arial" w:cs="Arial" w:eastAsia="Arial" w:hAnsi="Arial"/>
          <w:b w:val="false"/>
          <w:bCs w:val="false"/>
          <w:sz w:val="20"/>
          <w:szCs w:val="20"/>
        </w:rPr>
        <w:t xml:space="preserve">Internal data leaks: The access-control system must ensure that only the minimum necessary employees can view client data in connection with a request.</w:t>
      </w:r>
    </w:p>
    <w:p>
      <w:pPr>
        <w:spacing w:after="100"/>
      </w:pPr>
      <w:r>
        <w:t xml:space="preserve"/>
      </w:r>
    </w:p>
    <w:p>
      <w:pPr>
        <w:pStyle w:val="Heading2"/>
        <w:spacing w:after="120" w:before="280"/>
      </w:pPr>
      <w:r>
        <w:rPr>
          <w:rFonts w:ascii="Arial" w:cs="Arial" w:eastAsia="Arial" w:hAnsi="Arial"/>
          <w:b/>
          <w:bCs/>
          <w:color w:val="2E6DA4"/>
          <w:sz w:val="26"/>
          <w:szCs w:val="26"/>
        </w:rPr>
        <w:t xml:space="preserve">6.3 System Design Risks</w:t>
      </w:r>
    </w:p>
    <w:p>
      <w:pPr>
        <w:pStyle w:val="ListParagraph"/>
        <w:numPr>
          <w:ilvl w:val="0"/>
          <w:numId w:val="2"/>
        </w:numPr>
        <w:spacing w:after="60"/>
      </w:pPr>
      <w:r>
        <w:rPr>
          <w:rFonts w:ascii="Arial" w:cs="Arial" w:eastAsia="Arial" w:hAnsi="Arial"/>
          <w:b w:val="false"/>
          <w:bCs w:val="false"/>
          <w:sz w:val="20"/>
          <w:szCs w:val="20"/>
        </w:rPr>
        <w:t xml:space="preserve">Lack of immutable audit trail: Without immutable logs, the bank cannot prove compliance in a dispute. All logs must be write-once with timestamps.</w:t>
      </w:r>
    </w:p>
    <w:p>
      <w:pPr>
        <w:pStyle w:val="ListParagraph"/>
        <w:numPr>
          <w:ilvl w:val="0"/>
          <w:numId w:val="2"/>
        </w:numPr>
        <w:spacing w:after="60"/>
      </w:pPr>
      <w:r>
        <w:rPr>
          <w:rFonts w:ascii="Arial" w:cs="Arial" w:eastAsia="Arial" w:hAnsi="Arial"/>
          <w:b w:val="false"/>
          <w:bCs w:val="false"/>
          <w:sz w:val="20"/>
          <w:szCs w:val="20"/>
        </w:rPr>
        <w:t xml:space="preserve">No EDS certificate monitoring: Certificate expiry without detection would block the bank's ability to send legally valid responses.</w:t>
      </w:r>
    </w:p>
    <w:p>
      <w:pPr>
        <w:pStyle w:val="ListParagraph"/>
        <w:numPr>
          <w:ilvl w:val="0"/>
          <w:numId w:val="2"/>
        </w:numPr>
        <w:spacing w:after="60"/>
      </w:pPr>
      <w:r>
        <w:rPr>
          <w:rFonts w:ascii="Arial" w:cs="Arial" w:eastAsia="Arial" w:hAnsi="Arial"/>
          <w:b w:val="false"/>
          <w:bCs w:val="false"/>
          <w:sz w:val="20"/>
          <w:szCs w:val="20"/>
        </w:rPr>
        <w:t xml:space="preserve">Hardcoded deadlines: Deadlines in Uzbek law can change by presidential decree or CBU circular. The system should allow deadline rules to be updated without code changes.</w:t>
      </w:r>
    </w:p>
    <w:p>
      <w:pPr>
        <w:pStyle w:val="ListParagraph"/>
        <w:numPr>
          <w:ilvl w:val="0"/>
          <w:numId w:val="2"/>
        </w:numPr>
        <w:spacing w:after="60"/>
      </w:pPr>
      <w:r>
        <w:rPr>
          <w:rFonts w:ascii="Arial" w:cs="Arial" w:eastAsia="Arial" w:hAnsi="Arial"/>
          <w:b w:val="false"/>
          <w:bCs w:val="false"/>
          <w:sz w:val="20"/>
          <w:szCs w:val="20"/>
        </w:rPr>
        <w:t xml:space="preserve">Single point of approval: If only one approver is available and they are unavailable, the system is blocked. Design for backup approvers.</w:t>
      </w:r>
    </w:p>
    <w:p>
      <w:pPr>
        <w:spacing w:after="100" w:before="60"/>
        <w:ind w:left="360"/>
      </w:pPr>
      <w:r>
        <w:rPr>
          <w:rFonts w:ascii="Arial" w:cs="Arial" w:eastAsia="Arial" w:hAnsi="Arial"/>
          <w:i/>
          <w:iCs/>
          <w:color w:val="8B0000"/>
          <w:sz w:val="18"/>
          <w:szCs w:val="18"/>
        </w:rPr>
        <w:t xml:space="preserve">⚠ The system must NEVER auto-respond to a state request without human approval. Every outbound disclosure must be reviewed and approved by an authorized human.</w:t>
      </w:r>
    </w:p>
    <w:p>
      <w:pPr>
        <w:pageBreakBefore/>
      </w:pPr>
      <w:r>
        <w:t xml:space="preserve"/>
      </w:r>
    </w:p>
    <w:p>
      <w:pPr>
        <w:pStyle w:val="Heading1"/>
        <w:pBdr>
          <w:bottom w:val="single" w:color="1A3C6E" w:sz="8" w:space="4"/>
        </w:pBdr>
        <w:spacing w:after="200" w:before="400"/>
      </w:pPr>
      <w:r>
        <w:rPr>
          <w:rFonts w:ascii="Arial" w:cs="Arial" w:eastAsia="Arial" w:hAnsi="Arial"/>
          <w:b/>
          <w:bCs/>
          <w:color w:val="1A3C6E"/>
          <w:sz w:val="32"/>
          <w:szCs w:val="32"/>
        </w:rPr>
        <w:t xml:space="preserve">7. Recommended Policy Draft Outline</w:t>
      </w:r>
    </w:p>
    <w:p>
      <w:pPr>
        <w:spacing w:after="100"/>
      </w:pPr>
      <w:r>
        <w:rPr>
          <w:rFonts w:ascii="Arial" w:cs="Arial" w:eastAsia="Arial" w:hAnsi="Arial"/>
          <w:sz w:val="20"/>
          <w:szCs w:val="20"/>
        </w:rPr>
        <w:t xml:space="preserve">The following is a recommended structure for the bank's formal Internal Policy on Government Request Response and Compliance (Внутренняя политика по обработке официальных запросов государственных органов).</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Art.</w:t>
            </w:r>
          </w:p>
        </w:tc>
        <w:tc>
          <w:tcPr>
            <w:tcW w:type="dxa" w:w="35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Section Title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tcPr>
          <w:p>
            <w:r>
              <w:rPr>
                <w:rFonts w:ascii="Arial" w:cs="Arial" w:eastAsia="Arial" w:hAnsi="Arial"/>
                <w:b/>
                <w:bCs/>
                <w:color w:val="FFFFFF"/>
                <w:sz w:val="17"/>
                <w:szCs w:val="17"/>
              </w:rPr>
              <w:t xml:space="preserve">Key Contents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Purpose &amp; Legal Basis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States the purpose of the policy, lists the laws it implements (530-II, ZRU-547, 660-II, ZRU-793, CBU regulations).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Scope of Application</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Applies to all bank employees, departments, and systems involved in receiving, processing, or responding to state requests.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3</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Definitions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Bank Secrecy, Personal Data, Official Request, Authorized Requestor, Response Package, EDS, STR.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Authorized Requestors</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Exhaustive list of state bodies with right to request bank information, citing the specific article of Law 530-II for each.</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5</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Intake &amp; Registration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All requests must be registered in the system within [X] hours. Mandatory fields: requestor, date, legal basis, type, reference number.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Authenticity Verification</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Procedure for verifying the authenticity of requests (official letterhead, EDS, reference number lookup, call-back verification).</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7</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Classification &amp; Routing</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Urgency levels: CRITICAL (same day), URGENT (1-2 days), STANDARD (3-5 days). Routing rules by requestor type.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Legal Review Process</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Conditions requiring legal counsel review before response. Template for refusal when no legal basis exists.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9</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Information Access Controls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Role-based access. Principle of minimum necessary access. Prohibition on unauthorized data access.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Draft Preparation</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Procedures for preparing the response content. Scope limitation rules. Over-disclosure prohibition.</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11</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Approval Workflow</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Approval chain: Compliance Officer → Department Head → (if sensitive) Legal Counsel. Backup approver requirements.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Dispatch &amp; Confirmation</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Method of dispatch (EDS-signed electronic or registered mail). Receipt confirmation procedures. Record of dispatch.</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13</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AML / STR Special Procedures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Procedure when a state request overlaps with a suspicious transaction. STR notification requirements. Tipping-off prohibition.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Audit Trail Requirements</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What is logged, how, and for how long. Immutability requirements. Access to audit logs.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15</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Document Retention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Minimum 5 years for all request-response records. Data localization requirement (Uzbekistan servers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EDS Certificate Management</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Certificate validity monitoring. Renewal process. Escalation if certificate expires or is revoked.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17</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Training Requirements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Annual training for all relevant staff. Certification before access to the compliance system.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Sanctions for Non-Compliance</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Internal disciplinary measures for policy violations. Reference to criminal code provisions for bank officers.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19</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Policy Review</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Annual review. Immediate update triggers (new law, CBU circular, court decision).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Annex 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Authorized Requestor Reference Table</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Full table of state bodies, legal basis, type of information they may request, and response deadline.</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Annex B</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Response Templates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Standard templates for: (1) Standard disclosure, (2) Refusal, (3) Clarification request, (4) AML-related escalation.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Annex 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Request Classification Matrix</w:t>
            </w:r>
          </w:p>
        </w:tc>
        <w:tc>
          <w:tcPr>
            <w:tcW w:type="dxa" w:w="5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6"/>
                <w:szCs w:val="16"/>
              </w:rPr>
              <w:t xml:space="preserve">Decision tree for classifying incoming requests by type, urgency, and required approval level.</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3C6E"/>
                <w:sz w:val="17"/>
                <w:szCs w:val="17"/>
              </w:rPr>
              <w:t xml:space="preserve">Annex D</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7"/>
                <w:szCs w:val="17"/>
              </w:rPr>
              <w:t xml:space="preserve">Audit Log Fields Specification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Technical specification of all mandatory fields in the audit log for compliance with ZRU-547 and internal policy.</w:t>
            </w:r>
          </w:p>
        </w:tc>
      </w:tr>
    </w:tbl>
    <w:p>
      <w:pPr>
        <w:spacing w:after="100"/>
      </w:pPr>
      <w:r>
        <w:t xml:space="preserve"/>
      </w:r>
    </w:p>
    <w:p>
      <w:pPr>
        <w:spacing w:before="300"/>
      </w:pPr>
      <w:r>
        <w:t xml:space="preserve"/>
      </w:r>
    </w:p>
    <w:p>
      <w:pPr>
        <w:spacing w:before="200"/>
        <w:jc w:val="center"/>
      </w:pPr>
      <w:r>
        <w:rPr>
          <w:rFonts w:ascii="Arial" w:cs="Arial" w:eastAsia="Arial" w:hAnsi="Arial"/>
          <w:i/>
          <w:iCs/>
          <w:color w:val="888888"/>
          <w:sz w:val="20"/>
          <w:szCs w:val="20"/>
        </w:rPr>
        <w:t xml:space="preserve">— End of Legal Research Report —</w:t>
      </w:r>
    </w:p>
    <w:p>
      <w:pPr>
        <w:spacing w:before="80"/>
        <w:jc w:val="center"/>
      </w:pPr>
      <w:r>
        <w:rPr>
          <w:rFonts w:ascii="Arial" w:cs="Arial" w:eastAsia="Arial" w:hAnsi="Arial"/>
          <w:color w:val="888888"/>
          <w:sz w:val="16"/>
          <w:szCs w:val="16"/>
        </w:rPr>
        <w:t xml:space="preserve">Primary Sources: lex.uz | cbu.uz | azizovpartners.uz | uzbekistanlawblog.com | dlapiperdataprotection.com | milditman.com</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jc w:val="right"/>
    </w:pPr>
    <w:r>
      <w:rPr>
        <w:rFonts w:ascii="Arial" w:cs="Arial" w:eastAsia="Arial" w:hAnsi="Arial"/>
        <w:color w:val="888888"/>
        <w:sz w:val="16"/>
        <w:szCs w:val="16"/>
      </w:rPr>
      <w:t xml:space="preserve">Uzbekistan Bank Compliance — Legal Research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pPr>
    <w:r>
      <w:rPr>
        <w:rFonts w:ascii="Arial" w:cs="Arial" w:eastAsia="Arial" w:hAnsi="Arial"/>
        <w:color w:val="888888"/>
        <w:sz w:val="16"/>
        <w:szCs w:val="16"/>
      </w:rPr>
      <w:t xml:space="preserve">CONFIDENTIAL — INTERNAL USE ONLY  |  Bank Compliance System: Legal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2026-04-25T18:26:02.018Z</dcterms:created>
  <dcterms:modified xsi:type="dcterms:W3CDTF">2026-04-25T18:26:02.019Z</dcterms:modified>
</cp:coreProperties>
</file>

<file path=docProps/custom.xml><?xml version="1.0" encoding="utf-8"?>
<Properties xmlns="http://schemas.openxmlformats.org/officeDocument/2006/custom-properties" xmlns:vt="http://schemas.openxmlformats.org/officeDocument/2006/docPropsVTypes"/>
</file>