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A5276"/>
          <w:sz w:val="52"/>
          <w:szCs w:val="52"/>
        </w:rPr>
        <w:t xml:space="preserve">CYBER SQUARE INSTITUTE</w:t>
      </w:r>
    </w:p>
    <w:p>
      <w:pPr>
        <w:spacing w:after="160" w:before="0"/>
        <w:jc w:val="center"/>
      </w:pPr>
      <w:r>
        <w:rPr>
          <w:rFonts w:ascii="Arial" w:cs="Arial" w:eastAsia="Arial" w:hAnsi="Arial"/>
          <w:color w:val="2C3E50"/>
          <w:sz w:val="36"/>
          <w:szCs w:val="36"/>
        </w:rPr>
        <w:t xml:space="preserve">Data Dashboard Project — Full Institute Report</w:t>
      </w:r>
    </w:p>
    <w:p>
      <w:pPr>
        <w:spacing w:after="500" w:before="0"/>
        <w:jc w:val="center"/>
      </w:pPr>
      <w:r>
        <w:rPr>
          <w:rFonts w:ascii="Arial" w:cs="Arial" w:eastAsia="Arial" w:hAnsi="Arial"/>
          <w:i/>
          <w:iCs/>
          <w:color w:val="888888"/>
          <w:sz w:val="24"/>
          <w:szCs w:val="24"/>
        </w:rPr>
        <w:t xml:space="preserve">Spring 2025  |  All 8 Datasets Included</w:t>
      </w:r>
    </w:p>
    <w:p>
      <w:pPr>
        <w:pBdr>
          <w:bottom w:val="single" w:color="1A5276" w:sz="4" w:space="1"/>
        </w:pBdr>
        <w:spacing w:after="180" w:before="18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Students Enrolled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Total Admission Inquiries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474  (42.2% conversion rate)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Courses Offered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active  (11 in system)</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Total Staff</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17  (11 Teaching + 6 Non-Teaching)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Attendance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84.1%  (April 2025)</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Placement Rate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35.5%  |  71 Placed out of 200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10.9 Lakhs  (Range: 2.8 – 20.0 L)</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Classrooms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 rooms  |  100 total seats</w:t>
            </w:r>
          </w:p>
        </w:tc>
      </w:tr>
    </w:tbl>
    <w:p>
      <w:r>
        <w:br w:type="page"/>
      </w:r>
    </w:p>
    <w:p>
      <w:pPr>
        <w:pStyle w:val="Heading1"/>
        <w:spacing w:after="200" w:before="440"/>
      </w:pPr>
      <w:r>
        <w:rPr>
          <w:rFonts w:ascii="Arial" w:cs="Arial" w:eastAsia="Arial" w:hAnsi="Arial"/>
          <w:b/>
          <w:bCs/>
          <w:color w:val="1A5276"/>
          <w:sz w:val="32"/>
          <w:szCs w:val="32"/>
        </w:rPr>
        <w:t xml:space="preserve">1. Student Overview</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1.1  Enrollment Summary</w:t>
      </w:r>
    </w:p>
    <w:p>
      <w:pPr>
        <w:spacing w:after="80" w:before="80"/>
      </w:pPr>
      <w:r>
        <w:rPr>
          <w:rFonts w:ascii="Arial" w:cs="Arial" w:eastAsia="Arial" w:hAnsi="Arial"/>
          <w:sz w:val="22"/>
          <w:szCs w:val="22"/>
        </w:rPr>
        <w:t xml:space="preserve">As of Spring 2025, Cyber Square Institute has 200 active enrolled students across 9 professional technology courses. The student body is nearly evenly split between online (99) and offline (101) modes. The majority are UG-level students (141), followed by PG students (36) and working professionals (22). 41 students are enrolled in internship programmes.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Students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Across 9 courses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Online Mode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49.5% of enrollment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50.5% of enrollment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UG Level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141</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70.5%  — largest segment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Working Professionals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12th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With Internship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20.5% of students</w:t>
            </w:r>
          </w:p>
        </w:tc>
      </w:tr>
    </w:tbl>
    <w:p>
      <w:pPr>
        <w:spacing w:after="0" w:before="200"/>
      </w:pPr>
    </w:p>
    <w:p>
      <w:pPr>
        <w:pStyle w:val="Heading2"/>
        <w:spacing w:after="140" w:before="300"/>
      </w:pPr>
      <w:r>
        <w:rPr>
          <w:rFonts w:ascii="Arial" w:cs="Arial" w:eastAsia="Arial" w:hAnsi="Arial"/>
          <w:b/>
          <w:bCs/>
          <w:color w:val="2C3E50"/>
          <w:sz w:val="26"/>
          <w:szCs w:val="26"/>
        </w:rPr>
        <w:t xml:space="preserve">1.2  Enrollment by Course</w:t>
      </w:r>
    </w:p>
    <w:p>
      <w:pPr>
        <w:spacing w:after="80" w:before="80"/>
      </w:pPr>
      <w:r>
        <w:rPr>
          <w:rFonts w:ascii="Arial" w:cs="Arial" w:eastAsia="Arial" w:hAnsi="Arial"/>
          <w:sz w:val="22"/>
          <w:szCs w:val="22"/>
        </w:rPr>
        <w:t xml:space="preserve">Data Science with Python is the most popular course with 73 students (36.5%), followed by Python Full Stack Development (41) and React Frontend Developer (31). Smaller, niche courses like UI/UX Design and Business Analytics have lower enrollment.</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2860"/>
      </w:tblGrid>
      <w:tr>
        <w:trPr>
          <w:tblHeader/>
        </w:trP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Course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Students</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Total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Science with Python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36.5%</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 Full Stack Development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Frontend Developer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15.5%</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MERN Stack Development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Cyber Security</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 Development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 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bl>
    <w:p>
      <w:pPr>
        <w:spacing w:after="0" w:before="200"/>
      </w:pPr>
    </w:p>
    <w:p>
      <w:pPr>
        <w:pStyle w:val="Heading2"/>
        <w:spacing w:after="140" w:before="300"/>
      </w:pPr>
      <w:r>
        <w:rPr>
          <w:rFonts w:ascii="Arial" w:cs="Arial" w:eastAsia="Arial" w:hAnsi="Arial"/>
          <w:b/>
          <w:bCs/>
          <w:color w:val="2C3E50"/>
          <w:sz w:val="26"/>
          <w:szCs w:val="26"/>
        </w:rPr>
        <w:t xml:space="preserve">1.3  Duration Split</w:t>
      </w:r>
    </w:p>
    <w:p>
      <w:pPr>
        <w:spacing w:after="80" w:before="80"/>
      </w:pPr>
      <w:r>
        <w:rPr>
          <w:rFonts w:ascii="Arial" w:cs="Arial" w:eastAsia="Arial" w:hAnsi="Arial"/>
          <w:sz w:val="22"/>
          <w:szCs w:val="22"/>
        </w:rPr>
        <w:t xml:space="preserve">The 3-month programme is the most popular duration (87 students), followed by the 6-month programme (72) and the 1-month intensive (41).</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Students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Percentage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Months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 Months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20.5%</w:t>
            </w:r>
          </w:p>
        </w:tc>
      </w:tr>
    </w:tbl>
    <w:p>
      <w:r>
        <w:br w:type="page"/>
      </w:r>
    </w:p>
    <w:p>
      <w:pPr>
        <w:pStyle w:val="Heading1"/>
        <w:spacing w:after="200" w:before="440"/>
      </w:pPr>
      <w:r>
        <w:rPr>
          <w:rFonts w:ascii="Arial" w:cs="Arial" w:eastAsia="Arial" w:hAnsi="Arial"/>
          <w:b/>
          <w:bCs/>
          <w:color w:val="1A5276"/>
          <w:sz w:val="32"/>
          <w:szCs w:val="32"/>
        </w:rPr>
        <w:t xml:space="preserve">2. Admissions</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2.1  Funnel Overview</w:t>
      </w:r>
    </w:p>
    <w:p>
      <w:pPr>
        <w:spacing w:after="80" w:before="80"/>
      </w:pPr>
      <w:r>
        <w:rPr>
          <w:rFonts w:ascii="Arial" w:cs="Arial" w:eastAsia="Arial" w:hAnsi="Arial"/>
          <w:sz w:val="22"/>
          <w:szCs w:val="22"/>
        </w:rPr>
        <w:t xml:space="preserve">474 total inquiries were recorded for Spring 2025. Of these, 200 were admitted (42.2% conversion rate) and 274 were not admitted. Offline mode accounted for the majority of inquiries (305), suggesting strong walk-in footfall at the campus.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Inquiries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Admitted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Admitted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57.8%</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Offline Inquiries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64.3% of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 Inquiries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35.7% of total</w:t>
            </w:r>
          </w:p>
        </w:tc>
      </w:tr>
    </w:tbl>
    <w:p>
      <w:pPr>
        <w:spacing w:after="0" w:before="200"/>
      </w:pPr>
    </w:p>
    <w:p>
      <w:pPr>
        <w:pStyle w:val="Heading2"/>
        <w:spacing w:after="140" w:before="300"/>
      </w:pPr>
      <w:r>
        <w:rPr>
          <w:rFonts w:ascii="Arial" w:cs="Arial" w:eastAsia="Arial" w:hAnsi="Arial"/>
          <w:b/>
          <w:bCs/>
          <w:color w:val="2C3E50"/>
          <w:sz w:val="26"/>
          <w:szCs w:val="26"/>
        </w:rPr>
        <w:t xml:space="preserve">2.2  Counsellor Performance</w:t>
      </w:r>
    </w:p>
    <w:p>
      <w:pPr>
        <w:spacing w:after="80" w:before="80"/>
      </w:pPr>
      <w:r>
        <w:rPr>
          <w:rFonts w:ascii="Arial" w:cs="Arial" w:eastAsia="Arial" w:hAnsi="Arial"/>
          <w:sz w:val="22"/>
          <w:szCs w:val="22"/>
        </w:rPr>
        <w:t xml:space="preserve">Rifana had the highest admission count (60) and the best conversion rate (47%) among all four counsellors. Shivaprasad handled the highest volume but had the lowest conversion rate (37%).</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000"/>
        <w:gridCol w:w="13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Counsellor</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Handled</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Admitted</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 Admitted</w:t>
            </w:r>
          </w:p>
        </w:tc>
        <w:tc>
          <w:tcPr>
            <w:tcW w:type="dxa" w:w="1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Conversion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Rifana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Praveena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Baiju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Shivaprasad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122</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77</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37%</w:t>
            </w:r>
          </w:p>
        </w:tc>
      </w:tr>
    </w:tbl>
    <w:p>
      <w:pPr>
        <w:spacing w:after="0" w:before="200"/>
      </w:pPr>
    </w:p>
    <w:p>
      <w:pPr>
        <w:pStyle w:val="Heading2"/>
        <w:spacing w:after="140" w:before="300"/>
      </w:pPr>
      <w:r>
        <w:rPr>
          <w:rFonts w:ascii="Arial" w:cs="Arial" w:eastAsia="Arial" w:hAnsi="Arial"/>
          <w:b/>
          <w:bCs/>
          <w:color w:val="2C3E50"/>
          <w:sz w:val="26"/>
          <w:szCs w:val="26"/>
        </w:rPr>
        <w:t xml:space="preserve">2.3  Inquiries by Location</w:t>
      </w:r>
    </w:p>
    <w:p>
      <w:pPr>
        <w:spacing w:after="80" w:before="80"/>
      </w:pPr>
      <w:r>
        <w:rPr>
          <w:rFonts w:ascii="Arial" w:cs="Arial" w:eastAsia="Arial" w:hAnsi="Arial"/>
          <w:sz w:val="22"/>
          <w:szCs w:val="22"/>
        </w:rPr>
        <w:t xml:space="preserve">Kottayam generated the highest number of inquiries (80), followed by Trivandrum (70) and Palakkad (67). All 7 Kerala districts have significant representation, indicating broad geographic reach.</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Inquiries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Kottayam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16.9%</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Trivandrum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14.8%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Palakkad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Calicut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13.9%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Kochi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13.9%</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Kannur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13.7%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Thrissur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12.7%</w:t>
            </w:r>
          </w:p>
        </w:tc>
      </w:tr>
    </w:tbl>
    <w:p>
      <w:r>
        <w:br w:type="page"/>
      </w:r>
    </w:p>
    <w:p>
      <w:pPr>
        <w:pStyle w:val="Heading1"/>
        <w:spacing w:after="200" w:before="440"/>
      </w:pPr>
      <w:r>
        <w:rPr>
          <w:rFonts w:ascii="Arial" w:cs="Arial" w:eastAsia="Arial" w:hAnsi="Arial"/>
          <w:b/>
          <w:bCs/>
          <w:color w:val="1A5276"/>
          <w:sz w:val="32"/>
          <w:szCs w:val="32"/>
        </w:rPr>
        <w:t xml:space="preserve">3. Attendance — April 2025</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3.1  Overall Status</w:t>
      </w:r>
    </w:p>
    <w:p>
      <w:pPr>
        <w:spacing w:after="80" w:before="80"/>
      </w:pPr>
      <w:r>
        <w:rPr>
          <w:rFonts w:ascii="Arial" w:cs="Arial" w:eastAsia="Arial" w:hAnsi="Arial"/>
          <w:sz w:val="22"/>
          <w:szCs w:val="22"/>
        </w:rPr>
        <w:t xml:space="preserve">The institute's average attendance for April 2025 is 84.1%. 92 students (46%) fall in the Excellent category (≥90%), while 8 students (4%) are in the Critical range (&lt;60%) requiring immediate intervention.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Students</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Total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75 – 89%</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 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&lt; 60%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w:t>
            </w:r>
          </w:p>
        </w:tc>
      </w:tr>
    </w:tbl>
    <w:p>
      <w:pPr>
        <w:spacing w:after="0" w:before="200"/>
      </w:pPr>
    </w:p>
    <w:p>
      <w:pPr>
        <w:pStyle w:val="Heading2"/>
        <w:spacing w:after="140" w:before="300"/>
      </w:pPr>
      <w:r>
        <w:rPr>
          <w:rFonts w:ascii="Arial" w:cs="Arial" w:eastAsia="Arial" w:hAnsi="Arial"/>
          <w:b/>
          <w:bCs/>
          <w:color w:val="2C3E50"/>
          <w:sz w:val="26"/>
          <w:szCs w:val="26"/>
        </w:rPr>
        <w:t xml:space="preserve">3.2  Average Attendance by Course</w:t>
      </w:r>
    </w:p>
    <w:p>
      <w:pPr>
        <w:spacing w:after="80" w:before="80"/>
      </w:pPr>
      <w:r>
        <w:rPr>
          <w:rFonts w:ascii="Arial" w:cs="Arial" w:eastAsia="Arial" w:hAnsi="Arial"/>
          <w:sz w:val="22"/>
          <w:szCs w:val="22"/>
        </w:rPr>
        <w:t xml:space="preserve">Flutter Development and UI/UX Design have perfect 100% attendance (very small cohorts). Business Analytics follows at 90%. DevOps has the lowest average at 72.5%, indicating a potential engagement or scheduling issue.</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Course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Attendance %</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Flutter Development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UI/UX Design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Data Science with Python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86.8%</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Full Stack Development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 Frontend Developer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83.2%</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Cyber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MERN Stack Development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77.3%</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Warning</w:t>
            </w:r>
          </w:p>
        </w:tc>
      </w:tr>
    </w:tbl>
    <w:p>
      <w:r>
        <w:br w:type="page"/>
      </w:r>
    </w:p>
    <w:p>
      <w:pPr>
        <w:pStyle w:val="Heading1"/>
        <w:spacing w:after="200" w:before="440"/>
      </w:pPr>
      <w:r>
        <w:rPr>
          <w:rFonts w:ascii="Arial" w:cs="Arial" w:eastAsia="Arial" w:hAnsi="Arial"/>
          <w:b/>
          <w:bCs/>
          <w:color w:val="1A5276"/>
          <w:sz w:val="32"/>
          <w:szCs w:val="32"/>
        </w:rPr>
        <w:t xml:space="preserve">4. Placement</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4.1  Placement Summary</w:t>
      </w:r>
    </w:p>
    <w:p>
      <w:pPr>
        <w:spacing w:after="80" w:before="80"/>
      </w:pPr>
      <w:r>
        <w:rPr>
          <w:rFonts w:ascii="Arial" w:cs="Arial" w:eastAsia="Arial" w:hAnsi="Arial"/>
          <w:sz w:val="22"/>
          <w:szCs w:val="22"/>
        </w:rPr>
        <w:t xml:space="preserve">Out of 200 students, 71 have been placed (35.5%), 64 are in progress (32%), and 65 are not placed (32.5%). The average package offered is Rs. 10.9 Lakhs, with Google being the top hiring company (10 hires). All placements were handled by Placement Officer Nivetha 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Students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Placed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71  (35.5%)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Progress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  (32%)</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Not Placed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65  (32.5%)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10.9 Lakhs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Min Package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Rs. 2.8 Lakhs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20.0 Lakhs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Placement Officer</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Nivetha S  (100% of placements)</w:t>
            </w:r>
          </w:p>
        </w:tc>
      </w:tr>
    </w:tbl>
    <w:p>
      <w:pPr>
        <w:spacing w:after="0" w:before="200"/>
      </w:pPr>
    </w:p>
    <w:p>
      <w:pPr>
        <w:pStyle w:val="Heading2"/>
        <w:spacing w:after="140" w:before="300"/>
      </w:pPr>
      <w:r>
        <w:rPr>
          <w:rFonts w:ascii="Arial" w:cs="Arial" w:eastAsia="Arial" w:hAnsi="Arial"/>
          <w:b/>
          <w:bCs/>
          <w:color w:val="2C3E50"/>
          <w:sz w:val="26"/>
          <w:szCs w:val="26"/>
        </w:rPr>
        <w:t xml:space="preserve">4.2  Placement by Course</w:t>
      </w:r>
    </w:p>
    <w:p>
      <w:pPr>
        <w:spacing w:after="80" w:before="80"/>
      </w:pPr>
      <w:r>
        <w:rPr>
          <w:rFonts w:ascii="Arial" w:cs="Arial" w:eastAsia="Arial" w:hAnsi="Arial"/>
          <w:sz w:val="22"/>
          <w:szCs w:val="22"/>
        </w:rPr>
        <w:t xml:space="preserve">Data Science with Python leads all placements with 31 placed students (42.5% placement rate for that course). Python Full Stack and React Frontend Developer are next. DevOps, with a small cohort of 8, has the highest relative placement rate (37.5%).</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600"/>
        <w:gridCol w:w="156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Course</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Placed</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 Progress</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 Placed</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Science with 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 Full Stack Development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Frontend 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MERN Stack Development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Business Analytics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Flutter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Cyber Security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r>
    </w:tbl>
    <w:p>
      <w:pPr>
        <w:spacing w:after="0" w:before="200"/>
      </w:pPr>
    </w:p>
    <w:p>
      <w:pPr>
        <w:pStyle w:val="Heading2"/>
        <w:spacing w:after="140" w:before="300"/>
      </w:pPr>
      <w:r>
        <w:rPr>
          <w:rFonts w:ascii="Arial" w:cs="Arial" w:eastAsia="Arial" w:hAnsi="Arial"/>
          <w:b/>
          <w:bCs/>
          <w:color w:val="2C3E50"/>
          <w:sz w:val="26"/>
          <w:szCs w:val="26"/>
        </w:rPr>
        <w:t xml:space="preserve">4.3  Top Hiring Companies</w:t>
      </w:r>
    </w:p>
    <w:p>
      <w:pPr>
        <w:spacing w:after="80" w:before="80"/>
      </w:pPr>
      <w:r>
        <w:rPr>
          <w:rFonts w:ascii="Arial" w:cs="Arial" w:eastAsia="Arial" w:hAnsi="Arial"/>
          <w:sz w:val="22"/>
          <w:szCs w:val="22"/>
        </w:rPr>
        <w:t xml:space="preserve">Google leads hiring with 10 students placed, followed by HCL and Zoho (9 each), and Accenture (8). A total of 8 major companies account for the majority of placements.</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tblHeader/>
        </w:trPr>
        <w:tc>
          <w:tcPr>
            <w:tcW w:type="dxa" w:w="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Company</w:t>
            </w:r>
          </w:p>
        </w:tc>
        <w:tc>
          <w:tcPr>
            <w:tcW w:type="dxa" w:w="36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Students Placed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HCL</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Zoho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Accenture</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Infosys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Amazon</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Wipro</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bl>
    <w:p>
      <w:r>
        <w:br w:type="page"/>
      </w:r>
    </w:p>
    <w:p>
      <w:pPr>
        <w:pStyle w:val="Heading1"/>
        <w:spacing w:after="200" w:before="440"/>
      </w:pPr>
      <w:r>
        <w:rPr>
          <w:rFonts w:ascii="Arial" w:cs="Arial" w:eastAsia="Arial" w:hAnsi="Arial"/>
          <w:b/>
          <w:bCs/>
          <w:color w:val="1A5276"/>
          <w:sz w:val="32"/>
          <w:szCs w:val="32"/>
        </w:rPr>
        <w:t xml:space="preserve">5. Staff</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5.1  Staff Overview</w:t>
      </w:r>
    </w:p>
    <w:p>
      <w:pPr>
        <w:spacing w:after="80" w:before="80"/>
      </w:pPr>
      <w:r>
        <w:rPr>
          <w:rFonts w:ascii="Arial" w:cs="Arial" w:eastAsia="Arial" w:hAnsi="Arial"/>
          <w:sz w:val="22"/>
          <w:szCs w:val="22"/>
        </w:rPr>
        <w:t xml:space="preserve">The institute employs 17 staff members across 6 departments. Teaching staff form the largest group (11), all of whom are domain-specific trainers handling between 1 and 3 batches. The non-teaching team includes Marketing (2), Administration, Front Office, Finance, and HR/Placement (1 each).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Department</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Headcount</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Staff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Front Office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HR/Placement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bl>
    <w:p>
      <w:pPr>
        <w:spacing w:after="0" w:before="200"/>
      </w:pPr>
    </w:p>
    <w:p>
      <w:pPr>
        <w:pStyle w:val="Heading2"/>
        <w:spacing w:after="140" w:before="300"/>
      </w:pPr>
      <w:r>
        <w:rPr>
          <w:rFonts w:ascii="Arial" w:cs="Arial" w:eastAsia="Arial" w:hAnsi="Arial"/>
          <w:b/>
          <w:bCs/>
          <w:color w:val="2C3E50"/>
          <w:sz w:val="26"/>
          <w:szCs w:val="26"/>
        </w:rPr>
        <w:t xml:space="preserve">5.2  Teaching Staff Directory</w:t>
      </w:r>
    </w:p>
    <w:p>
      <w:pPr>
        <w:spacing w:after="80" w:before="80"/>
      </w:pPr>
      <w:r>
        <w:rPr>
          <w:rFonts w:ascii="Arial" w:cs="Arial" w:eastAsia="Arial" w:hAnsi="Arial"/>
          <w:sz w:val="22"/>
          <w:szCs w:val="22"/>
        </w:rPr>
        <w:t xml:space="preserve">All 11 trainers are course-dedicated. Python Full Stack and Data Science trainers handle the highest number of batches (2–3 batches each, 4–5 hours/day).</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1800"/>
        <w:gridCol w:w="1100"/>
        <w:gridCol w:w="860"/>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Department</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Batches</w:t>
            </w:r>
          </w:p>
        </w:tc>
        <w:tc>
          <w:tcPr>
            <w:tcW w:type="dxa" w:w="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Hrs/Day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Akhil Nair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Deepa 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 Trainer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Kiran Kumar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Science 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Anjali Menon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Data Science Trainer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Priya Nair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 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Rohit 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 Trainer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Lekshmi 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 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Sneha K</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 Trainer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Arjun 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Analytics 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TS010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Rani 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Cyber Security Trainer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Vishnu 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 Trainer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4h</w:t>
            </w:r>
          </w:p>
        </w:tc>
      </w:tr>
    </w:tbl>
    <w:p>
      <w:r>
        <w:br w:type="page"/>
      </w:r>
    </w:p>
    <w:p>
      <w:pPr>
        <w:pStyle w:val="Heading1"/>
        <w:spacing w:after="200" w:before="440"/>
      </w:pPr>
      <w:r>
        <w:rPr>
          <w:rFonts w:ascii="Arial" w:cs="Arial" w:eastAsia="Arial" w:hAnsi="Arial"/>
          <w:b/>
          <w:bCs/>
          <w:color w:val="1A5276"/>
          <w:sz w:val="32"/>
          <w:szCs w:val="32"/>
        </w:rPr>
        <w:t xml:space="preserve">6. Courses</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6.1  Course Overview</w:t>
      </w:r>
    </w:p>
    <w:p>
      <w:pPr>
        <w:spacing w:after="80" w:before="80"/>
      </w:pPr>
      <w:r>
        <w:rPr>
          <w:rFonts w:ascii="Arial" w:cs="Arial" w:eastAsia="Arial" w:hAnsi="Arial"/>
          <w:sz w:val="22"/>
          <w:szCs w:val="22"/>
        </w:rPr>
        <w:t xml:space="preserve">The institute offers 11 courses across 29 total batches, all under the Teaching department. Python Full Stack Development has the most batches (6) and the highest average teaching hours (6 hrs/day), shared with Business Analytics. Artificial Intelligence, MERN, and PHP are currently in a single batch each.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1800"/>
        <w:gridCol w:w="2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Course</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Staff</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Batches</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Hrs/Day</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Department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Full Stack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Business Analytics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6.0h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Science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4.0h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Cyber Security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4.0h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PHP</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Artificial Intelligence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w:t>
            </w:r>
          </w:p>
        </w:tc>
      </w:tr>
    </w:tbl>
    <w:p>
      <w:pPr>
        <w:spacing w:after="0" w:before="200"/>
      </w:pPr>
    </w:p>
    <w:p>
      <w:pPr>
        <w:pStyle w:val="Heading2"/>
        <w:spacing w:after="140" w:before="300"/>
      </w:pPr>
      <w:r>
        <w:rPr>
          <w:rFonts w:ascii="Arial" w:cs="Arial" w:eastAsia="Arial" w:hAnsi="Arial"/>
          <w:b/>
          <w:bCs/>
          <w:color w:val="2C3E50"/>
          <w:sz w:val="26"/>
          <w:szCs w:val="26"/>
        </w:rPr>
        <w:t xml:space="preserve">6.2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Courses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Total Batches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Highest Batch 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Full Stack — 6 batches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Highest Avg Hours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 + Business Analytics — 6 hrs/day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Lowest Avg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MERN, PHP — 2 hrs/day</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Dept Coverage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100% Teaching department</w:t>
            </w:r>
          </w:p>
        </w:tc>
      </w:tr>
    </w:tbl>
    <w:p>
      <w:r>
        <w:br w:type="page"/>
      </w:r>
    </w:p>
    <w:p>
      <w:pPr>
        <w:pStyle w:val="Heading1"/>
        <w:spacing w:after="200" w:before="440"/>
      </w:pPr>
      <w:r>
        <w:rPr>
          <w:rFonts w:ascii="Arial" w:cs="Arial" w:eastAsia="Arial" w:hAnsi="Arial"/>
          <w:b/>
          <w:bCs/>
          <w:color w:val="1A5276"/>
          <w:sz w:val="32"/>
          <w:szCs w:val="32"/>
        </w:rPr>
        <w:t xml:space="preserve">7. Staff Schedule</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7.1  Weekly Timetable</w:t>
      </w:r>
    </w:p>
    <w:p>
      <w:pPr>
        <w:spacing w:after="80" w:before="80"/>
      </w:pPr>
      <w:r>
        <w:rPr>
          <w:rFonts w:ascii="Arial" w:cs="Arial" w:eastAsia="Arial" w:hAnsi="Arial"/>
          <w:sz w:val="22"/>
          <w:szCs w:val="22"/>
        </w:rPr>
        <w:t xml:space="preserve">All 11 trainers operate across 4 daily time slots: 10:00–12:00, 12:00–14:00, 14:30–16:30, and 16:30–17:30 (online). Trainers with 3 batches work 7 hours/day (35 hrs/week), while those with 2 active batches work 6 hours/day (30 hrs/week).</w:t>
      </w:r>
    </w:p>
    <w:p>
      <w:pPr>
        <w:spacing w:after="0" w:before="14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200"/>
        <w:gridCol w:w="1200"/>
        <w:gridCol w:w="1400"/>
        <w:gridCol w:w="1400"/>
        <w:gridCol w:w="700"/>
        <w:gridCol w:w="560"/>
      </w:tblGrid>
      <w:tr>
        <w:trPr>
          <w:tblHeader/>
        </w:trPr>
        <w:tc>
          <w:tcPr>
            <w:tcW w:type="dxa" w:w="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Course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10–12</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12–14</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14:30–16:30</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16:30–17:30</w:t>
            </w:r>
          </w:p>
        </w:tc>
        <w:tc>
          <w:tcPr>
            <w:tcW w:type="dxa" w:w="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Daily</w:t>
            </w:r>
          </w:p>
        </w:tc>
        <w:tc>
          <w:tcPr>
            <w:tcW w:type="dxa" w:w="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Akhil Nair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Full Stack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Python-B3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Python-B2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Python-B1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Python-B1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Deepa 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 Full Stack</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Python-B4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Python-B3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Python-B2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Free Period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6h</w:t>
            </w:r>
          </w:p>
        </w:tc>
        <w:tc>
          <w:tcPr>
            <w:tcW w:type="dxa" w:w="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Kiran Kumar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DS-B1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DS-B2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DS-B3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DS-B1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Anjali Menon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Data Science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DS-B4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DS-B5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DS-B6</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Free Period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6h</w:t>
            </w:r>
          </w:p>
        </w:tc>
        <w:tc>
          <w:tcPr>
            <w:tcW w:type="dxa" w:w="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Priya Nair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Rohit 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React-C</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Free Period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6h</w:t>
            </w:r>
          </w:p>
        </w:tc>
        <w:tc>
          <w:tcPr>
            <w:tcW w:type="dxa" w:w="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Lekshmi 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TS008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Sneha K</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Flutter-C</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Free Period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6h</w:t>
            </w:r>
          </w:p>
        </w:tc>
        <w:tc>
          <w:tcPr>
            <w:tcW w:type="dxa" w:w="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30h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Arjun 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Period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30h</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TS010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Rani 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Cyber Security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CySec-A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CySec-B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CySec-A</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5h</w:t>
            </w:r>
          </w:p>
        </w:tc>
        <w:tc>
          <w:tcPr>
            <w:tcW w:type="dxa" w:w="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25h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TS011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Vishnu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25h</w:t>
            </w:r>
          </w:p>
        </w:tc>
      </w:tr>
    </w:tbl>
    <w:p>
      <w:pPr>
        <w:spacing w:after="0" w:before="200"/>
      </w:pPr>
    </w:p>
    <w:p>
      <w:pPr>
        <w:pStyle w:val="Heading2"/>
        <w:spacing w:after="140" w:before="300"/>
      </w:pPr>
      <w:r>
        <w:rPr>
          <w:rFonts w:ascii="Arial" w:cs="Arial" w:eastAsia="Arial" w:hAnsi="Arial"/>
          <w:b/>
          <w:bCs/>
          <w:color w:val="2C3E50"/>
          <w:sz w:val="26"/>
          <w:szCs w:val="26"/>
        </w:rPr>
        <w:t xml:space="preserve">7.2  Workload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Trainers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Max Weekly Hours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 hrs  (Akhil Nair, Kiran Kumar)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 Weekly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hrs  (single-batch trainers)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Time Slots per Day</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  (3 classroom + 1 online)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Busiest Courses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Full Stack, Data Science</w:t>
            </w:r>
          </w:p>
        </w:tc>
      </w:tr>
    </w:tbl>
    <w:p>
      <w:r>
        <w:br w:type="page"/>
      </w:r>
    </w:p>
    <w:p>
      <w:pPr>
        <w:pStyle w:val="Heading1"/>
        <w:spacing w:after="200" w:before="440"/>
      </w:pPr>
      <w:r>
        <w:rPr>
          <w:rFonts w:ascii="Arial" w:cs="Arial" w:eastAsia="Arial" w:hAnsi="Arial"/>
          <w:b/>
          <w:bCs/>
          <w:color w:val="1A5276"/>
          <w:sz w:val="32"/>
          <w:szCs w:val="32"/>
        </w:rPr>
        <w:t xml:space="preserve">8. Classroom Allocation</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8.1  Room Allocation Grid</w:t>
      </w:r>
    </w:p>
    <w:p>
      <w:pPr>
        <w:spacing w:after="80" w:before="80"/>
      </w:pPr>
      <w:r>
        <w:rPr>
          <w:rFonts w:ascii="Arial" w:cs="Arial" w:eastAsia="Arial" w:hAnsi="Arial"/>
          <w:sz w:val="22"/>
          <w:szCs w:val="22"/>
        </w:rPr>
        <w:t xml:space="preserve">The institute has 5 classrooms (C001–C005), each with a capacity of 20 students. Every classroom is fully utilised across all 4 daily time slots, resulting in 100% slot utilisation with zero idle classrooms.</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700"/>
        <w:gridCol w:w="1700"/>
        <w:gridCol w:w="1700"/>
        <w:gridCol w:w="2160"/>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Room</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Capacity</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10:00–12:00</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12:00–14:00</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14:30–16:30</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16:30–17:30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MERN-A09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MERN-B10</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C002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BA-A10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PHP-A10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PHP-A09</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PHP-B10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Python-A09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Python-B10</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C004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DevOps-A10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React-A10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React-A09</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React-B10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Flutter-A10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UIUX-A09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UIUX-B10</w:t>
            </w:r>
          </w:p>
        </w:tc>
      </w:tr>
    </w:tbl>
    <w:p>
      <w:pPr>
        <w:spacing w:after="0" w:before="200"/>
      </w:pPr>
    </w:p>
    <w:p>
      <w:pPr>
        <w:pStyle w:val="Heading2"/>
        <w:spacing w:after="140" w:before="300"/>
      </w:pPr>
      <w:r>
        <w:rPr>
          <w:rFonts w:ascii="Arial" w:cs="Arial" w:eastAsia="Arial" w:hAnsi="Arial"/>
          <w:b/>
          <w:bCs/>
          <w:color w:val="2C3E50"/>
          <w:sz w:val="26"/>
          <w:szCs w:val="26"/>
        </w:rPr>
        <w:t xml:space="preserve">8.2  Utilisation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Classrooms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Total Seating Capacity</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100 students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Time Slots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per room</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Total Weekly Slots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 (5 rooms × 4 slots)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Slot Utilisation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all slots are assigned</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Avg Batches per Room</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 batches/day</w:t>
            </w:r>
          </w:p>
        </w:tc>
      </w:tr>
    </w:tbl>
    <w:p>
      <w:r>
        <w:br w:type="page"/>
      </w:r>
    </w:p>
    <w:p>
      <w:pPr>
        <w:pStyle w:val="Heading1"/>
        <w:spacing w:after="200" w:before="440"/>
      </w:pPr>
      <w:r>
        <w:rPr>
          <w:rFonts w:ascii="Arial" w:cs="Arial" w:eastAsia="Arial" w:hAnsi="Arial"/>
          <w:b/>
          <w:bCs/>
          <w:color w:val="1A5276"/>
          <w:sz w:val="32"/>
          <w:szCs w:val="32"/>
        </w:rPr>
        <w:t xml:space="preserve">9. Key Insights &amp; Recommendations</w:t>
      </w:r>
    </w:p>
    <w:p>
      <w:pPr>
        <w:pBdr>
          <w:bottom w:val="single" w:color="1A5276" w:sz="4" w:space="1"/>
        </w:pBdr>
        <w:spacing w:after="180" w:before="180"/>
      </w:pPr>
    </w:p>
    <w:p>
      <w:pPr>
        <w:pStyle w:val="Heading2"/>
        <w:spacing w:after="140" w:before="300"/>
      </w:pPr>
      <w:r>
        <w:rPr>
          <w:rFonts w:ascii="Arial" w:cs="Arial" w:eastAsia="Arial" w:hAnsi="Arial"/>
          <w:b/>
          <w:bCs/>
          <w:color w:val="2C3E50"/>
          <w:sz w:val="26"/>
          <w:szCs w:val="26"/>
        </w:rPr>
        <w:t xml:space="preserve">9.1  Strengths</w:t>
      </w:r>
    </w:p>
    <w:p>
      <w:pPr>
        <w:pStyle w:val="ListParagraph"/>
        <w:numPr>
          <w:ilvl w:val="0"/>
          <w:numId w:val="2"/>
        </w:numPr>
        <w:spacing w:after="60" w:before="60"/>
      </w:pPr>
      <w:r>
        <w:rPr>
          <w:rFonts w:ascii="Arial" w:cs="Arial" w:eastAsia="Arial" w:hAnsi="Arial"/>
          <w:sz w:val="22"/>
          <w:szCs w:val="22"/>
        </w:rPr>
        <w:t xml:space="preserve">Data Science with Python is the clear star — 73 students, 31 placements, and the highest course-level placement rate.</w:t>
      </w:r>
    </w:p>
    <w:p>
      <w:pPr>
        <w:pStyle w:val="ListParagraph"/>
        <w:numPr>
          <w:ilvl w:val="0"/>
          <w:numId w:val="2"/>
        </w:numPr>
        <w:spacing w:after="60" w:before="60"/>
      </w:pPr>
      <w:r>
        <w:rPr>
          <w:rFonts w:ascii="Arial" w:cs="Arial" w:eastAsia="Arial" w:hAnsi="Arial"/>
          <w:sz w:val="22"/>
          <w:szCs w:val="22"/>
        </w:rPr>
        <w:t xml:space="preserve">Flutter Development and UI/UX Design show 100% attendance, indicating highly engaged cohorts.</w:t>
      </w:r>
    </w:p>
    <w:p>
      <w:pPr>
        <w:pStyle w:val="ListParagraph"/>
        <w:numPr>
          <w:ilvl w:val="0"/>
          <w:numId w:val="2"/>
        </w:numPr>
        <w:spacing w:after="60" w:before="60"/>
      </w:pPr>
      <w:r>
        <w:rPr>
          <w:rFonts w:ascii="Arial" w:cs="Arial" w:eastAsia="Arial" w:hAnsi="Arial"/>
          <w:sz w:val="22"/>
          <w:szCs w:val="22"/>
        </w:rPr>
        <w:t xml:space="preserve">Google, HCL, and Zoho are strong hiring partners with consistent demand.</w:t>
      </w:r>
    </w:p>
    <w:p>
      <w:pPr>
        <w:pStyle w:val="ListParagraph"/>
        <w:numPr>
          <w:ilvl w:val="0"/>
          <w:numId w:val="2"/>
        </w:numPr>
        <w:spacing w:after="60" w:before="60"/>
      </w:pPr>
      <w:r>
        <w:rPr>
          <w:rFonts w:ascii="Arial" w:cs="Arial" w:eastAsia="Arial" w:hAnsi="Arial"/>
          <w:sz w:val="22"/>
          <w:szCs w:val="22"/>
        </w:rPr>
        <w:t xml:space="preserve">All 5 classrooms are at 100% slot utilisation — operational efficiency is high.</w:t>
      </w:r>
    </w:p>
    <w:p>
      <w:pPr>
        <w:pStyle w:val="ListParagraph"/>
        <w:numPr>
          <w:ilvl w:val="0"/>
          <w:numId w:val="2"/>
        </w:numPr>
        <w:spacing w:after="60" w:before="60"/>
      </w:pPr>
      <w:r>
        <w:rPr>
          <w:rFonts w:ascii="Arial" w:cs="Arial" w:eastAsia="Arial" w:hAnsi="Arial"/>
          <w:sz w:val="22"/>
          <w:szCs w:val="22"/>
        </w:rPr>
        <w:t xml:space="preserve">Rifana leads counsellor conversion with a 47% admission rate, serving as a benchmark.</w:t>
      </w:r>
    </w:p>
    <w:p>
      <w:pPr>
        <w:spacing w:after="0" w:before="160"/>
      </w:pPr>
    </w:p>
    <w:p>
      <w:pPr>
        <w:pStyle w:val="Heading2"/>
        <w:spacing w:after="140" w:before="300"/>
      </w:pPr>
      <w:r>
        <w:rPr>
          <w:rFonts w:ascii="Arial" w:cs="Arial" w:eastAsia="Arial" w:hAnsi="Arial"/>
          <w:b/>
          <w:bCs/>
          <w:color w:val="2C3E50"/>
          <w:sz w:val="26"/>
          <w:szCs w:val="26"/>
        </w:rPr>
        <w:t xml:space="preserve">9.2  Areas for Improvement</w:t>
      </w:r>
    </w:p>
    <w:p>
      <w:pPr>
        <w:pStyle w:val="ListParagraph"/>
        <w:numPr>
          <w:ilvl w:val="0"/>
          <w:numId w:val="2"/>
        </w:numPr>
        <w:spacing w:after="60" w:before="60"/>
      </w:pPr>
      <w:r>
        <w:rPr>
          <w:rFonts w:ascii="Arial" w:cs="Arial" w:eastAsia="Arial" w:hAnsi="Arial"/>
          <w:sz w:val="22"/>
          <w:szCs w:val="22"/>
        </w:rPr>
        <w:t xml:space="preserve">DevOps has the lowest attendance (72.5%) and a small cohort of 8 students — review scheduling and engagement strategy.</w:t>
      </w:r>
    </w:p>
    <w:p>
      <w:pPr>
        <w:pStyle w:val="ListParagraph"/>
        <w:numPr>
          <w:ilvl w:val="0"/>
          <w:numId w:val="2"/>
        </w:numPr>
        <w:spacing w:after="60" w:before="60"/>
      </w:pPr>
      <w:r>
        <w:rPr>
          <w:rFonts w:ascii="Arial" w:cs="Arial" w:eastAsia="Arial" w:hAnsi="Arial"/>
          <w:sz w:val="22"/>
          <w:szCs w:val="22"/>
        </w:rPr>
        <w:t xml:space="preserve">MERN Stack Development has the highest 'Not Placed' count (14 of 30 students, 47%) — curriculum alignment with industry needs should be reviewed.</w:t>
      </w:r>
    </w:p>
    <w:p>
      <w:pPr>
        <w:pStyle w:val="ListParagraph"/>
        <w:numPr>
          <w:ilvl w:val="0"/>
          <w:numId w:val="2"/>
        </w:numPr>
        <w:spacing w:after="60" w:before="60"/>
      </w:pPr>
      <w:r>
        <w:rPr>
          <w:rFonts w:ascii="Arial" w:cs="Arial" w:eastAsia="Arial" w:hAnsi="Arial"/>
          <w:sz w:val="22"/>
          <w:szCs w:val="22"/>
        </w:rPr>
        <w:t xml:space="preserve">Admission conversion rate of 42.2% overall indicates over half of inquiries are lost — counsellor training and follow-up processes could be strengthened.</w:t>
      </w:r>
    </w:p>
    <w:p>
      <w:pPr>
        <w:pStyle w:val="ListParagraph"/>
        <w:numPr>
          <w:ilvl w:val="0"/>
          <w:numId w:val="2"/>
        </w:numPr>
        <w:spacing w:after="60" w:before="60"/>
      </w:pPr>
      <w:r>
        <w:rPr>
          <w:rFonts w:ascii="Arial" w:cs="Arial" w:eastAsia="Arial" w:hAnsi="Arial"/>
          <w:sz w:val="22"/>
          <w:szCs w:val="22"/>
        </w:rPr>
        <w:t xml:space="preserve">8 students are in Critical attendance status — proactive intervention is needed immediately.</w:t>
      </w:r>
    </w:p>
    <w:p>
      <w:pPr>
        <w:pStyle w:val="ListParagraph"/>
        <w:numPr>
          <w:ilvl w:val="0"/>
          <w:numId w:val="2"/>
        </w:numPr>
        <w:spacing w:after="60" w:before="60"/>
      </w:pPr>
      <w:r>
        <w:rPr>
          <w:rFonts w:ascii="Arial" w:cs="Arial" w:eastAsia="Arial" w:hAnsi="Arial"/>
          <w:sz w:val="22"/>
          <w:szCs w:val="22"/>
        </w:rPr>
        <w:t xml:space="preserve">65 students remain Not Placed — targeted placement drives for courses with lower placement rates are recommended.</w:t>
      </w:r>
    </w:p>
    <w:p>
      <w:pPr>
        <w:spacing w:after="0" w:before="160"/>
      </w:pPr>
    </w:p>
    <w:p>
      <w:pPr>
        <w:pStyle w:val="Heading2"/>
        <w:spacing w:after="140" w:before="300"/>
      </w:pPr>
      <w:r>
        <w:rPr>
          <w:rFonts w:ascii="Arial" w:cs="Arial" w:eastAsia="Arial" w:hAnsi="Arial"/>
          <w:b/>
          <w:bCs/>
          <w:color w:val="2C3E50"/>
          <w:sz w:val="26"/>
          <w:szCs w:val="26"/>
        </w:rPr>
        <w:t xml:space="preserve">9.3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000"/>
        <w:gridCol w:w="2960"/>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Intervene with 8 Critical attendance 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Teaching Dept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Launch placement drive for MERN &amp; Cyber Security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Placement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April 2025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Replicate Rifana's counselling techniques across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Admissions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2025</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Review DevOps batch schedule and student feedback</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Teaching Dept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May 2025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Expand Data Science batches — high demand + strong placement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2025</w:t>
            </w:r>
          </w:p>
        </w:tc>
      </w:tr>
    </w:tbl>
    <w:p>
      <w:pPr>
        <w:spacing w:after="0" w:before="300"/>
      </w:pPr>
    </w:p>
    <w:p>
      <w:pPr>
        <w:spacing w:after="0" w:before="0"/>
      </w:pPr>
      <w:r>
        <w:rPr>
          <w:b/>
          <w:sz w:val="22"/>
        </w:rPr>
        <w:br w:type="page"/>
      </w:r>
    </w:p>
    <w:p>
      <w:pPr>
        <w:pStyle w:val="Heading1"/>
        <w:spacing w:after="200" w:before="440"/>
      </w:pPr>
      <w:r>
        <w:rPr>
          <w:rFonts w:ascii="Arial" w:cs="Arial" w:eastAsia="Arial" w:hAnsi="Arial"/>
          <w:b/>
          <w:bCs/>
          <w:color w:val="1A5276"/>
          <w:sz w:val="32"/>
          <w:szCs w:val="32"/>
        </w:rPr>
        <w:t>10. Team Work Assignment</w:t>
      </w:r>
    </w:p>
    <w:p>
      <w:pPr>
        <w:pBdr>
          <w:bottom w:val="single" w:color="1A5276" w:sz="4" w:space="1"/>
        </w:pBdr>
        <w:spacing w:after="180" w:before="180"/>
      </w:pPr>
    </w:p>
    <w:p>
      <w:pPr>
        <w:spacing w:after="80" w:before="80"/>
      </w:pPr>
      <w:r>
        <w:rPr>
          <w:rFonts w:ascii="Arial" w:cs="Arial" w:eastAsia="Arial" w:hAnsi="Arial"/>
          <w:sz w:val="22"/>
          <w:szCs w:val="22"/>
        </w:rPr>
        <w:t>The project is divided equally among 4 team members, each responsible for 2 datasets and the corresponding Streamlit dashboard pages. All members collaborate on the shared sidebar filter and Streamlit layout wiring.</w:t>
      </w:r>
    </w:p>
    <w:p>
      <w:pPr>
        <w:spacing w:after="160" w:before="8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c>
          <w:tcPr>
            <w:tcW w:type="dxa" w:w="3120"/>
            <w:shd w:val="clear" w:fill="1A5276"/>
            <w:tcMar>
              <w:top w:type="dxa" w:w="80"/>
              <w:left w:type="dxa" w:w="120"/>
              <w:bottom w:type="dxa" w:w="80"/>
              <w:right w:type="dxa" w:w="120"/>
            </w:tcMar>
          </w:tcPr>
          <w:p>
            <w:pPr>
              <w:jc w:val="center"/>
            </w:pPr>
            <w:r>
              <w:rPr>
                <w:rFonts w:ascii="Arial" w:cs="Arial" w:hAnsi="Arial"/>
                <w:b/>
                <w:color w:val="FFFFFF"/>
                <w:sz w:val="20"/>
              </w:rPr>
              <w:t>2 datasets each</w:t>
            </w:r>
          </w:p>
          <w:p>
            <w:pPr>
              <w:jc w:val="center"/>
            </w:pPr>
            <w:r>
              <w:rPr>
                <w:rFonts w:ascii="Arial" w:cs="Arial" w:hAnsi="Arial"/>
                <w:color w:val="D6EAF8"/>
                <w:sz w:val="18"/>
              </w:rPr>
              <w:t>equal split</w:t>
            </w:r>
          </w:p>
        </w:tc>
        <w:tc>
          <w:tcPr>
            <w:tcW w:type="dxa" w:w="3120"/>
            <w:shd w:val="clear" w:fill="1A5276"/>
            <w:tcMar>
              <w:top w:type="dxa" w:w="80"/>
              <w:left w:type="dxa" w:w="120"/>
              <w:bottom w:type="dxa" w:w="80"/>
              <w:right w:type="dxa" w:w="120"/>
            </w:tcMar>
          </w:tcPr>
          <w:p>
            <w:pPr>
              <w:jc w:val="center"/>
            </w:pPr>
            <w:r>
              <w:rPr>
                <w:rFonts w:ascii="Arial" w:cs="Arial" w:hAnsi="Arial"/>
                <w:b/>
                <w:color w:val="FFFFFF"/>
                <w:sz w:val="20"/>
              </w:rPr>
              <w:t>475 rows</w:t>
            </w:r>
          </w:p>
          <w:p>
            <w:pPr>
              <w:jc w:val="center"/>
            </w:pPr>
            <w:r>
              <w:rPr>
                <w:rFonts w:ascii="Arial" w:cs="Arial" w:hAnsi="Arial"/>
                <w:color w:val="D6EAF8"/>
                <w:sz w:val="18"/>
              </w:rPr>
              <w:t>heaviest file → M1</w:t>
            </w:r>
          </w:p>
        </w:tc>
        <w:tc>
          <w:tcPr>
            <w:tcW w:type="dxa" w:w="3120"/>
            <w:shd w:val="clear" w:fill="1A5276"/>
            <w:tcMar>
              <w:top w:type="dxa" w:w="80"/>
              <w:left w:type="dxa" w:w="120"/>
              <w:bottom w:type="dxa" w:w="80"/>
              <w:right w:type="dxa" w:w="120"/>
            </w:tcMar>
          </w:tcPr>
          <w:p>
            <w:pPr>
              <w:jc w:val="center"/>
            </w:pPr>
            <w:r>
              <w:rPr>
                <w:rFonts w:ascii="Arial" w:cs="Arial" w:hAnsi="Arial"/>
                <w:b/>
                <w:color w:val="FFFFFF"/>
                <w:sz w:val="20"/>
              </w:rPr>
              <w:t>Shared task</w:t>
            </w:r>
          </w:p>
          <w:p>
            <w:pPr>
              <w:jc w:val="center"/>
            </w:pPr>
            <w:r>
              <w:rPr>
                <w:rFonts w:ascii="Arial" w:cs="Arial" w:hAnsi="Arial"/>
                <w:color w:val="D6EAF8"/>
                <w:sz w:val="18"/>
              </w:rPr>
              <w:t>Sidebar + Streamlit wiring</w:t>
            </w:r>
          </w:p>
        </w:tc>
      </w:tr>
    </w:tbl>
    <w:p>
      <w:pPr>
        <w:spacing w:after="0" w:before="240"/>
      </w:pPr>
    </w:p>
    <w:p>
      <w:pPr>
        <w:spacing w:after="140" w:before="300"/>
      </w:pPr>
      <w:r>
        <w:rPr>
          <w:rFonts w:ascii="Arial" w:cs="Arial" w:hAnsi="Arial"/>
          <w:b/>
          <w:color w:val="2C3E50"/>
          <w:sz w:val="26"/>
        </w:rPr>
        <w:t>Member 1 — Students &amp; Admissions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7360"/>
      </w:tblGrid>
      <w:tr>
        <w:tc>
          <w:tcPr>
            <w:tcW w:type="dxa" w:w="2000"/>
            <w:shd w:val="clear" w:fill="E6F1FB"/>
            <w:tcMar>
              <w:top w:type="dxa" w:w="80"/>
              <w:left w:type="dxa" w:w="120"/>
              <w:bottom w:type="dxa" w:w="80"/>
              <w:right w:type="dxa" w:w="120"/>
            </w:tcMar>
          </w:tcPr>
          <w:p>
            <w:r>
              <w:rPr>
                <w:rFonts w:ascii="Arial" w:cs="Arial" w:hAnsi="Arial"/>
                <w:b/>
                <w:color w:val="0C447C"/>
                <w:sz w:val="20"/>
              </w:rPr>
              <w:t>Datasets</w:t>
            </w:r>
          </w:p>
        </w:tc>
        <w:tc>
          <w:tcPr>
            <w:tcW w:type="dxa" w:w="7360"/>
            <w:shd w:val="clear" w:fill="FFFFFF"/>
            <w:tcMar>
              <w:top w:type="dxa" w:w="80"/>
              <w:left w:type="dxa" w:w="120"/>
              <w:bottom w:type="dxa" w:w="80"/>
              <w:right w:type="dxa" w:w="120"/>
            </w:tcMar>
          </w:tcPr>
          <w:p>
            <w:r>
              <w:rPr>
                <w:rFonts w:ascii="Arial" w:cs="Arial" w:hAnsi="Arial"/>
                <w:sz w:val="20"/>
              </w:rPr>
              <w:t>students.csv  |  admission.csv</w:t>
            </w:r>
          </w:p>
        </w:tc>
      </w:tr>
      <w:tr>
        <w:tc>
          <w:tcPr>
            <w:tcW w:type="dxa" w:w="2000"/>
            <w:shd w:val="clear" w:fill="E6F1FB"/>
            <w:tcMar>
              <w:top w:type="dxa" w:w="80"/>
              <w:left w:type="dxa" w:w="120"/>
              <w:bottom w:type="dxa" w:w="80"/>
              <w:right w:type="dxa" w:w="120"/>
            </w:tcMar>
          </w:tcPr>
          <w:p>
            <w:r>
              <w:rPr>
                <w:rFonts w:ascii="Arial" w:cs="Arial" w:hAnsi="Arial"/>
                <w:b/>
                <w:color w:val="0C447C"/>
                <w:sz w:val="20"/>
              </w:rPr>
              <w:t>Dashboard Pages</w:t>
            </w:r>
          </w:p>
        </w:tc>
        <w:tc>
          <w:tcPr>
            <w:tcW w:type="dxa" w:w="7360"/>
            <w:shd w:val="clear" w:fill="EBF5FB"/>
            <w:tcMar>
              <w:top w:type="dxa" w:w="80"/>
              <w:left w:type="dxa" w:w="120"/>
              <w:bottom w:type="dxa" w:w="80"/>
              <w:right w:type="dxa" w:w="120"/>
            </w:tcMar>
          </w:tcPr>
          <w:p>
            <w:r>
              <w:rPr>
                <w:rFonts w:ascii="Arial" w:cs="Arial" w:hAnsi="Arial"/>
                <w:sz w:val="20"/>
              </w:rPr>
              <w:t>1. Student overview page (age, mode, course, batch)</w:t>
            </w:r>
          </w:p>
          <w:p>
            <w:r>
              <w:rPr>
                <w:rFonts w:ascii="Arial" w:cs="Arial" w:hAnsi="Arial"/>
                <w:sz w:val="20"/>
              </w:rPr>
              <w:t>2. Enrollment trend chart (monthly admissions)</w:t>
            </w:r>
          </w:p>
          <w:p>
            <w:r>
              <w:rPr>
                <w:rFonts w:ascii="Arial" w:cs="Arial" w:hAnsi="Arial"/>
                <w:sz w:val="20"/>
              </w:rPr>
              <w:t>3. Admission funnel (inquiry → admitted → enrolled)</w:t>
            </w:r>
          </w:p>
          <w:p>
            <w:r>
              <w:rPr>
                <w:rFonts w:ascii="Arial" w:cs="Arial" w:hAnsi="Arial"/>
                <w:sz w:val="20"/>
              </w:rPr>
              <w:t>4. Counsellor-wise performance table</w:t>
            </w:r>
          </w:p>
          <w:p>
            <w:r>
              <w:rPr>
                <w:rFonts w:ascii="Arial" w:cs="Arial" w:hAnsi="Arial"/>
                <w:sz w:val="20"/>
              </w:rPr>
              <w:t>5. Source &amp; location breakdown (where students come from)</w:t>
            </w:r>
          </w:p>
        </w:tc>
      </w:tr>
    </w:tbl>
    <w:p>
      <w:pPr>
        <w:spacing w:after="0" w:before="160"/>
      </w:pPr>
    </w:p>
    <w:p>
      <w:pPr>
        <w:spacing w:after="140" w:before="300"/>
      </w:pPr>
      <w:r>
        <w:rPr>
          <w:rFonts w:ascii="Arial" w:cs="Arial" w:hAnsi="Arial"/>
          <w:b/>
          <w:color w:val="2C3E50"/>
          <w:sz w:val="26"/>
        </w:rPr>
        <w:t>Member 2 — Attendance &amp; Classroom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7360"/>
      </w:tblGrid>
      <w:tr>
        <w:tc>
          <w:tcPr>
            <w:tcW w:type="dxa" w:w="2000"/>
            <w:shd w:val="clear" w:fill="E1F5EE"/>
            <w:tcMar>
              <w:top w:type="dxa" w:w="80"/>
              <w:left w:type="dxa" w:w="120"/>
              <w:bottom w:type="dxa" w:w="80"/>
              <w:right w:type="dxa" w:w="120"/>
            </w:tcMar>
          </w:tcPr>
          <w:p>
            <w:r>
              <w:rPr>
                <w:rFonts w:ascii="Arial" w:cs="Arial" w:hAnsi="Arial"/>
                <w:b/>
                <w:color w:val="085041"/>
                <w:sz w:val="20"/>
              </w:rPr>
              <w:t>Datasets</w:t>
            </w:r>
          </w:p>
        </w:tc>
        <w:tc>
          <w:tcPr>
            <w:tcW w:type="dxa" w:w="7360"/>
            <w:shd w:val="clear" w:fill="FFFFFF"/>
            <w:tcMar>
              <w:top w:type="dxa" w:w="80"/>
              <w:left w:type="dxa" w:w="120"/>
              <w:bottom w:type="dxa" w:w="80"/>
              <w:right w:type="dxa" w:w="120"/>
            </w:tcMar>
          </w:tcPr>
          <w:p>
            <w:r>
              <w:rPr>
                <w:rFonts w:ascii="Arial" w:cs="Arial" w:hAnsi="Arial"/>
                <w:sz w:val="20"/>
              </w:rPr>
              <w:t>attendance_current_month.csv  |  classroom.csv</w:t>
            </w:r>
          </w:p>
        </w:tc>
      </w:tr>
      <w:tr>
        <w:tc>
          <w:tcPr>
            <w:tcW w:type="dxa" w:w="2000"/>
            <w:shd w:val="clear" w:fill="E1F5EE"/>
            <w:tcMar>
              <w:top w:type="dxa" w:w="80"/>
              <w:left w:type="dxa" w:w="120"/>
              <w:bottom w:type="dxa" w:w="80"/>
              <w:right w:type="dxa" w:w="120"/>
            </w:tcMar>
          </w:tcPr>
          <w:p>
            <w:r>
              <w:rPr>
                <w:rFonts w:ascii="Arial" w:cs="Arial" w:hAnsi="Arial"/>
                <w:b/>
                <w:color w:val="085041"/>
                <w:sz w:val="20"/>
              </w:rPr>
              <w:t>Dashboard Pages</w:t>
            </w:r>
          </w:p>
        </w:tc>
        <w:tc>
          <w:tcPr>
            <w:tcW w:type="dxa" w:w="7360"/>
            <w:shd w:val="clear" w:fill="E1F5EE"/>
            <w:tcMar>
              <w:top w:type="dxa" w:w="80"/>
              <w:left w:type="dxa" w:w="120"/>
              <w:bottom w:type="dxa" w:w="80"/>
              <w:right w:type="dxa" w:w="120"/>
            </w:tcMar>
          </w:tcPr>
          <w:p>
            <w:r>
              <w:rPr>
                <w:rFonts w:ascii="Arial" w:cs="Arial" w:hAnsi="Arial"/>
                <w:sz w:val="20"/>
              </w:rPr>
              <w:t>1. Monthly attendance heatmap (student × date)</w:t>
            </w:r>
          </w:p>
          <w:p>
            <w:r>
              <w:rPr>
                <w:rFonts w:ascii="Arial" w:cs="Arial" w:hAnsi="Arial"/>
                <w:sz w:val="20"/>
              </w:rPr>
              <w:t>2. At-risk students list (Warning / Low attendance)</w:t>
            </w:r>
          </w:p>
          <w:p>
            <w:r>
              <w:rPr>
                <w:rFonts w:ascii="Arial" w:cs="Arial" w:hAnsi="Arial"/>
                <w:sz w:val="20"/>
              </w:rPr>
              <w:t>3. Course-wise attendance % comparison bar chart</w:t>
            </w:r>
          </w:p>
          <w:p>
            <w:r>
              <w:rPr>
                <w:rFonts w:ascii="Arial" w:cs="Arial" w:hAnsi="Arial"/>
                <w:sz w:val="20"/>
              </w:rPr>
              <w:t>4. Classroom occupancy &amp; slot utilisation view</w:t>
            </w:r>
          </w:p>
          <w:p>
            <w:r>
              <w:rPr>
                <w:rFonts w:ascii="Arial" w:cs="Arial" w:hAnsi="Arial"/>
                <w:sz w:val="20"/>
              </w:rPr>
              <w:t>5. Present / Absent / Holiday summary metrics</w:t>
            </w:r>
          </w:p>
        </w:tc>
      </w:tr>
    </w:tbl>
    <w:p>
      <w:pPr>
        <w:spacing w:after="0" w:before="160"/>
      </w:pPr>
    </w:p>
    <w:p>
      <w:pPr>
        <w:spacing w:after="140" w:before="300"/>
      </w:pPr>
      <w:r>
        <w:rPr>
          <w:rFonts w:ascii="Arial" w:cs="Arial" w:hAnsi="Arial"/>
          <w:b/>
          <w:color w:val="2C3E50"/>
          <w:sz w:val="26"/>
        </w:rPr>
        <w:t>Member 3 — Staff &amp; Schedule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7360"/>
      </w:tblGrid>
      <w:tr>
        <w:tc>
          <w:tcPr>
            <w:tcW w:type="dxa" w:w="2000"/>
            <w:shd w:val="clear" w:fill="FAEEDA"/>
            <w:tcMar>
              <w:top w:type="dxa" w:w="80"/>
              <w:left w:type="dxa" w:w="120"/>
              <w:bottom w:type="dxa" w:w="80"/>
              <w:right w:type="dxa" w:w="120"/>
            </w:tcMar>
          </w:tcPr>
          <w:p>
            <w:r>
              <w:rPr>
                <w:rFonts w:ascii="Arial" w:cs="Arial" w:hAnsi="Arial"/>
                <w:b/>
                <w:color w:val="633806"/>
                <w:sz w:val="20"/>
              </w:rPr>
              <w:t>Datasets</w:t>
            </w:r>
          </w:p>
        </w:tc>
        <w:tc>
          <w:tcPr>
            <w:tcW w:type="dxa" w:w="7360"/>
            <w:shd w:val="clear" w:fill="FFFFFF"/>
            <w:tcMar>
              <w:top w:type="dxa" w:w="80"/>
              <w:left w:type="dxa" w:w="120"/>
              <w:bottom w:type="dxa" w:w="80"/>
              <w:right w:type="dxa" w:w="120"/>
            </w:tcMar>
          </w:tcPr>
          <w:p>
            <w:r>
              <w:rPr>
                <w:rFonts w:ascii="Arial" w:cs="Arial" w:hAnsi="Arial"/>
                <w:sz w:val="20"/>
              </w:rPr>
              <w:t>staff_dataset.csv  |  staff_schedule_with_weekly.csv</w:t>
            </w:r>
          </w:p>
        </w:tc>
      </w:tr>
      <w:tr>
        <w:tc>
          <w:tcPr>
            <w:tcW w:type="dxa" w:w="2000"/>
            <w:shd w:val="clear" w:fill="FAEEDA"/>
            <w:tcMar>
              <w:top w:type="dxa" w:w="80"/>
              <w:left w:type="dxa" w:w="120"/>
              <w:bottom w:type="dxa" w:w="80"/>
              <w:right w:type="dxa" w:w="120"/>
            </w:tcMar>
          </w:tcPr>
          <w:p>
            <w:r>
              <w:rPr>
                <w:rFonts w:ascii="Arial" w:cs="Arial" w:hAnsi="Arial"/>
                <w:b/>
                <w:color w:val="633806"/>
                <w:sz w:val="20"/>
              </w:rPr>
              <w:t>Dashboard Pages</w:t>
            </w:r>
          </w:p>
        </w:tc>
        <w:tc>
          <w:tcPr>
            <w:tcW w:type="dxa" w:w="7360"/>
            <w:shd w:val="clear" w:fill="FAEEDA"/>
            <w:tcMar>
              <w:top w:type="dxa" w:w="80"/>
              <w:left w:type="dxa" w:w="120"/>
              <w:bottom w:type="dxa" w:w="80"/>
              <w:right w:type="dxa" w:w="120"/>
            </w:tcMar>
          </w:tcPr>
          <w:p>
            <w:r>
              <w:rPr>
                <w:rFonts w:ascii="Arial" w:cs="Arial" w:hAnsi="Arial"/>
                <w:sz w:val="20"/>
              </w:rPr>
              <w:t>1. Staff directory (role, department, batches handled)</w:t>
            </w:r>
          </w:p>
          <w:p>
            <w:r>
              <w:rPr>
                <w:rFonts w:ascii="Arial" w:cs="Arial" w:hAnsi="Arial"/>
                <w:sz w:val="20"/>
              </w:rPr>
              <w:t>2. Daily &amp; weekly hours bar chart per trainer</w:t>
            </w:r>
          </w:p>
          <w:p>
            <w:r>
              <w:rPr>
                <w:rFonts w:ascii="Arial" w:cs="Arial" w:hAnsi="Arial"/>
                <w:sz w:val="20"/>
              </w:rPr>
              <w:t>3. Timetable / slot schedule grid view</w:t>
            </w:r>
          </w:p>
          <w:p>
            <w:r>
              <w:rPr>
                <w:rFonts w:ascii="Arial" w:cs="Arial" w:hAnsi="Arial"/>
                <w:sz w:val="20"/>
              </w:rPr>
              <w:t>4. Teaching vs support staff ratio donut chart</w:t>
            </w:r>
          </w:p>
          <w:p>
            <w:r>
              <w:rPr>
                <w:rFonts w:ascii="Arial" w:cs="Arial" w:hAnsi="Arial"/>
                <w:sz w:val="20"/>
              </w:rPr>
              <w:t>5. Workload heatmap (trainer × time slot)</w:t>
            </w:r>
          </w:p>
        </w:tc>
      </w:tr>
    </w:tbl>
    <w:p>
      <w:pPr>
        <w:spacing w:after="0" w:before="160"/>
      </w:pPr>
    </w:p>
    <w:p>
      <w:pPr>
        <w:spacing w:after="140" w:before="300"/>
      </w:pPr>
      <w:r>
        <w:rPr>
          <w:rFonts w:ascii="Arial" w:cs="Arial" w:hAnsi="Arial"/>
          <w:b/>
          <w:color w:val="2C3E50"/>
          <w:sz w:val="26"/>
        </w:rPr>
        <w:t>Member 4 — Courses &amp; Placement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7360"/>
      </w:tblGrid>
      <w:tr>
        <w:tc>
          <w:tcPr>
            <w:tcW w:type="dxa" w:w="2000"/>
            <w:shd w:val="clear" w:fill="EEEDFE"/>
            <w:tcMar>
              <w:top w:type="dxa" w:w="80"/>
              <w:left w:type="dxa" w:w="120"/>
              <w:bottom w:type="dxa" w:w="80"/>
              <w:right w:type="dxa" w:w="120"/>
            </w:tcMar>
          </w:tcPr>
          <w:p>
            <w:r>
              <w:rPr>
                <w:rFonts w:ascii="Arial" w:cs="Arial" w:hAnsi="Arial"/>
                <w:b/>
                <w:color w:val="3C3489"/>
                <w:sz w:val="20"/>
              </w:rPr>
              <w:t>Datasets</w:t>
            </w:r>
          </w:p>
        </w:tc>
        <w:tc>
          <w:tcPr>
            <w:tcW w:type="dxa" w:w="7360"/>
            <w:shd w:val="clear" w:fill="FFFFFF"/>
            <w:tcMar>
              <w:top w:type="dxa" w:w="80"/>
              <w:left w:type="dxa" w:w="120"/>
              <w:bottom w:type="dxa" w:w="80"/>
              <w:right w:type="dxa" w:w="120"/>
            </w:tcMar>
          </w:tcPr>
          <w:p>
            <w:r>
              <w:rPr>
                <w:rFonts w:ascii="Arial" w:cs="Arial" w:hAnsi="Arial"/>
                <w:sz w:val="20"/>
              </w:rPr>
              <w:t>course_dataset.csv  |  placement.csv</w:t>
            </w:r>
          </w:p>
        </w:tc>
      </w:tr>
      <w:tr>
        <w:tc>
          <w:tcPr>
            <w:tcW w:type="dxa" w:w="2000"/>
            <w:shd w:val="clear" w:fill="EEEDFE"/>
            <w:tcMar>
              <w:top w:type="dxa" w:w="80"/>
              <w:left w:type="dxa" w:w="120"/>
              <w:bottom w:type="dxa" w:w="80"/>
              <w:right w:type="dxa" w:w="120"/>
            </w:tcMar>
          </w:tcPr>
          <w:p>
            <w:r>
              <w:rPr>
                <w:rFonts w:ascii="Arial" w:cs="Arial" w:hAnsi="Arial"/>
                <w:b/>
                <w:color w:val="3C3489"/>
                <w:sz w:val="20"/>
              </w:rPr>
              <w:t>Dashboard Pages</w:t>
            </w:r>
          </w:p>
        </w:tc>
        <w:tc>
          <w:tcPr>
            <w:tcW w:type="dxa" w:w="7360"/>
            <w:shd w:val="clear" w:fill="EEEDFE"/>
            <w:tcMar>
              <w:top w:type="dxa" w:w="80"/>
              <w:left w:type="dxa" w:w="120"/>
              <w:bottom w:type="dxa" w:w="80"/>
              <w:right w:type="dxa" w:w="120"/>
            </w:tcMar>
          </w:tcPr>
          <w:p>
            <w:r>
              <w:rPr>
                <w:rFonts w:ascii="Arial" w:cs="Arial" w:hAnsi="Arial"/>
                <w:sz w:val="20"/>
              </w:rPr>
              <w:t>1. Course overview (batches, avg hours, dept)</w:t>
            </w:r>
          </w:p>
          <w:p>
            <w:r>
              <w:rPr>
                <w:rFonts w:ascii="Arial" w:cs="Arial" w:hAnsi="Arial"/>
                <w:sz w:val="20"/>
              </w:rPr>
              <w:t>2. Placement rate % by course (bar / donut chart)</w:t>
            </w:r>
          </w:p>
          <w:p>
            <w:r>
              <w:rPr>
                <w:rFonts w:ascii="Arial" w:cs="Arial" w:hAnsi="Arial"/>
                <w:sz w:val="20"/>
              </w:rPr>
              <w:t>3. Company &amp; role breakdown for placed students</w:t>
            </w:r>
          </w:p>
          <w:p>
            <w:r>
              <w:rPr>
                <w:rFonts w:ascii="Arial" w:cs="Arial" w:hAnsi="Arial"/>
                <w:sz w:val="20"/>
              </w:rPr>
              <w:t>4. Package distribution chart (salary ranges)</w:t>
            </w:r>
          </w:p>
          <w:p>
            <w:r>
              <w:rPr>
                <w:rFonts w:ascii="Arial" w:cs="Arial" w:hAnsi="Arial"/>
                <w:sz w:val="20"/>
              </w:rPr>
              <w:t>5. Placement officer performance table</w:t>
            </w:r>
          </w:p>
        </w:tc>
      </w:tr>
    </w:tbl>
    <w:p>
      <w:pPr>
        <w:spacing w:after="0" w:before="280"/>
      </w:pPr>
    </w:p>
    <w:tbl>
      <w:tblPr>
        <w:tblW w:type="dxa" w:w="9360"/>
        <w:tblBorders>
          <w:top w:val="single" w:color="1A5276" w:sz="4"/>
          <w:left w:val="single" w:color="1A5276" w:sz="4"/>
          <w:bottom w:val="single" w:color="1A5276" w:sz="4"/>
          <w:right w:val="single" w:color="1A5276" w:sz="4"/>
          <w:insideH w:val="none"/>
          <w:insideV w:val="none"/>
        </w:tblBorders>
      </w:tblPr>
      <w:tblGrid>
        <w:gridCol w:w="9360"/>
      </w:tblGrid>
      <w:tr>
        <w:tc>
          <w:tcPr>
            <w:tcW w:type="dxa" w:w="9360"/>
            <w:shd w:val="clear" w:fill="D6EAF8"/>
            <w:tcMar>
              <w:top w:type="dxa" w:w="120"/>
              <w:left w:type="dxa" w:w="200"/>
              <w:bottom w:type="dxa" w:w="120"/>
              <w:right w:type="dxa" w:w="200"/>
            </w:tcMar>
          </w:tcPr>
          <w:p>
            <w:r>
              <w:rPr>
                <w:rFonts w:ascii="Arial" w:cs="Arial" w:hAnsi="Arial"/>
                <w:b/>
                <w:color w:val="1A5276"/>
                <w:sz w:val="22"/>
              </w:rPr>
              <w:t xml:space="preserve">Shared Task (All Members): </w:t>
            </w:r>
            <w:r>
              <w:rPr>
                <w:rFonts w:ascii="Arial" w:cs="Arial" w:hAnsi="Arial"/>
                <w:color w:val="1A5276"/>
                <w:sz w:val="22"/>
              </w:rPr>
              <w:t>Build the Streamlit sidebar filter (course + department) that propagates across all dashboard pages. This is the integration point connecting all four members’ work and must be completed together before individual pages are merged.</w:t>
            </w:r>
          </w:p>
        </w:tc>
      </w:tr>
    </w:tbl>
    <w:p>
      <w:pPr>
        <w:spacing w:after="0" w:before="300"/>
      </w:pPr>
    </w:p>
    <w:p>
      <w:pPr>
        <w:pBdr>
          <w:bottom w:val="single" w:color="1A5276" w:sz="4" w:space="1"/>
        </w:pBdr>
        <w:spacing w:after="180" w:before="180"/>
      </w:pPr>
    </w:p>
    <w:p>
      <w:pPr>
        <w:spacing w:after="100" w:before="200"/>
        <w:jc w:val="center"/>
      </w:pPr>
      <w:r>
        <w:rPr>
          <w:rFonts w:ascii="Arial" w:cs="Arial" w:eastAsia="Arial" w:hAnsi="Arial"/>
          <w:i/>
          <w:iCs/>
          <w:color w:val="888888"/>
          <w:sz w:val="18"/>
          <w:szCs w:val="18"/>
        </w:rPr>
        <w:t xml:space="preserve">Cyber Square Institute  |  Confidential Project Document  |  Spring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jc w:val="right"/>
    </w:pPr>
    <w:r>
      <w:rPr>
        <w:rFonts w:ascii="Arial" w:cs="Arial" w:eastAsia="Arial" w:hAnsi="Arial"/>
        <w:color w:val="888888"/>
        <w:sz w:val="18"/>
        <w:szCs w:val="18"/>
      </w:rPr>
      <w:t xml:space="preserve">Cyber Square Institute  |  Data Dashboard Project Report  |  Spring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5276"/>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2026-04-13T05:48:14.516Z</dcterms:created>
  <dcterms:modified xsi:type="dcterms:W3CDTF">2026-04-13T05:48:14.518Z</dcterms:modified>
</cp:coreProperties>
</file>

<file path=docProps/custom.xml><?xml version="1.0" encoding="utf-8"?>
<Properties xmlns="http://schemas.openxmlformats.org/officeDocument/2006/custom-properties" xmlns:vt="http://schemas.openxmlformats.org/officeDocument/2006/docPropsVTypes"/>
</file>