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20"/>
        <w:jc w:val="center"/>
      </w:pPr>
      <w:r>
        <w:rPr>
          <w:rFonts w:ascii="Arial" w:cs="Arial" w:eastAsia="Arial" w:hAnsi="Arial"/>
          <w:b/>
          <w:bCs/>
          <w:color w:val="1B3A6B"/>
          <w:sz w:val="40"/>
          <w:szCs w:val="40"/>
        </w:rPr>
        <w:t xml:space="preserve">KIIT University</w:t>
      </w:r>
    </w:p>
    <w:p>
      <w:pPr>
        <w:spacing w:after="80"/>
        <w:jc w:val="center"/>
      </w:pPr>
      <w:r>
        <w:rPr>
          <w:rFonts w:ascii="Arial" w:cs="Arial" w:eastAsia="Arial" w:hAnsi="Arial"/>
          <w:color w:val="444444"/>
          <w:sz w:val="26"/>
          <w:szCs w:val="26"/>
        </w:rPr>
        <w:t xml:space="preserve">School of Computer Engineering</w:t>
      </w:r>
    </w:p>
    <w:p>
      <w:pPr>
        <w:spacing w:after="480"/>
        <w:jc w:val="center"/>
      </w:pPr>
      <w:r>
        <w:rPr>
          <w:rFonts w:ascii="Arial" w:cs="Arial" w:eastAsia="Arial" w:hAnsi="Arial"/>
          <w:color w:val="666666"/>
          <w:sz w:val="22"/>
          <w:szCs w:val="22"/>
        </w:rPr>
        <w:t xml:space="preserve">SAP Business Data Cloud — Project Report</w:t>
      </w:r>
    </w:p>
    <w:p>
      <w:pPr>
        <w:pBdr>
          <w:top w:val="single" w:color="1B3A6B" w:sz="6" w:space="1"/>
          <w:bottom w:val="single" w:color="1B3A6B" w:sz="6" w:space="1"/>
        </w:pBdr>
        <w:spacing w:after="120" w:before="120"/>
        <w:jc w:val="center"/>
      </w:pPr>
      <w:r>
        <w:rPr>
          <w:rFonts w:ascii="Arial" w:cs="Arial" w:eastAsia="Arial" w:hAnsi="Arial"/>
          <w:b/>
          <w:bCs/>
          <w:color w:val="1B3A6B"/>
          <w:sz w:val="52"/>
          <w:szCs w:val="52"/>
        </w:rPr>
        <w:t xml:space="preserve">Record-to-Report (R2R)</w:t>
      </w:r>
    </w:p>
    <w:p>
      <w:pPr>
        <w:spacing w:after="600" w:before="120"/>
        <w:jc w:val="center"/>
      </w:pPr>
      <w:r>
        <w:rPr>
          <w:rFonts w:ascii="Arial" w:cs="Arial" w:eastAsia="Arial" w:hAnsi="Arial"/>
          <w:b/>
          <w:bCs/>
          <w:color w:val="2E75B6"/>
          <w:sz w:val="30"/>
          <w:szCs w:val="30"/>
        </w:rPr>
        <w:t xml:space="preserve">Month-End / Year-End Financial Close</w:t>
      </w:r>
    </w:p>
    <w:p>
      <w:pPr>
        <w:spacing w:after="60"/>
        <w:jc w:val="center"/>
      </w:pPr>
      <w:r>
        <w:rPr>
          <w:rFonts w:ascii="Arial" w:cs="Arial" w:eastAsia="Arial" w:hAnsi="Arial"/>
          <w:sz w:val="22"/>
          <w:szCs w:val="22"/>
        </w:rPr>
        <w:t xml:space="preserve">Fictitious Company: Kalinga Industries Ltd. (KAIL)</w:t>
      </w:r>
    </w:p>
    <w:p>
      <w:pPr>
        <w:spacing w:after="60"/>
        <w:jc w:val="center"/>
      </w:pPr>
      <w:r>
        <w:rPr>
          <w:rFonts w:ascii="Arial" w:cs="Arial" w:eastAsia="Arial" w:hAnsi="Arial"/>
          <w:color w:val="666666"/>
          <w:sz w:val="22"/>
          <w:szCs w:val="22"/>
        </w:rPr>
        <w:t xml:space="preserve">Bhubaneswar, Odisha | FY 2024-25</w:t>
      </w:r>
    </w:p>
    <w:p>
      <w:pPr>
        <w:spacing w:after="60" w:before="480"/>
        <w:jc w:val="center"/>
      </w:pPr>
      <w:r>
        <w:rPr>
          <w:rFonts w:ascii="Arial" w:cs="Arial" w:eastAsia="Arial" w:hAnsi="Arial"/>
          <w:b/>
          <w:bCs/>
          <w:sz w:val="22"/>
          <w:szCs w:val="22"/>
        </w:rPr>
        <w:t xml:space="preserve">Submitted by:</w:t>
      </w:r>
    </w:p>
    <w:p>
      <w:pPr>
        <w:spacing w:after="60"/>
        <w:jc w:val="center"/>
      </w:pPr>
      <w:r>
        <w:rPr>
          <w:rFonts w:ascii="Arial" w:cs="Arial" w:eastAsia="Arial" w:hAnsi="Arial"/>
          <w:color w:val="2E75B6"/>
          <w:sz w:val="22"/>
          <w:szCs w:val="22"/>
        </w:rPr>
        <w:t xml:space="preserve">[Student Name] | Roll No: [XXXXXXXX]</w:t>
      </w:r>
    </w:p>
    <w:p>
      <w:pPr>
        <w:spacing w:after="60"/>
        <w:jc w:val="center"/>
      </w:pPr>
      <w:r>
        <w:rPr>
          <w:rFonts w:ascii="Arial" w:cs="Arial" w:eastAsia="Arial" w:hAnsi="Arial"/>
          <w:sz w:val="22"/>
          <w:szCs w:val="22"/>
        </w:rPr>
        <w:t xml:space="preserve">Course: SAP Business Data Cloud | April 2025</w:t>
      </w:r>
    </w:p>
    <w:p>
      <w:r>
        <w:br w:type="page"/>
      </w:r>
    </w:p>
    <w:p>
      <w:pPr>
        <w:pStyle w:val="Heading1"/>
        <w:spacing w:after="120" w:before="280"/>
      </w:pPr>
      <w:r>
        <w:rPr>
          <w:rFonts w:ascii="Arial" w:cs="Arial" w:eastAsia="Arial" w:hAnsi="Arial"/>
          <w:b/>
          <w:bCs/>
          <w:color w:val="1B3A6B"/>
          <w:sz w:val="28"/>
          <w:szCs w:val="28"/>
        </w:rPr>
        <w:t xml:space="preserve">1. Project Overview</w:t>
      </w:r>
    </w:p>
    <w:p>
      <w:pPr>
        <w:spacing w:after="80"/>
      </w:pPr>
      <w:r>
        <w:rPr>
          <w:rFonts w:ascii="Arial" w:cs="Arial" w:eastAsia="Arial" w:hAnsi="Arial"/>
          <w:b w:val="false"/>
          <w:bCs w:val="false"/>
          <w:sz w:val="20"/>
          <w:szCs w:val="20"/>
        </w:rPr>
        <w:t xml:space="preserve">The Record-to-Report (R2R) process is a core Finance function in SAP S/4HANA that covers the complete lifecycle from recording individual business transactions to producing audited, statutory financial statements. This project simulates the end-to-end R2R process for a fictitious Indian manufacturing company — Kalinga Industries Ltd. (Company Code: KAIL) — for Fiscal Year 2024-25.</w:t>
      </w:r>
    </w:p>
    <w:p>
      <w:pPr>
        <w:spacing w:after="80"/>
      </w:pPr>
    </w:p>
    <w:p>
      <w:pPr>
        <w:spacing w:after="80"/>
      </w:pPr>
      <w:r>
        <w:rPr>
          <w:rFonts w:ascii="Arial" w:cs="Arial" w:eastAsia="Arial" w:hAnsi="Arial"/>
          <w:b w:val="false"/>
          <w:bCs w:val="false"/>
          <w:sz w:val="20"/>
          <w:szCs w:val="20"/>
        </w:rPr>
        <w:t xml:space="preserve">The project leverages:</w:t>
      </w:r>
    </w:p>
    <w:p>
      <w:pPr>
        <w:pStyle w:val="ListParagraph"/>
        <w:numPr>
          <w:ilvl w:val="0"/>
          <w:numId w:val="2"/>
        </w:numPr>
        <w:spacing w:after="60"/>
      </w:pPr>
      <w:r>
        <w:rPr>
          <w:rFonts w:ascii="Arial" w:cs="Arial" w:eastAsia="Arial" w:hAnsi="Arial"/>
          <w:sz w:val="20"/>
          <w:szCs w:val="20"/>
        </w:rPr>
        <w:t xml:space="preserve">SAP S/4HANA FI Module — General Ledger (GL), Accounts Payable (AP), Accounts Receivable (AR), and Asset Accounting (AA)</w:t>
      </w:r>
    </w:p>
    <w:p>
      <w:pPr>
        <w:pStyle w:val="ListParagraph"/>
        <w:numPr>
          <w:ilvl w:val="0"/>
          <w:numId w:val="2"/>
        </w:numPr>
        <w:spacing w:after="60"/>
      </w:pPr>
      <w:r>
        <w:rPr>
          <w:rFonts w:ascii="Arial" w:cs="Arial" w:eastAsia="Arial" w:hAnsi="Arial"/>
          <w:sz w:val="20"/>
          <w:szCs w:val="20"/>
        </w:rPr>
        <w:t xml:space="preserve">SAP Business Data Cloud (BDC) — Financial data pipeline from S/4HANA to the analytics layer</w:t>
      </w:r>
    </w:p>
    <w:p>
      <w:pPr>
        <w:pStyle w:val="ListParagraph"/>
        <w:numPr>
          <w:ilvl w:val="0"/>
          <w:numId w:val="2"/>
        </w:numPr>
        <w:spacing w:after="60"/>
      </w:pPr>
      <w:r>
        <w:rPr>
          <w:rFonts w:ascii="Arial" w:cs="Arial" w:eastAsia="Arial" w:hAnsi="Arial"/>
          <w:sz w:val="20"/>
          <w:szCs w:val="20"/>
        </w:rPr>
        <w:t xml:space="preserve">SAP Datasphere — Unified semantic data model for consolidated reporting</w:t>
      </w:r>
    </w:p>
    <w:p>
      <w:pPr>
        <w:pStyle w:val="ListParagraph"/>
        <w:numPr>
          <w:ilvl w:val="0"/>
          <w:numId w:val="2"/>
        </w:numPr>
        <w:spacing w:after="60"/>
      </w:pPr>
      <w:r>
        <w:rPr>
          <w:rFonts w:ascii="Arial" w:cs="Arial" w:eastAsia="Arial" w:hAnsi="Arial"/>
          <w:sz w:val="20"/>
          <w:szCs w:val="20"/>
        </w:rPr>
        <w:t xml:space="preserve">SAP Analytics Cloud (SAC) — Period-end dashboards and variance analysis</w:t>
      </w:r>
    </w:p>
    <w:p>
      <w:pPr>
        <w:pStyle w:val="ListParagraph"/>
        <w:numPr>
          <w:ilvl w:val="0"/>
          <w:numId w:val="2"/>
        </w:numPr>
        <w:spacing w:after="60"/>
      </w:pPr>
      <w:r>
        <w:rPr>
          <w:rFonts w:ascii="Arial" w:cs="Arial" w:eastAsia="Arial" w:hAnsi="Arial"/>
          <w:sz w:val="20"/>
          <w:szCs w:val="20"/>
        </w:rPr>
        <w:t xml:space="preserve">Custom ABAP Report — ZR2R_TRIAL_BALANCE for ALV-based trial balance output</w:t>
      </w:r>
    </w:p>
    <w:p>
      <w:pPr>
        <w:pStyle w:val="ListParagraph"/>
        <w:numPr>
          <w:ilvl w:val="0"/>
          <w:numId w:val="2"/>
        </w:numPr>
        <w:spacing w:after="60"/>
      </w:pPr>
      <w:r>
        <w:rPr>
          <w:rFonts w:ascii="Arial" w:cs="Arial" w:eastAsia="Arial" w:hAnsi="Arial"/>
          <w:sz w:val="20"/>
          <w:szCs w:val="20"/>
        </w:rPr>
        <w:t xml:space="preserve">Python Automation — Period-end simulation, PDF generation, and Excel export</w:t>
      </w:r>
    </w:p>
    <w:p>
      <w:pPr>
        <w:spacing w:after="120"/>
      </w:pPr>
    </w:p>
    <w:p>
      <w:pPr>
        <w:pStyle w:val="Heading2"/>
        <w:spacing w:after="80" w:before="200"/>
      </w:pPr>
      <w:r>
        <w:rPr>
          <w:rFonts w:ascii="Arial" w:cs="Arial" w:eastAsia="Arial" w:hAnsi="Arial"/>
          <w:b/>
          <w:bCs/>
          <w:color w:val="2E75B6"/>
          <w:sz w:val="22"/>
          <w:szCs w:val="22"/>
        </w:rPr>
        <w:t xml:space="preserve">1.1 R2R Process Flow</w:t>
      </w:r>
    </w:p>
    <w:p>
      <w:pPr>
        <w:spacing w:after="80"/>
      </w:pPr>
      <w:r>
        <w:rPr>
          <w:rFonts w:ascii="Arial" w:cs="Arial" w:eastAsia="Arial" w:hAnsi="Arial"/>
          <w:b w:val="false"/>
          <w:bCs w:val="false"/>
          <w:sz w:val="20"/>
          <w:szCs w:val="20"/>
        </w:rPr>
        <w:t xml:space="preserve">The R2R cycle follows this sequence:</w:t>
      </w:r>
    </w:p>
    <w:p>
      <w:pPr>
        <w:pStyle w:val="ListParagraph"/>
        <w:numPr>
          <w:ilvl w:val="0"/>
          <w:numId w:val="2"/>
        </w:numPr>
        <w:spacing w:after="60"/>
      </w:pPr>
      <w:r>
        <w:rPr>
          <w:rFonts w:ascii="Arial" w:cs="Arial" w:eastAsia="Arial" w:hAnsi="Arial"/>
          <w:sz w:val="20"/>
          <w:szCs w:val="20"/>
        </w:rPr>
        <w:t xml:space="preserve">Business Transaction Posting → Sub-Ledger Update → GL Account Update</w:t>
      </w:r>
    </w:p>
    <w:p>
      <w:pPr>
        <w:pStyle w:val="ListParagraph"/>
        <w:numPr>
          <w:ilvl w:val="0"/>
          <w:numId w:val="2"/>
        </w:numPr>
        <w:spacing w:after="60"/>
      </w:pPr>
      <w:r>
        <w:rPr>
          <w:rFonts w:ascii="Arial" w:cs="Arial" w:eastAsia="Arial" w:hAnsi="Arial"/>
          <w:sz w:val="20"/>
          <w:szCs w:val="20"/>
        </w:rPr>
        <w:t xml:space="preserve">Period-End Closing Activities (Accruals, Depreciation, FX Revaluation, GR/IR Clearing)</w:t>
      </w:r>
    </w:p>
    <w:p>
      <w:pPr>
        <w:pStyle w:val="ListParagraph"/>
        <w:numPr>
          <w:ilvl w:val="0"/>
          <w:numId w:val="2"/>
        </w:numPr>
        <w:spacing w:after="60"/>
      </w:pPr>
      <w:r>
        <w:rPr>
          <w:rFonts w:ascii="Arial" w:cs="Arial" w:eastAsia="Arial" w:hAnsi="Arial"/>
          <w:sz w:val="20"/>
          <w:szCs w:val="20"/>
        </w:rPr>
        <w:t xml:space="preserve">Trial Balance Extraction and Validation</w:t>
      </w:r>
    </w:p>
    <w:p>
      <w:pPr>
        <w:pStyle w:val="ListParagraph"/>
        <w:numPr>
          <w:ilvl w:val="0"/>
          <w:numId w:val="2"/>
        </w:numPr>
        <w:spacing w:after="60"/>
      </w:pPr>
      <w:r>
        <w:rPr>
          <w:rFonts w:ascii="Arial" w:cs="Arial" w:eastAsia="Arial" w:hAnsi="Arial"/>
          <w:sz w:val="20"/>
          <w:szCs w:val="20"/>
        </w:rPr>
        <w:t xml:space="preserve">Posting Period Lock and Balance Carry Forward</w:t>
      </w:r>
    </w:p>
    <w:p>
      <w:pPr>
        <w:pStyle w:val="ListParagraph"/>
        <w:numPr>
          <w:ilvl w:val="0"/>
          <w:numId w:val="2"/>
        </w:numPr>
        <w:spacing w:after="60"/>
      </w:pPr>
      <w:r>
        <w:rPr>
          <w:rFonts w:ascii="Arial" w:cs="Arial" w:eastAsia="Arial" w:hAnsi="Arial"/>
          <w:sz w:val="20"/>
          <w:szCs w:val="20"/>
        </w:rPr>
        <w:t xml:space="preserve">Financial Statement Generation and BDC Pipeline to SAC</w:t>
      </w:r>
    </w:p>
    <w:p>
      <w:r>
        <w:br w:type="page"/>
      </w:r>
    </w:p>
    <w:p>
      <w:pPr>
        <w:pStyle w:val="Heading1"/>
        <w:spacing w:after="120" w:before="280"/>
      </w:pPr>
      <w:r>
        <w:rPr>
          <w:rFonts w:ascii="Arial" w:cs="Arial" w:eastAsia="Arial" w:hAnsi="Arial"/>
          <w:b/>
          <w:bCs/>
          <w:color w:val="1B3A6B"/>
          <w:sz w:val="28"/>
          <w:szCs w:val="28"/>
        </w:rPr>
        <w:t xml:space="preserve">2. Fictitious Company Setup — Kalinga Industries Ltd.</w:t>
      </w:r>
    </w:p>
    <w:p>
      <w:pPr>
        <w:pStyle w:val="Heading2"/>
        <w:spacing w:after="80" w:before="200"/>
      </w:pPr>
      <w:r>
        <w:rPr>
          <w:rFonts w:ascii="Arial" w:cs="Arial" w:eastAsia="Arial" w:hAnsi="Arial"/>
          <w:b/>
          <w:bCs/>
          <w:color w:val="2E75B6"/>
          <w:sz w:val="22"/>
          <w:szCs w:val="22"/>
        </w:rPr>
        <w:t xml:space="preserve">2.1 Company Master Data</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7"/>
                <w:szCs w:val="17"/>
              </w:rPr>
              <w:t xml:space="preserve">Company Name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Kalinga Industries Ltd.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7"/>
                <w:szCs w:val="17"/>
              </w:rPr>
              <w:t xml:space="preserve">Company Code</w:t>
            </w:r>
          </w:p>
        </w:tc>
        <w:tc>
          <w:tcPr>
            <w:tcW w:type="dxa" w:w="716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KAIL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7"/>
                <w:szCs w:val="17"/>
              </w:rPr>
              <w:t xml:space="preserve">Country / Currency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India / INR (Indian Rupee)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7"/>
                <w:szCs w:val="17"/>
              </w:rPr>
              <w:t xml:space="preserve">Industry</w:t>
            </w:r>
          </w:p>
        </w:tc>
        <w:tc>
          <w:tcPr>
            <w:tcW w:type="dxa" w:w="716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Manufacturing — Specialty Chemicals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7"/>
                <w:szCs w:val="17"/>
              </w:rPr>
              <w:t xml:space="preserve">Fiscal Year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V3: April 1 to March 31</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7"/>
                <w:szCs w:val="17"/>
              </w:rPr>
              <w:t xml:space="preserve">Chart of Accounts</w:t>
            </w:r>
          </w:p>
        </w:tc>
        <w:tc>
          <w:tcPr>
            <w:tcW w:type="dxa" w:w="716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KAIL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7"/>
                <w:szCs w:val="17"/>
              </w:rPr>
              <w:t xml:space="preserve">Controlling Area</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KAIL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7"/>
                <w:szCs w:val="17"/>
              </w:rPr>
              <w:t xml:space="preserve">Registered Address</w:t>
            </w:r>
          </w:p>
        </w:tc>
        <w:tc>
          <w:tcPr>
            <w:tcW w:type="dxa" w:w="716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Plot 5, Industrial Area, Bhubaneswar, Odisha - 751010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7"/>
                <w:szCs w:val="17"/>
              </w:rPr>
              <w:t xml:space="preserve">Key Business Areas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BA01: Manufacturing | BA02: Trading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7"/>
                <w:szCs w:val="17"/>
              </w:rPr>
              <w:t xml:space="preserve">Cost Centers</w:t>
            </w:r>
          </w:p>
        </w:tc>
        <w:tc>
          <w:tcPr>
            <w:tcW w:type="dxa" w:w="716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CC_PROD (Production) | CC_ADMIN (Administration) | CC_SALE (Sales)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7"/>
                <w:szCs w:val="17"/>
              </w:rPr>
              <w:t xml:space="preserve">Plants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KL01 — Bhubaneswar Manufacturing Plant</w:t>
            </w:r>
          </w:p>
        </w:tc>
      </w:tr>
    </w:tbl>
    <w:p>
      <w:pPr>
        <w:spacing w:after="120"/>
      </w:pPr>
    </w:p>
    <w:p>
      <w:pPr>
        <w:pStyle w:val="Heading2"/>
        <w:spacing w:after="80" w:before="200"/>
      </w:pPr>
      <w:r>
        <w:rPr>
          <w:rFonts w:ascii="Arial" w:cs="Arial" w:eastAsia="Arial" w:hAnsi="Arial"/>
          <w:b/>
          <w:bCs/>
          <w:color w:val="2E75B6"/>
          <w:sz w:val="22"/>
          <w:szCs w:val="22"/>
        </w:rPr>
        <w:t xml:space="preserve">2.2 SAP Organizational Structure</w:t>
      </w:r>
    </w:p>
    <w:p>
      <w:pPr>
        <w:spacing w:after="80"/>
      </w:pPr>
      <w:r>
        <w:rPr>
          <w:rFonts w:ascii="Arial" w:cs="Arial" w:eastAsia="Arial" w:hAnsi="Arial"/>
          <w:b/>
          <w:bCs/>
          <w:sz w:val="20"/>
          <w:szCs w:val="20"/>
        </w:rPr>
        <w:t xml:space="preserve">The company is configured in SAP with the following enterprise structure:</w:t>
      </w:r>
    </w:p>
    <w:p>
      <w:pPr>
        <w:pStyle w:val="ListParagraph"/>
        <w:numPr>
          <w:ilvl w:val="0"/>
          <w:numId w:val="2"/>
        </w:numPr>
        <w:spacing w:after="60"/>
      </w:pPr>
      <w:r>
        <w:rPr>
          <w:rFonts w:ascii="Arial" w:cs="Arial" w:eastAsia="Arial" w:hAnsi="Arial"/>
          <w:sz w:val="20"/>
          <w:szCs w:val="20"/>
        </w:rPr>
        <w:t xml:space="preserve">Client: 100 (Production Client)</w:t>
      </w:r>
    </w:p>
    <w:p>
      <w:pPr>
        <w:pStyle w:val="ListParagraph"/>
        <w:numPr>
          <w:ilvl w:val="0"/>
          <w:numId w:val="2"/>
        </w:numPr>
        <w:spacing w:after="60"/>
      </w:pPr>
      <w:r>
        <w:rPr>
          <w:rFonts w:ascii="Arial" w:cs="Arial" w:eastAsia="Arial" w:hAnsi="Arial"/>
          <w:sz w:val="20"/>
          <w:szCs w:val="20"/>
        </w:rPr>
        <w:t xml:space="preserve">Company Code: KAIL — Legal entity for all financial reporting</w:t>
      </w:r>
    </w:p>
    <w:p>
      <w:pPr>
        <w:pStyle w:val="ListParagraph"/>
        <w:numPr>
          <w:ilvl w:val="0"/>
          <w:numId w:val="2"/>
        </w:numPr>
        <w:spacing w:after="60"/>
      </w:pPr>
      <w:r>
        <w:rPr>
          <w:rFonts w:ascii="Arial" w:cs="Arial" w:eastAsia="Arial" w:hAnsi="Arial"/>
          <w:sz w:val="20"/>
          <w:szCs w:val="20"/>
        </w:rPr>
        <w:t xml:space="preserve">Business Area: BA01 (Manufacturing), BA02 (Trading) — for segment reporting</w:t>
      </w:r>
    </w:p>
    <w:p>
      <w:pPr>
        <w:pStyle w:val="ListParagraph"/>
        <w:numPr>
          <w:ilvl w:val="0"/>
          <w:numId w:val="2"/>
        </w:numPr>
        <w:spacing w:after="60"/>
      </w:pPr>
      <w:r>
        <w:rPr>
          <w:rFonts w:ascii="Arial" w:cs="Arial" w:eastAsia="Arial" w:hAnsi="Arial"/>
          <w:sz w:val="20"/>
          <w:szCs w:val="20"/>
        </w:rPr>
        <w:t xml:space="preserve">Controlling Area: KAIL — links FI to CO for cost management</w:t>
      </w:r>
    </w:p>
    <w:p>
      <w:pPr>
        <w:pStyle w:val="ListParagraph"/>
        <w:numPr>
          <w:ilvl w:val="0"/>
          <w:numId w:val="2"/>
        </w:numPr>
        <w:spacing w:after="60"/>
      </w:pPr>
      <w:r>
        <w:rPr>
          <w:rFonts w:ascii="Arial" w:cs="Arial" w:eastAsia="Arial" w:hAnsi="Arial"/>
          <w:sz w:val="20"/>
          <w:szCs w:val="20"/>
        </w:rPr>
        <w:t xml:space="preserve">Plant: KL01 — production and inventory management location</w:t>
      </w:r>
    </w:p>
    <w:p>
      <w:pPr>
        <w:pStyle w:val="ListParagraph"/>
        <w:numPr>
          <w:ilvl w:val="0"/>
          <w:numId w:val="2"/>
        </w:numPr>
        <w:spacing w:after="60"/>
      </w:pPr>
      <w:r>
        <w:rPr>
          <w:rFonts w:ascii="Arial" w:cs="Arial" w:eastAsia="Arial" w:hAnsi="Arial"/>
          <w:sz w:val="20"/>
          <w:szCs w:val="20"/>
        </w:rPr>
        <w:t xml:space="preserve">Purchasing Organization: KAPO — for MM purchasing</w:t>
      </w:r>
    </w:p>
    <w:p>
      <w:pPr>
        <w:pStyle w:val="ListParagraph"/>
        <w:numPr>
          <w:ilvl w:val="0"/>
          <w:numId w:val="2"/>
        </w:numPr>
        <w:spacing w:after="60"/>
      </w:pPr>
      <w:r>
        <w:rPr>
          <w:rFonts w:ascii="Arial" w:cs="Arial" w:eastAsia="Arial" w:hAnsi="Arial"/>
          <w:sz w:val="20"/>
          <w:szCs w:val="20"/>
        </w:rPr>
        <w:t xml:space="preserve">Sales Organization: KASO — for SD order-to-cash</w:t>
      </w:r>
    </w:p>
    <w:p>
      <w:r>
        <w:br w:type="page"/>
      </w:r>
    </w:p>
    <w:p>
      <w:pPr>
        <w:pStyle w:val="Heading1"/>
        <w:spacing w:after="120" w:before="280"/>
      </w:pPr>
      <w:r>
        <w:rPr>
          <w:rFonts w:ascii="Arial" w:cs="Arial" w:eastAsia="Arial" w:hAnsi="Arial"/>
          <w:b/>
          <w:bCs/>
          <w:color w:val="1B3A6B"/>
          <w:sz w:val="28"/>
          <w:szCs w:val="28"/>
        </w:rPr>
        <w:t xml:space="preserve">3. SAP Customization Steps (SPRO)</w:t>
      </w:r>
    </w:p>
    <w:p>
      <w:pPr>
        <w:spacing w:after="80"/>
      </w:pPr>
      <w:r>
        <w:rPr>
          <w:rFonts w:ascii="Arial" w:cs="Arial" w:eastAsia="Arial" w:hAnsi="Arial"/>
          <w:b w:val="false"/>
          <w:bCs w:val="false"/>
          <w:sz w:val="20"/>
          <w:szCs w:val="20"/>
        </w:rPr>
        <w:t xml:space="preserve">All configuration is performed via SPRO (SAP Project Reference Object) — the Implementation Guide (IMG). The following table lists all customization activities for the R2R setup:</w:t>
      </w:r>
    </w:p>
    <w:p>
      <w:pPr>
        <w:spacing w:after="12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360"/>
      </w:tblGrid>
      <w:tr>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T-Code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Activity</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Configuration Detail</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7"/>
                <w:szCs w:val="17"/>
              </w:rPr>
              <w:t xml:space="preserve">OX02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Create Company Code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Create KAIL — Kalinga Industries Ltd., Country IN, Currency INR</w:t>
            </w:r>
          </w:p>
        </w:tc>
      </w:tr>
      <w:tr>
        <w:tc>
          <w:tcPr>
            <w:tcW w:type="dxa" w:w="10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bCs/>
                <w:sz w:val="17"/>
                <w:szCs w:val="17"/>
              </w:rPr>
              <w:t xml:space="preserve">OB29</w:t>
            </w:r>
          </w:p>
        </w:tc>
        <w:tc>
          <w:tcPr>
            <w:tcW w:type="dxa" w:w="22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Fiscal Year Variant</w:t>
            </w:r>
          </w:p>
        </w:tc>
        <w:tc>
          <w:tcPr>
            <w:tcW w:type="dxa" w:w="636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Create V3: April-March with 12 posting + 4 special periods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7"/>
                <w:szCs w:val="17"/>
              </w:rPr>
              <w:t xml:space="preserve">OB37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Assign FY Variant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Assign V3 to Company Code KAIL</w:t>
            </w:r>
          </w:p>
        </w:tc>
      </w:tr>
      <w:tr>
        <w:tc>
          <w:tcPr>
            <w:tcW w:type="dxa" w:w="10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bCs/>
                <w:sz w:val="17"/>
                <w:szCs w:val="17"/>
              </w:rPr>
              <w:t xml:space="preserve">OBBO</w:t>
            </w:r>
          </w:p>
        </w:tc>
        <w:tc>
          <w:tcPr>
            <w:tcW w:type="dxa" w:w="22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Posting Period Variant</w:t>
            </w:r>
          </w:p>
        </w:tc>
        <w:tc>
          <w:tcPr>
            <w:tcW w:type="dxa" w:w="636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Create and assign posting period variant KAIL</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7"/>
                <w:szCs w:val="17"/>
              </w:rPr>
              <w:t xml:space="preserve">OB52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Open/Close Periods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Configure which periods are open for posting</w:t>
            </w:r>
          </w:p>
        </w:tc>
      </w:tr>
      <w:tr>
        <w:tc>
          <w:tcPr>
            <w:tcW w:type="dxa" w:w="10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bCs/>
                <w:sz w:val="17"/>
                <w:szCs w:val="17"/>
              </w:rPr>
              <w:t xml:space="preserve">OB13</w:t>
            </w:r>
          </w:p>
        </w:tc>
        <w:tc>
          <w:tcPr>
            <w:tcW w:type="dxa" w:w="22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Chart of Accounts</w:t>
            </w:r>
          </w:p>
        </w:tc>
        <w:tc>
          <w:tcPr>
            <w:tcW w:type="dxa" w:w="636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Create KAIL chart of accounts, maintenance language EN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7"/>
                <w:szCs w:val="17"/>
              </w:rPr>
              <w:t xml:space="preserve">OB62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Assign CoA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Assign chart of accounts KAIL to company code KAIL</w:t>
            </w:r>
          </w:p>
        </w:tc>
      </w:tr>
      <w:tr>
        <w:tc>
          <w:tcPr>
            <w:tcW w:type="dxa" w:w="10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bCs/>
                <w:sz w:val="17"/>
                <w:szCs w:val="17"/>
              </w:rPr>
              <w:t xml:space="preserve">FS00</w:t>
            </w:r>
          </w:p>
        </w:tc>
        <w:tc>
          <w:tcPr>
            <w:tcW w:type="dxa" w:w="22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Create GL Accounts</w:t>
            </w:r>
          </w:p>
        </w:tc>
        <w:tc>
          <w:tcPr>
            <w:tcW w:type="dxa" w:w="636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Create all GL accounts per the chart of accounts structure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7"/>
                <w:szCs w:val="17"/>
              </w:rPr>
              <w:t xml:space="preserve">OBA7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Document Types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Define: SA (GL), KR (Vendor Inv), DR (Customer Inv), AA (Asset)</w:t>
            </w:r>
          </w:p>
        </w:tc>
      </w:tr>
      <w:tr>
        <w:tc>
          <w:tcPr>
            <w:tcW w:type="dxa" w:w="10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bCs/>
                <w:sz w:val="17"/>
                <w:szCs w:val="17"/>
              </w:rPr>
              <w:t xml:space="preserve">FBN1</w:t>
            </w:r>
          </w:p>
        </w:tc>
        <w:tc>
          <w:tcPr>
            <w:tcW w:type="dxa" w:w="22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Number Ranges</w:t>
            </w:r>
          </w:p>
        </w:tc>
        <w:tc>
          <w:tcPr>
            <w:tcW w:type="dxa" w:w="636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Define FI number ranges for company code KAIL, FY 2025</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7"/>
                <w:szCs w:val="17"/>
              </w:rPr>
              <w:t xml:space="preserve">OBA4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Tolerance Groups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Set payment diff tolerance for GL/Vendor/Customer clearings</w:t>
            </w:r>
          </w:p>
        </w:tc>
      </w:tr>
      <w:tr>
        <w:tc>
          <w:tcPr>
            <w:tcW w:type="dxa" w:w="10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bCs/>
                <w:sz w:val="17"/>
                <w:szCs w:val="17"/>
              </w:rPr>
              <w:t xml:space="preserve">FTXP</w:t>
            </w:r>
          </w:p>
        </w:tc>
        <w:tc>
          <w:tcPr>
            <w:tcW w:type="dxa" w:w="22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Tax Codes</w:t>
            </w:r>
          </w:p>
        </w:tc>
        <w:tc>
          <w:tcPr>
            <w:tcW w:type="dxa" w:w="636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Create GST tax codes: V5 (5%), V1 (18%), A5 (5%), A1 (18%)</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7"/>
                <w:szCs w:val="17"/>
              </w:rPr>
              <w:t xml:space="preserve">EC08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Copy Depreciation Chart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Copy reference chart 0IN (India) to create KAIL depreciation chart</w:t>
            </w:r>
          </w:p>
        </w:tc>
      </w:tr>
      <w:tr>
        <w:tc>
          <w:tcPr>
            <w:tcW w:type="dxa" w:w="10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bCs/>
                <w:sz w:val="17"/>
                <w:szCs w:val="17"/>
              </w:rPr>
              <w:t xml:space="preserve">OAOB</w:t>
            </w:r>
          </w:p>
        </w:tc>
        <w:tc>
          <w:tcPr>
            <w:tcW w:type="dxa" w:w="22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Assign Depr Chart</w:t>
            </w:r>
          </w:p>
        </w:tc>
        <w:tc>
          <w:tcPr>
            <w:tcW w:type="dxa" w:w="636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Assign KAIL depreciation chart to company code KAIL</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7"/>
                <w:szCs w:val="17"/>
              </w:rPr>
              <w:t xml:space="preserve">AFAMA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Depreciation Keys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Define: LINR (Straight Line), DEGR (Declining Balance)</w:t>
            </w:r>
          </w:p>
        </w:tc>
      </w:tr>
    </w:tbl>
    <w:p>
      <w:pPr>
        <w:spacing w:after="120"/>
      </w:pPr>
    </w:p>
    <w:p>
      <w:pPr>
        <w:pStyle w:val="Heading2"/>
        <w:spacing w:after="80" w:before="200"/>
      </w:pPr>
      <w:r>
        <w:rPr>
          <w:rFonts w:ascii="Arial" w:cs="Arial" w:eastAsia="Arial" w:hAnsi="Arial"/>
          <w:b/>
          <w:bCs/>
          <w:color w:val="2E75B6"/>
          <w:sz w:val="22"/>
          <w:szCs w:val="22"/>
        </w:rPr>
        <w:t xml:space="preserve">3.1 Key Configuration Notes</w:t>
      </w:r>
    </w:p>
    <w:p>
      <w:pPr>
        <w:pStyle w:val="ListParagraph"/>
        <w:numPr>
          <w:ilvl w:val="0"/>
          <w:numId w:val="2"/>
        </w:numPr>
        <w:spacing w:after="60"/>
      </w:pPr>
      <w:r>
        <w:rPr>
          <w:rFonts w:ascii="Arial" w:cs="Arial" w:eastAsia="Arial" w:hAnsi="Arial"/>
          <w:sz w:val="20"/>
          <w:szCs w:val="20"/>
        </w:rPr>
        <w:t xml:space="preserve">Fiscal Year Variant V3 uses a non-calendar fiscal year (April-March), standard for Indian companies.</w:t>
      </w:r>
    </w:p>
    <w:p>
      <w:pPr>
        <w:pStyle w:val="ListParagraph"/>
        <w:numPr>
          <w:ilvl w:val="0"/>
          <w:numId w:val="2"/>
        </w:numPr>
        <w:spacing w:after="60"/>
      </w:pPr>
      <w:r>
        <w:rPr>
          <w:rFonts w:ascii="Arial" w:cs="Arial" w:eastAsia="Arial" w:hAnsi="Arial"/>
          <w:sz w:val="20"/>
          <w:szCs w:val="20"/>
        </w:rPr>
        <w:t xml:space="preserve">Chart of Accounts KAIL is a custom chart created for this company; in real projects you may copy from INT (International).</w:t>
      </w:r>
    </w:p>
    <w:p>
      <w:pPr>
        <w:pStyle w:val="ListParagraph"/>
        <w:numPr>
          <w:ilvl w:val="0"/>
          <w:numId w:val="2"/>
        </w:numPr>
        <w:spacing w:after="60"/>
      </w:pPr>
      <w:r>
        <w:rPr>
          <w:rFonts w:ascii="Arial" w:cs="Arial" w:eastAsia="Arial" w:hAnsi="Arial"/>
          <w:sz w:val="20"/>
          <w:szCs w:val="20"/>
        </w:rPr>
        <w:t xml:space="preserve">Tax codes follow Indian GST rates: 5%, 12%, 18%, and 28% slabs with both input (V) and output (A) codes.</w:t>
      </w:r>
    </w:p>
    <w:p>
      <w:pPr>
        <w:pStyle w:val="ListParagraph"/>
        <w:numPr>
          <w:ilvl w:val="0"/>
          <w:numId w:val="2"/>
        </w:numPr>
        <w:spacing w:after="60"/>
      </w:pPr>
      <w:r>
        <w:rPr>
          <w:rFonts w:ascii="Arial" w:cs="Arial" w:eastAsia="Arial" w:hAnsi="Arial"/>
          <w:sz w:val="20"/>
          <w:szCs w:val="20"/>
        </w:rPr>
        <w:t xml:space="preserve">Depreciation chart 0IN (India) is copied to KAIL to ensure India-specific depreciation rules are applied.</w:t>
      </w:r>
    </w:p>
    <w:p>
      <w:pPr>
        <w:pStyle w:val="ListParagraph"/>
        <w:numPr>
          <w:ilvl w:val="0"/>
          <w:numId w:val="2"/>
        </w:numPr>
        <w:spacing w:after="60"/>
      </w:pPr>
      <w:r>
        <w:rPr>
          <w:rFonts w:ascii="Arial" w:cs="Arial" w:eastAsia="Arial" w:hAnsi="Arial"/>
          <w:sz w:val="20"/>
          <w:szCs w:val="20"/>
        </w:rPr>
        <w:t xml:space="preserve">All number ranges use internal assignment with year-based ranges to avoid conflicts.</w:t>
      </w:r>
    </w:p>
    <w:p>
      <w:r>
        <w:br w:type="page"/>
      </w:r>
    </w:p>
    <w:p>
      <w:pPr>
        <w:pStyle w:val="Heading1"/>
        <w:spacing w:after="120" w:before="280"/>
      </w:pPr>
      <w:r>
        <w:rPr>
          <w:rFonts w:ascii="Arial" w:cs="Arial" w:eastAsia="Arial" w:hAnsi="Arial"/>
          <w:b/>
          <w:bCs/>
          <w:color w:val="1B3A6B"/>
          <w:sz w:val="28"/>
          <w:szCs w:val="28"/>
        </w:rPr>
        <w:t xml:space="preserve">4. Pre-Close Trial Balance — FY 2024-25 (Period 12)</w:t>
      </w:r>
    </w:p>
    <w:p>
      <w:pPr>
        <w:spacing w:after="80"/>
      </w:pPr>
      <w:r>
        <w:rPr>
          <w:rFonts w:ascii="Arial" w:cs="Arial" w:eastAsia="Arial" w:hAnsi="Arial"/>
          <w:b w:val="false"/>
          <w:bCs w:val="false"/>
          <w:sz w:val="20"/>
          <w:szCs w:val="20"/>
        </w:rPr>
        <w:t xml:space="preserve">The following trial balance is extracted from SAP using T-Code F.08 or the custom report ZR2R_TRIAL_BALANCE. All amounts are in INR (Indian Rupees). The trial balance is BALANCED — total debits equal total credits at ₹ 5,02,00,000.</w:t>
      </w:r>
    </w:p>
    <w:p>
      <w:pPr>
        <w:spacing w:after="12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900"/>
        <w:gridCol w:w="1400"/>
        <w:gridCol w:w="1400"/>
        <w:gridCol w:w="1360"/>
      </w:tblGrid>
      <w:tr>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GL Account</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Group</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Debit (INR)</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Credit (INR)</w:t>
            </w:r>
          </w:p>
        </w:tc>
        <w:tc>
          <w:tcPr>
            <w:tcW w:type="dxa" w:w="1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Net Balance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7"/>
                <w:szCs w:val="17"/>
              </w:rPr>
              <w:t xml:space="preserve">100000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Cash and Cash Equivalents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Asset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7"/>
                <w:szCs w:val="17"/>
              </w:rPr>
              <w:t xml:space="preserve">₹ 45,00,000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7"/>
                <w:szCs w:val="17"/>
              </w:rPr>
              <w:t xml:space="preserv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7"/>
                <w:szCs w:val="17"/>
              </w:rPr>
              <w:t xml:space="preserve">₹ 45,00,000</w:t>
            </w:r>
          </w:p>
        </w:tc>
      </w:tr>
      <w:tr>
        <w:tc>
          <w:tcPr>
            <w:tcW w:type="dxa" w:w="10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bCs/>
                <w:sz w:val="17"/>
                <w:szCs w:val="17"/>
              </w:rPr>
              <w:t xml:space="preserve">100100</w:t>
            </w:r>
          </w:p>
        </w:tc>
        <w:tc>
          <w:tcPr>
            <w:tcW w:type="dxa" w:w="25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Accounts Receivable</w:t>
            </w:r>
          </w:p>
        </w:tc>
        <w:tc>
          <w:tcPr>
            <w:tcW w:type="dxa" w:w="9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Asset</w:t>
            </w:r>
          </w:p>
        </w:tc>
        <w:tc>
          <w:tcPr>
            <w:tcW w:type="dxa" w:w="14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right"/>
            </w:pPr>
            <w:r>
              <w:rPr>
                <w:rFonts w:ascii="Arial" w:cs="Arial" w:eastAsia="Arial" w:hAnsi="Arial"/>
                <w:b w:val="false"/>
                <w:bCs w:val="false"/>
                <w:sz w:val="17"/>
                <w:szCs w:val="17"/>
              </w:rPr>
              <w:t xml:space="preserve">₹ 87,50,000</w:t>
            </w:r>
          </w:p>
        </w:tc>
        <w:tc>
          <w:tcPr>
            <w:tcW w:type="dxa" w:w="14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right"/>
            </w:pPr>
            <w:r>
              <w:rPr>
                <w:rFonts w:ascii="Arial" w:cs="Arial" w:eastAsia="Arial" w:hAnsi="Arial"/>
                <w:b w:val="false"/>
                <w:bCs w:val="false"/>
                <w:sz w:val="17"/>
                <w:szCs w:val="17"/>
              </w:rPr>
              <w:t xml:space="preserve">—</w:t>
            </w:r>
          </w:p>
        </w:tc>
        <w:tc>
          <w:tcPr>
            <w:tcW w:type="dxa" w:w="136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right"/>
            </w:pPr>
            <w:r>
              <w:rPr>
                <w:rFonts w:ascii="Arial" w:cs="Arial" w:eastAsia="Arial" w:hAnsi="Arial"/>
                <w:b w:val="false"/>
                <w:bCs w:val="false"/>
                <w:sz w:val="17"/>
                <w:szCs w:val="17"/>
              </w:rPr>
              <w:t xml:space="preserve">₹ 87,50,000</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7"/>
                <w:szCs w:val="17"/>
              </w:rPr>
              <w:t xml:space="preserve">100200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Inventory - Raw Materials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Asset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7"/>
                <w:szCs w:val="17"/>
              </w:rPr>
              <w:t xml:space="preserve">₹ 32,00,000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7"/>
                <w:szCs w:val="17"/>
              </w:rPr>
              <w:t xml:space="preserv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7"/>
                <w:szCs w:val="17"/>
              </w:rPr>
              <w:t xml:space="preserve">₹ 32,00,000</w:t>
            </w:r>
          </w:p>
        </w:tc>
      </w:tr>
      <w:tr>
        <w:tc>
          <w:tcPr>
            <w:tcW w:type="dxa" w:w="10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bCs/>
                <w:sz w:val="17"/>
                <w:szCs w:val="17"/>
              </w:rPr>
              <w:t xml:space="preserve">100300</w:t>
            </w:r>
          </w:p>
        </w:tc>
        <w:tc>
          <w:tcPr>
            <w:tcW w:type="dxa" w:w="25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Prepaid Expenses</w:t>
            </w:r>
          </w:p>
        </w:tc>
        <w:tc>
          <w:tcPr>
            <w:tcW w:type="dxa" w:w="9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Asset</w:t>
            </w:r>
          </w:p>
        </w:tc>
        <w:tc>
          <w:tcPr>
            <w:tcW w:type="dxa" w:w="14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right"/>
            </w:pPr>
            <w:r>
              <w:rPr>
                <w:rFonts w:ascii="Arial" w:cs="Arial" w:eastAsia="Arial" w:hAnsi="Arial"/>
                <w:b w:val="false"/>
                <w:bCs w:val="false"/>
                <w:sz w:val="17"/>
                <w:szCs w:val="17"/>
              </w:rPr>
              <w:t xml:space="preserve">₹ 2,50,000</w:t>
            </w:r>
          </w:p>
        </w:tc>
        <w:tc>
          <w:tcPr>
            <w:tcW w:type="dxa" w:w="14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right"/>
            </w:pPr>
            <w:r>
              <w:rPr>
                <w:rFonts w:ascii="Arial" w:cs="Arial" w:eastAsia="Arial" w:hAnsi="Arial"/>
                <w:b w:val="false"/>
                <w:bCs w:val="false"/>
                <w:sz w:val="17"/>
                <w:szCs w:val="17"/>
              </w:rPr>
              <w:t xml:space="preserve">—</w:t>
            </w:r>
          </w:p>
        </w:tc>
        <w:tc>
          <w:tcPr>
            <w:tcW w:type="dxa" w:w="136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right"/>
            </w:pPr>
            <w:r>
              <w:rPr>
                <w:rFonts w:ascii="Arial" w:cs="Arial" w:eastAsia="Arial" w:hAnsi="Arial"/>
                <w:b w:val="false"/>
                <w:bCs w:val="false"/>
                <w:sz w:val="17"/>
                <w:szCs w:val="17"/>
              </w:rPr>
              <w:t xml:space="preserve">₹ 2,50,000</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7"/>
                <w:szCs w:val="17"/>
              </w:rPr>
              <w:t xml:space="preserve">110000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Plant &amp; Machinery (Gross)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Asset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7"/>
                <w:szCs w:val="17"/>
              </w:rPr>
              <w:t xml:space="preserve">₹ 1,50,00,000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7"/>
                <w:szCs w:val="17"/>
              </w:rPr>
              <w:t xml:space="preserv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7"/>
                <w:szCs w:val="17"/>
              </w:rPr>
              <w:t xml:space="preserve">₹ 1,50,00,000</w:t>
            </w:r>
          </w:p>
        </w:tc>
      </w:tr>
      <w:tr>
        <w:tc>
          <w:tcPr>
            <w:tcW w:type="dxa" w:w="10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bCs/>
                <w:sz w:val="17"/>
                <w:szCs w:val="17"/>
              </w:rPr>
              <w:t xml:space="preserve">110100</w:t>
            </w:r>
          </w:p>
        </w:tc>
        <w:tc>
          <w:tcPr>
            <w:tcW w:type="dxa" w:w="25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Accumulated Depreciation</w:t>
            </w:r>
          </w:p>
        </w:tc>
        <w:tc>
          <w:tcPr>
            <w:tcW w:type="dxa" w:w="9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Asset</w:t>
            </w:r>
          </w:p>
        </w:tc>
        <w:tc>
          <w:tcPr>
            <w:tcW w:type="dxa" w:w="14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right"/>
            </w:pPr>
            <w:r>
              <w:rPr>
                <w:rFonts w:ascii="Arial" w:cs="Arial" w:eastAsia="Arial" w:hAnsi="Arial"/>
                <w:b w:val="false"/>
                <w:bCs w:val="false"/>
                <w:sz w:val="17"/>
                <w:szCs w:val="17"/>
              </w:rPr>
              <w:t xml:space="preserve">—</w:t>
            </w:r>
          </w:p>
        </w:tc>
        <w:tc>
          <w:tcPr>
            <w:tcW w:type="dxa" w:w="14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right"/>
            </w:pPr>
            <w:r>
              <w:rPr>
                <w:rFonts w:ascii="Arial" w:cs="Arial" w:eastAsia="Arial" w:hAnsi="Arial"/>
                <w:b w:val="false"/>
                <w:bCs w:val="false"/>
                <w:sz w:val="17"/>
                <w:szCs w:val="17"/>
              </w:rPr>
              <w:t xml:space="preserve">₹ 45,00,000</w:t>
            </w:r>
          </w:p>
        </w:tc>
        <w:tc>
          <w:tcPr>
            <w:tcW w:type="dxa" w:w="136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right"/>
            </w:pPr>
            <w:r>
              <w:rPr>
                <w:rFonts w:ascii="Arial" w:cs="Arial" w:eastAsia="Arial" w:hAnsi="Arial"/>
                <w:b w:val="false"/>
                <w:bCs w:val="false"/>
                <w:sz w:val="17"/>
                <w:szCs w:val="17"/>
              </w:rPr>
              <w:t xml:space="preserve">(₹ 45,00,000)</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7"/>
                <w:szCs w:val="17"/>
              </w:rPr>
              <w:t xml:space="preserve">200000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Accounts Payable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Liability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7"/>
                <w:szCs w:val="17"/>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7"/>
                <w:szCs w:val="17"/>
              </w:rPr>
              <w:t xml:space="preserve">₹ 52,00,000</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7"/>
                <w:szCs w:val="17"/>
              </w:rPr>
              <w:t xml:space="preserve">(₹ 52,00,000)</w:t>
            </w:r>
          </w:p>
        </w:tc>
      </w:tr>
      <w:tr>
        <w:tc>
          <w:tcPr>
            <w:tcW w:type="dxa" w:w="10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bCs/>
                <w:sz w:val="17"/>
                <w:szCs w:val="17"/>
              </w:rPr>
              <w:t xml:space="preserve">200100</w:t>
            </w:r>
          </w:p>
        </w:tc>
        <w:tc>
          <w:tcPr>
            <w:tcW w:type="dxa" w:w="25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Short-Term Loans</w:t>
            </w:r>
          </w:p>
        </w:tc>
        <w:tc>
          <w:tcPr>
            <w:tcW w:type="dxa" w:w="9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Liability</w:t>
            </w:r>
          </w:p>
        </w:tc>
        <w:tc>
          <w:tcPr>
            <w:tcW w:type="dxa" w:w="14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right"/>
            </w:pPr>
            <w:r>
              <w:rPr>
                <w:rFonts w:ascii="Arial" w:cs="Arial" w:eastAsia="Arial" w:hAnsi="Arial"/>
                <w:b w:val="false"/>
                <w:bCs w:val="false"/>
                <w:sz w:val="17"/>
                <w:szCs w:val="17"/>
              </w:rPr>
              <w:t xml:space="preserve">—</w:t>
            </w:r>
          </w:p>
        </w:tc>
        <w:tc>
          <w:tcPr>
            <w:tcW w:type="dxa" w:w="14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right"/>
            </w:pPr>
            <w:r>
              <w:rPr>
                <w:rFonts w:ascii="Arial" w:cs="Arial" w:eastAsia="Arial" w:hAnsi="Arial"/>
                <w:b w:val="false"/>
                <w:bCs w:val="false"/>
                <w:sz w:val="17"/>
                <w:szCs w:val="17"/>
              </w:rPr>
              <w:t xml:space="preserve">₹ 30,00,000</w:t>
            </w:r>
          </w:p>
        </w:tc>
        <w:tc>
          <w:tcPr>
            <w:tcW w:type="dxa" w:w="136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right"/>
            </w:pPr>
            <w:r>
              <w:rPr>
                <w:rFonts w:ascii="Arial" w:cs="Arial" w:eastAsia="Arial" w:hAnsi="Arial"/>
                <w:b w:val="false"/>
                <w:bCs w:val="false"/>
                <w:sz w:val="17"/>
                <w:szCs w:val="17"/>
              </w:rPr>
              <w:t xml:space="preserve">(₹ 30,00,000)</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7"/>
                <w:szCs w:val="17"/>
              </w:rPr>
              <w:t xml:space="preserve">200200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Accrued Expenses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Liability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7"/>
                <w:szCs w:val="17"/>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7"/>
                <w:szCs w:val="17"/>
              </w:rPr>
              <w:t xml:space="preserve">₹ 7,50,000</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7"/>
                <w:szCs w:val="17"/>
              </w:rPr>
              <w:t xml:space="preserve">(₹ 7,50,000)</w:t>
            </w:r>
          </w:p>
        </w:tc>
      </w:tr>
      <w:tr>
        <w:tc>
          <w:tcPr>
            <w:tcW w:type="dxa" w:w="10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bCs/>
                <w:sz w:val="17"/>
                <w:szCs w:val="17"/>
              </w:rPr>
              <w:t xml:space="preserve">200300</w:t>
            </w:r>
          </w:p>
        </w:tc>
        <w:tc>
          <w:tcPr>
            <w:tcW w:type="dxa" w:w="25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Tax Payable (GST)</w:t>
            </w:r>
          </w:p>
        </w:tc>
        <w:tc>
          <w:tcPr>
            <w:tcW w:type="dxa" w:w="9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Liability</w:t>
            </w:r>
          </w:p>
        </w:tc>
        <w:tc>
          <w:tcPr>
            <w:tcW w:type="dxa" w:w="14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right"/>
            </w:pPr>
            <w:r>
              <w:rPr>
                <w:rFonts w:ascii="Arial" w:cs="Arial" w:eastAsia="Arial" w:hAnsi="Arial"/>
                <w:b w:val="false"/>
                <w:bCs w:val="false"/>
                <w:sz w:val="17"/>
                <w:szCs w:val="17"/>
              </w:rPr>
              <w:t xml:space="preserve">—</w:t>
            </w:r>
          </w:p>
        </w:tc>
        <w:tc>
          <w:tcPr>
            <w:tcW w:type="dxa" w:w="14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right"/>
            </w:pPr>
            <w:r>
              <w:rPr>
                <w:rFonts w:ascii="Arial" w:cs="Arial" w:eastAsia="Arial" w:hAnsi="Arial"/>
                <w:b w:val="false"/>
                <w:bCs w:val="false"/>
                <w:sz w:val="17"/>
                <w:szCs w:val="17"/>
              </w:rPr>
              <w:t xml:space="preserve">₹ 4,50,000</w:t>
            </w:r>
          </w:p>
        </w:tc>
        <w:tc>
          <w:tcPr>
            <w:tcW w:type="dxa" w:w="136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right"/>
            </w:pPr>
            <w:r>
              <w:rPr>
                <w:rFonts w:ascii="Arial" w:cs="Arial" w:eastAsia="Arial" w:hAnsi="Arial"/>
                <w:b w:val="false"/>
                <w:bCs w:val="false"/>
                <w:sz w:val="17"/>
                <w:szCs w:val="17"/>
              </w:rPr>
              <w:t xml:space="preserve">(₹ 4,50,000)</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7"/>
                <w:szCs w:val="17"/>
              </w:rPr>
              <w:t xml:space="preserve">300000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Share Capital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Equity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7"/>
                <w:szCs w:val="17"/>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7"/>
                <w:szCs w:val="17"/>
              </w:rPr>
              <w:t xml:space="preserve">₹ 1,00,00,000</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7"/>
                <w:szCs w:val="17"/>
              </w:rPr>
              <w:t xml:space="preserve">(₹ 1,00,00,000)</w:t>
            </w:r>
          </w:p>
        </w:tc>
      </w:tr>
      <w:tr>
        <w:tc>
          <w:tcPr>
            <w:tcW w:type="dxa" w:w="10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bCs/>
                <w:sz w:val="17"/>
                <w:szCs w:val="17"/>
              </w:rPr>
              <w:t xml:space="preserve">300100</w:t>
            </w:r>
          </w:p>
        </w:tc>
        <w:tc>
          <w:tcPr>
            <w:tcW w:type="dxa" w:w="25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Retained Earnings</w:t>
            </w:r>
          </w:p>
        </w:tc>
        <w:tc>
          <w:tcPr>
            <w:tcW w:type="dxa" w:w="9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Equity</w:t>
            </w:r>
          </w:p>
        </w:tc>
        <w:tc>
          <w:tcPr>
            <w:tcW w:type="dxa" w:w="14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right"/>
            </w:pPr>
            <w:r>
              <w:rPr>
                <w:rFonts w:ascii="Arial" w:cs="Arial" w:eastAsia="Arial" w:hAnsi="Arial"/>
                <w:b w:val="false"/>
                <w:bCs w:val="false"/>
                <w:sz w:val="17"/>
                <w:szCs w:val="17"/>
              </w:rPr>
              <w:t xml:space="preserve">—</w:t>
            </w:r>
          </w:p>
        </w:tc>
        <w:tc>
          <w:tcPr>
            <w:tcW w:type="dxa" w:w="14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right"/>
            </w:pPr>
            <w:r>
              <w:rPr>
                <w:rFonts w:ascii="Arial" w:cs="Arial" w:eastAsia="Arial" w:hAnsi="Arial"/>
                <w:b w:val="false"/>
                <w:bCs w:val="false"/>
                <w:sz w:val="17"/>
                <w:szCs w:val="17"/>
              </w:rPr>
              <w:t xml:space="preserve">₹ 38,00,000</w:t>
            </w:r>
          </w:p>
        </w:tc>
        <w:tc>
          <w:tcPr>
            <w:tcW w:type="dxa" w:w="136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right"/>
            </w:pPr>
            <w:r>
              <w:rPr>
                <w:rFonts w:ascii="Arial" w:cs="Arial" w:eastAsia="Arial" w:hAnsi="Arial"/>
                <w:b w:val="false"/>
                <w:bCs w:val="false"/>
                <w:sz w:val="17"/>
                <w:szCs w:val="17"/>
              </w:rPr>
              <w:t xml:space="preserve">(₹ 38,00,000)</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7"/>
                <w:szCs w:val="17"/>
              </w:rPr>
              <w:t xml:space="preserve">400000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Revenue from Operations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Revenue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7"/>
                <w:szCs w:val="17"/>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7"/>
                <w:szCs w:val="17"/>
              </w:rPr>
              <w:t xml:space="preserve">₹ 2,20,00,000</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7"/>
                <w:szCs w:val="17"/>
              </w:rPr>
              <w:t xml:space="preserve">(₹ 2,20,00,000)</w:t>
            </w:r>
          </w:p>
        </w:tc>
      </w:tr>
      <w:tr>
        <w:tc>
          <w:tcPr>
            <w:tcW w:type="dxa" w:w="10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bCs/>
                <w:sz w:val="17"/>
                <w:szCs w:val="17"/>
              </w:rPr>
              <w:t xml:space="preserve">400100</w:t>
            </w:r>
          </w:p>
        </w:tc>
        <w:tc>
          <w:tcPr>
            <w:tcW w:type="dxa" w:w="25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Other Income</w:t>
            </w:r>
          </w:p>
        </w:tc>
        <w:tc>
          <w:tcPr>
            <w:tcW w:type="dxa" w:w="9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Revenue</w:t>
            </w:r>
          </w:p>
        </w:tc>
        <w:tc>
          <w:tcPr>
            <w:tcW w:type="dxa" w:w="14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right"/>
            </w:pPr>
            <w:r>
              <w:rPr>
                <w:rFonts w:ascii="Arial" w:cs="Arial" w:eastAsia="Arial" w:hAnsi="Arial"/>
                <w:b w:val="false"/>
                <w:bCs w:val="false"/>
                <w:sz w:val="17"/>
                <w:szCs w:val="17"/>
              </w:rPr>
              <w:t xml:space="preserve">—</w:t>
            </w:r>
          </w:p>
        </w:tc>
        <w:tc>
          <w:tcPr>
            <w:tcW w:type="dxa" w:w="14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right"/>
            </w:pPr>
            <w:r>
              <w:rPr>
                <w:rFonts w:ascii="Arial" w:cs="Arial" w:eastAsia="Arial" w:hAnsi="Arial"/>
                <w:b w:val="false"/>
                <w:bCs w:val="false"/>
                <w:sz w:val="17"/>
                <w:szCs w:val="17"/>
              </w:rPr>
              <w:t xml:space="preserve">₹ 5,00,000</w:t>
            </w:r>
          </w:p>
        </w:tc>
        <w:tc>
          <w:tcPr>
            <w:tcW w:type="dxa" w:w="136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right"/>
            </w:pPr>
            <w:r>
              <w:rPr>
                <w:rFonts w:ascii="Arial" w:cs="Arial" w:eastAsia="Arial" w:hAnsi="Arial"/>
                <w:b w:val="false"/>
                <w:bCs w:val="false"/>
                <w:sz w:val="17"/>
                <w:szCs w:val="17"/>
              </w:rPr>
              <w:t xml:space="preserve">(₹ 5,00,000)</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7"/>
                <w:szCs w:val="17"/>
              </w:rPr>
              <w:t xml:space="preserve">500000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Cost of Goods Sold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Expense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7"/>
                <w:szCs w:val="17"/>
              </w:rPr>
              <w:t xml:space="preserve">₹ 1,32,00,000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7"/>
                <w:szCs w:val="17"/>
              </w:rPr>
              <w:t xml:space="preserv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7"/>
                <w:szCs w:val="17"/>
              </w:rPr>
              <w:t xml:space="preserve">₹ 1,32,00,000</w:t>
            </w:r>
          </w:p>
        </w:tc>
      </w:tr>
      <w:tr>
        <w:tc>
          <w:tcPr>
            <w:tcW w:type="dxa" w:w="10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bCs/>
                <w:sz w:val="17"/>
                <w:szCs w:val="17"/>
              </w:rPr>
              <w:t xml:space="preserve">500100</w:t>
            </w:r>
          </w:p>
        </w:tc>
        <w:tc>
          <w:tcPr>
            <w:tcW w:type="dxa" w:w="25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Employee Salaries &amp; Wages</w:t>
            </w:r>
          </w:p>
        </w:tc>
        <w:tc>
          <w:tcPr>
            <w:tcW w:type="dxa" w:w="9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Expense</w:t>
            </w:r>
          </w:p>
        </w:tc>
        <w:tc>
          <w:tcPr>
            <w:tcW w:type="dxa" w:w="14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right"/>
            </w:pPr>
            <w:r>
              <w:rPr>
                <w:rFonts w:ascii="Arial" w:cs="Arial" w:eastAsia="Arial" w:hAnsi="Arial"/>
                <w:b w:val="false"/>
                <w:bCs w:val="false"/>
                <w:sz w:val="17"/>
                <w:szCs w:val="17"/>
              </w:rPr>
              <w:t xml:space="preserve">₹ 28,00,000</w:t>
            </w:r>
          </w:p>
        </w:tc>
        <w:tc>
          <w:tcPr>
            <w:tcW w:type="dxa" w:w="14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right"/>
            </w:pPr>
            <w:r>
              <w:rPr>
                <w:rFonts w:ascii="Arial" w:cs="Arial" w:eastAsia="Arial" w:hAnsi="Arial"/>
                <w:b w:val="false"/>
                <w:bCs w:val="false"/>
                <w:sz w:val="17"/>
                <w:szCs w:val="17"/>
              </w:rPr>
              <w:t xml:space="preserve">—</w:t>
            </w:r>
          </w:p>
        </w:tc>
        <w:tc>
          <w:tcPr>
            <w:tcW w:type="dxa" w:w="136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right"/>
            </w:pPr>
            <w:r>
              <w:rPr>
                <w:rFonts w:ascii="Arial" w:cs="Arial" w:eastAsia="Arial" w:hAnsi="Arial"/>
                <w:b w:val="false"/>
                <w:bCs w:val="false"/>
                <w:sz w:val="17"/>
                <w:szCs w:val="17"/>
              </w:rPr>
              <w:t xml:space="preserve">₹ 28,00,000</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7"/>
                <w:szCs w:val="17"/>
              </w:rPr>
              <w:t xml:space="preserve">500200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Rent &amp; Utilities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Expense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7"/>
                <w:szCs w:val="17"/>
              </w:rPr>
              <w:t xml:space="preserve">₹ 8,00,000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7"/>
                <w:szCs w:val="17"/>
              </w:rPr>
              <w:t xml:space="preserv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7"/>
                <w:szCs w:val="17"/>
              </w:rPr>
              <w:t xml:space="preserve">₹ 8,00,000</w:t>
            </w:r>
          </w:p>
        </w:tc>
      </w:tr>
      <w:tr>
        <w:tc>
          <w:tcPr>
            <w:tcW w:type="dxa" w:w="10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bCs/>
                <w:sz w:val="17"/>
                <w:szCs w:val="17"/>
              </w:rPr>
              <w:t xml:space="preserve">500300</w:t>
            </w:r>
          </w:p>
        </w:tc>
        <w:tc>
          <w:tcPr>
            <w:tcW w:type="dxa" w:w="25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Depreciation Expense</w:t>
            </w:r>
          </w:p>
        </w:tc>
        <w:tc>
          <w:tcPr>
            <w:tcW w:type="dxa" w:w="9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Expense</w:t>
            </w:r>
          </w:p>
        </w:tc>
        <w:tc>
          <w:tcPr>
            <w:tcW w:type="dxa" w:w="14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right"/>
            </w:pPr>
            <w:r>
              <w:rPr>
                <w:rFonts w:ascii="Arial" w:cs="Arial" w:eastAsia="Arial" w:hAnsi="Arial"/>
                <w:b w:val="false"/>
                <w:bCs w:val="false"/>
                <w:sz w:val="17"/>
                <w:szCs w:val="17"/>
              </w:rPr>
              <w:t xml:space="preserve">₹ 9,00,000</w:t>
            </w:r>
          </w:p>
        </w:tc>
        <w:tc>
          <w:tcPr>
            <w:tcW w:type="dxa" w:w="14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right"/>
            </w:pPr>
            <w:r>
              <w:rPr>
                <w:rFonts w:ascii="Arial" w:cs="Arial" w:eastAsia="Arial" w:hAnsi="Arial"/>
                <w:b w:val="false"/>
                <w:bCs w:val="false"/>
                <w:sz w:val="17"/>
                <w:szCs w:val="17"/>
              </w:rPr>
              <w:t xml:space="preserve">—</w:t>
            </w:r>
          </w:p>
        </w:tc>
        <w:tc>
          <w:tcPr>
            <w:tcW w:type="dxa" w:w="136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right"/>
            </w:pPr>
            <w:r>
              <w:rPr>
                <w:rFonts w:ascii="Arial" w:cs="Arial" w:eastAsia="Arial" w:hAnsi="Arial"/>
                <w:b w:val="false"/>
                <w:bCs w:val="false"/>
                <w:sz w:val="17"/>
                <w:szCs w:val="17"/>
              </w:rPr>
              <w:t xml:space="preserve">₹ 9,00,000</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7"/>
                <w:szCs w:val="17"/>
              </w:rPr>
              <w:t xml:space="preserve">500400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Marketing &amp; Advertising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Expense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7"/>
                <w:szCs w:val="17"/>
              </w:rPr>
              <w:t xml:space="preserve">₹ 3,50,000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7"/>
                <w:szCs w:val="17"/>
              </w:rPr>
              <w:t xml:space="preserv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7"/>
                <w:szCs w:val="17"/>
              </w:rPr>
              <w:t xml:space="preserve">₹ 3,50,000</w:t>
            </w:r>
          </w:p>
        </w:tc>
      </w:tr>
      <w:tr>
        <w:tc>
          <w:tcPr>
            <w:tcW w:type="dxa" w:w="10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bCs/>
                <w:sz w:val="17"/>
                <w:szCs w:val="17"/>
              </w:rPr>
              <w:t xml:space="preserve">500500</w:t>
            </w:r>
          </w:p>
        </w:tc>
        <w:tc>
          <w:tcPr>
            <w:tcW w:type="dxa" w:w="25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Finance Costs (Interest)</w:t>
            </w:r>
          </w:p>
        </w:tc>
        <w:tc>
          <w:tcPr>
            <w:tcW w:type="dxa" w:w="9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Expense</w:t>
            </w:r>
          </w:p>
        </w:tc>
        <w:tc>
          <w:tcPr>
            <w:tcW w:type="dxa" w:w="14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right"/>
            </w:pPr>
            <w:r>
              <w:rPr>
                <w:rFonts w:ascii="Arial" w:cs="Arial" w:eastAsia="Arial" w:hAnsi="Arial"/>
                <w:b w:val="false"/>
                <w:bCs w:val="false"/>
                <w:sz w:val="17"/>
                <w:szCs w:val="17"/>
              </w:rPr>
              <w:t xml:space="preserve">₹ 4,50,000</w:t>
            </w:r>
          </w:p>
        </w:tc>
        <w:tc>
          <w:tcPr>
            <w:tcW w:type="dxa" w:w="14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right"/>
            </w:pPr>
            <w:r>
              <w:rPr>
                <w:rFonts w:ascii="Arial" w:cs="Arial" w:eastAsia="Arial" w:hAnsi="Arial"/>
                <w:b w:val="false"/>
                <w:bCs w:val="false"/>
                <w:sz w:val="17"/>
                <w:szCs w:val="17"/>
              </w:rPr>
              <w:t xml:space="preserve">—</w:t>
            </w:r>
          </w:p>
        </w:tc>
        <w:tc>
          <w:tcPr>
            <w:tcW w:type="dxa" w:w="136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right"/>
            </w:pPr>
            <w:r>
              <w:rPr>
                <w:rFonts w:ascii="Arial" w:cs="Arial" w:eastAsia="Arial" w:hAnsi="Arial"/>
                <w:b w:val="false"/>
                <w:bCs w:val="false"/>
                <w:sz w:val="17"/>
                <w:szCs w:val="17"/>
              </w:rPr>
              <w:t xml:space="preserve">₹ 4,50,000</w:t>
            </w:r>
          </w:p>
        </w:tc>
      </w:tr>
      <w:tr>
        <w:tc>
          <w:tcPr>
            <w:tcW w:type="dxa" w:w="4400"/>
            <w:gridSpan w:val="3"/>
            <w:tcBorders>
              <w:top w:val="single" w:color="CCCCCC" w:sz="1"/>
              <w:left w:val="single" w:color="CCCCCC" w:sz="1"/>
              <w:bottom w:val="single" w:color="CCCCCC" w:sz="1"/>
              <w:right w:val="single" w:color="CCCCCC" w:sz="1"/>
            </w:tcBorders>
            <w:shd w:fill="D4E3F5" w:val="clear"/>
            <w:tcMar>
              <w:top w:type="dxa" w:w="60"/>
              <w:left w:type="dxa" w:w="100"/>
              <w:bottom w:type="dxa" w:w="60"/>
              <w:right w:type="dxa" w:w="100"/>
            </w:tcMar>
          </w:tcPr>
          <w:p>
            <w:r>
              <w:rPr>
                <w:rFonts w:ascii="Arial" w:cs="Arial" w:eastAsia="Arial" w:hAnsi="Arial"/>
                <w:b/>
                <w:bCs/>
                <w:sz w:val="18"/>
                <w:szCs w:val="18"/>
              </w:rPr>
              <w:t xml:space="preserve">GRAND TOTAL</w:t>
            </w:r>
          </w:p>
        </w:tc>
        <w:tc>
          <w:tcPr>
            <w:tcW w:type="dxa" w:w="14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right"/>
            </w:pPr>
            <w:r>
              <w:rPr>
                <w:rFonts w:ascii="Arial" w:cs="Arial" w:eastAsia="Arial" w:hAnsi="Arial"/>
                <w:b/>
                <w:bCs/>
                <w:sz w:val="17"/>
                <w:szCs w:val="17"/>
              </w:rPr>
              <w:t xml:space="preserve">₹ 5,02,00,000</w:t>
            </w:r>
          </w:p>
        </w:tc>
        <w:tc>
          <w:tcPr>
            <w:tcW w:type="dxa" w:w="14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right"/>
            </w:pPr>
            <w:r>
              <w:rPr>
                <w:rFonts w:ascii="Arial" w:cs="Arial" w:eastAsia="Arial" w:hAnsi="Arial"/>
                <w:b/>
                <w:bCs/>
                <w:sz w:val="17"/>
                <w:szCs w:val="17"/>
              </w:rPr>
              <w:t xml:space="preserve">₹ 5,02,00,000</w:t>
            </w:r>
          </w:p>
        </w:tc>
        <w:tc>
          <w:tcPr>
            <w:tcW w:type="dxa" w:w="136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right"/>
            </w:pPr>
            <w:r>
              <w:rPr>
                <w:rFonts w:ascii="Arial" w:cs="Arial" w:eastAsia="Arial" w:hAnsi="Arial"/>
                <w:b/>
                <w:bCs/>
                <w:sz w:val="17"/>
                <w:szCs w:val="17"/>
              </w:rPr>
              <w:t xml:space="preserve">BALANCED ✓</w:t>
            </w:r>
          </w:p>
        </w:tc>
      </w:tr>
    </w:tbl>
    <w:p>
      <w:pPr>
        <w:spacing w:after="80" w:before="120"/>
      </w:pPr>
    </w:p>
    <w:p>
      <w:r>
        <w:rPr>
          <w:rFonts w:ascii="Arial" w:cs="Arial" w:eastAsia="Arial" w:hAnsi="Arial"/>
          <w:b/>
          <w:bCs/>
          <w:color w:val="1A7A1A"/>
          <w:sz w:val="20"/>
          <w:szCs w:val="20"/>
        </w:rPr>
        <w:t xml:space="preserve">✅ Trial Balance is BALANCED — Total Debit = Total Credit = ₹ 5,02,00,000</w:t>
      </w:r>
    </w:p>
    <w:p>
      <w:r>
        <w:br w:type="page"/>
      </w:r>
    </w:p>
    <w:p>
      <w:pPr>
        <w:pStyle w:val="Heading1"/>
        <w:spacing w:after="120" w:before="280"/>
      </w:pPr>
      <w:r>
        <w:rPr>
          <w:rFonts w:ascii="Arial" w:cs="Arial" w:eastAsia="Arial" w:hAnsi="Arial"/>
          <w:b/>
          <w:bCs/>
          <w:color w:val="1B3A6B"/>
          <w:sz w:val="28"/>
          <w:szCs w:val="28"/>
        </w:rPr>
        <w:t xml:space="preserve">5. Month-End / Year-End Closing Checklist</w:t>
      </w:r>
    </w:p>
    <w:p>
      <w:pPr>
        <w:spacing w:after="80"/>
      </w:pPr>
      <w:r>
        <w:rPr>
          <w:rFonts w:ascii="Arial" w:cs="Arial" w:eastAsia="Arial" w:hAnsi="Arial"/>
          <w:b w:val="false"/>
          <w:bCs w:val="false"/>
          <w:sz w:val="20"/>
          <w:szCs w:val="20"/>
        </w:rPr>
        <w:t xml:space="preserve">The following activities are executed in sequence during the period-end financial close. All activities use standard SAP T-Codes and are tracked by the Finance team.</w:t>
      </w:r>
    </w:p>
    <w:p>
      <w:pPr>
        <w:spacing w:after="12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800"/>
        <w:gridCol w:w="1500"/>
        <w:gridCol w:w="2960"/>
      </w:tblGrid>
      <w:tr>
        <w:tc>
          <w:tcPr>
            <w:tcW w:type="dxa" w:w="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T-Code</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Activity</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Owner</w:t>
            </w:r>
          </w:p>
        </w:tc>
        <w:tc>
          <w:tcPr>
            <w:tcW w:type="dxa" w:w="2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7"/>
                <w:szCs w:val="17"/>
              </w:rPr>
              <w:t xml:space="preserve">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7"/>
                <w:szCs w:val="17"/>
              </w:rPr>
              <w:t xml:space="preserve">FB50 / FBS1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Post Accruals &amp; Deferrals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Accountant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17"/>
                <w:szCs w:val="17"/>
              </w:rPr>
              <w:t xml:space="preserve">✅ Done</w:t>
            </w:r>
          </w:p>
        </w:tc>
      </w:tr>
      <w:tr>
        <w:tc>
          <w:tcPr>
            <w:tcW w:type="dxa" w:w="5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bCs/>
                <w:sz w:val="17"/>
                <w:szCs w:val="17"/>
              </w:rPr>
              <w:t xml:space="preserve">2</w:t>
            </w:r>
          </w:p>
        </w:tc>
        <w:tc>
          <w:tcPr>
            <w:tcW w:type="dxa" w:w="18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bCs/>
                <w:sz w:val="17"/>
                <w:szCs w:val="17"/>
              </w:rPr>
              <w:t xml:space="preserve">AFAB</w:t>
            </w:r>
          </w:p>
        </w:tc>
        <w:tc>
          <w:tcPr>
            <w:tcW w:type="dxa" w:w="28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Run Depreciation (Asset Accounting)</w:t>
            </w:r>
          </w:p>
        </w:tc>
        <w:tc>
          <w:tcPr>
            <w:tcW w:type="dxa" w:w="15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Asset Accountant</w:t>
            </w:r>
          </w:p>
        </w:tc>
        <w:tc>
          <w:tcPr>
            <w:tcW w:type="dxa" w:w="296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center"/>
            </w:pPr>
            <w:r>
              <w:rPr>
                <w:rFonts w:ascii="Arial" w:cs="Arial" w:eastAsia="Arial" w:hAnsi="Arial"/>
                <w:b/>
                <w:bCs/>
                <w:sz w:val="17"/>
                <w:szCs w:val="17"/>
              </w:rPr>
              <w:t xml:space="preserve">✅ Done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7"/>
                <w:szCs w:val="17"/>
              </w:rPr>
              <w:t xml:space="preserve">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7"/>
                <w:szCs w:val="17"/>
              </w:rPr>
              <w:t xml:space="preserve">FAGL_FC_VAL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Foreign Currency Revaluation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Finance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17"/>
                <w:szCs w:val="17"/>
              </w:rPr>
              <w:t xml:space="preserve">✅ Done</w:t>
            </w:r>
          </w:p>
        </w:tc>
      </w:tr>
      <w:tr>
        <w:tc>
          <w:tcPr>
            <w:tcW w:type="dxa" w:w="5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bCs/>
                <w:sz w:val="17"/>
                <w:szCs w:val="17"/>
              </w:rPr>
              <w:t xml:space="preserve">4</w:t>
            </w:r>
          </w:p>
        </w:tc>
        <w:tc>
          <w:tcPr>
            <w:tcW w:type="dxa" w:w="18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bCs/>
                <w:sz w:val="17"/>
                <w:szCs w:val="17"/>
              </w:rPr>
              <w:t xml:space="preserve">MR11</w:t>
            </w:r>
          </w:p>
        </w:tc>
        <w:tc>
          <w:tcPr>
            <w:tcW w:type="dxa" w:w="28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GR/IR Account Clearing</w:t>
            </w:r>
          </w:p>
        </w:tc>
        <w:tc>
          <w:tcPr>
            <w:tcW w:type="dxa" w:w="15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AP Team</w:t>
            </w:r>
          </w:p>
        </w:tc>
        <w:tc>
          <w:tcPr>
            <w:tcW w:type="dxa" w:w="296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center"/>
            </w:pPr>
            <w:r>
              <w:rPr>
                <w:rFonts w:ascii="Arial" w:cs="Arial" w:eastAsia="Arial" w:hAnsi="Arial"/>
                <w:b/>
                <w:bCs/>
                <w:sz w:val="17"/>
                <w:szCs w:val="17"/>
              </w:rPr>
              <w:t xml:space="preserve">✅ Done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7"/>
                <w:szCs w:val="17"/>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7"/>
                <w:szCs w:val="17"/>
              </w:rPr>
              <w:t xml:space="preserve">FBICR1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Intercompany Reconciliation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Finance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17"/>
                <w:szCs w:val="17"/>
              </w:rPr>
              <w:t xml:space="preserve">✅ Done</w:t>
            </w:r>
          </w:p>
        </w:tc>
      </w:tr>
      <w:tr>
        <w:tc>
          <w:tcPr>
            <w:tcW w:type="dxa" w:w="5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bCs/>
                <w:sz w:val="17"/>
                <w:szCs w:val="17"/>
              </w:rPr>
              <w:t xml:space="preserve">6</w:t>
            </w:r>
          </w:p>
        </w:tc>
        <w:tc>
          <w:tcPr>
            <w:tcW w:type="dxa" w:w="18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bCs/>
                <w:sz w:val="17"/>
                <w:szCs w:val="17"/>
              </w:rPr>
              <w:t xml:space="preserve">F.08</w:t>
            </w:r>
          </w:p>
        </w:tc>
        <w:tc>
          <w:tcPr>
            <w:tcW w:type="dxa" w:w="28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Run Standard Trial Balance</w:t>
            </w:r>
          </w:p>
        </w:tc>
        <w:tc>
          <w:tcPr>
            <w:tcW w:type="dxa" w:w="15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Controller</w:t>
            </w:r>
          </w:p>
        </w:tc>
        <w:tc>
          <w:tcPr>
            <w:tcW w:type="dxa" w:w="296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center"/>
            </w:pPr>
            <w:r>
              <w:rPr>
                <w:rFonts w:ascii="Arial" w:cs="Arial" w:eastAsia="Arial" w:hAnsi="Arial"/>
                <w:b/>
                <w:bCs/>
                <w:sz w:val="17"/>
                <w:szCs w:val="17"/>
              </w:rPr>
              <w:t xml:space="preserve">✅ Done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7"/>
                <w:szCs w:val="17"/>
              </w:rPr>
              <w:t xml:space="preserve">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7"/>
                <w:szCs w:val="17"/>
              </w:rPr>
              <w:t xml:space="preserve">ZR2R_TRIAL_BALANCE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Custom ALV Trial Balance (ABAP)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Controller</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17"/>
                <w:szCs w:val="17"/>
              </w:rPr>
              <w:t xml:space="preserve">✅ Done</w:t>
            </w:r>
          </w:p>
        </w:tc>
      </w:tr>
      <w:tr>
        <w:tc>
          <w:tcPr>
            <w:tcW w:type="dxa" w:w="5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bCs/>
                <w:sz w:val="17"/>
                <w:szCs w:val="17"/>
              </w:rPr>
              <w:t xml:space="preserve">8</w:t>
            </w:r>
          </w:p>
        </w:tc>
        <w:tc>
          <w:tcPr>
            <w:tcW w:type="dxa" w:w="18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bCs/>
                <w:sz w:val="17"/>
                <w:szCs w:val="17"/>
              </w:rPr>
              <w:t xml:space="preserve">OB52</w:t>
            </w:r>
          </w:p>
        </w:tc>
        <w:tc>
          <w:tcPr>
            <w:tcW w:type="dxa" w:w="28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Lock Posting Period</w:t>
            </w:r>
          </w:p>
        </w:tc>
        <w:tc>
          <w:tcPr>
            <w:tcW w:type="dxa" w:w="15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Finance Manager</w:t>
            </w:r>
          </w:p>
        </w:tc>
        <w:tc>
          <w:tcPr>
            <w:tcW w:type="dxa" w:w="296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center"/>
            </w:pPr>
            <w:r>
              <w:rPr>
                <w:rFonts w:ascii="Arial" w:cs="Arial" w:eastAsia="Arial" w:hAnsi="Arial"/>
                <w:b/>
                <w:bCs/>
                <w:sz w:val="17"/>
                <w:szCs w:val="17"/>
              </w:rPr>
              <w:t xml:space="preserve">✅ Done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7"/>
                <w:szCs w:val="17"/>
              </w:rPr>
              <w:t xml:space="preserve">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7"/>
                <w:szCs w:val="17"/>
              </w:rPr>
              <w:t xml:space="preserve">F.16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Balance Carry Forward to New FY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Finance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17"/>
                <w:szCs w:val="17"/>
              </w:rPr>
              <w:t xml:space="preserve">✅ Done</w:t>
            </w:r>
          </w:p>
        </w:tc>
      </w:tr>
      <w:tr>
        <w:tc>
          <w:tcPr>
            <w:tcW w:type="dxa" w:w="5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bCs/>
                <w:sz w:val="17"/>
                <w:szCs w:val="17"/>
              </w:rPr>
              <w:t xml:space="preserve">10</w:t>
            </w:r>
          </w:p>
        </w:tc>
        <w:tc>
          <w:tcPr>
            <w:tcW w:type="dxa" w:w="18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bCs/>
                <w:sz w:val="17"/>
                <w:szCs w:val="17"/>
              </w:rPr>
              <w:t xml:space="preserve">F.01</w:t>
            </w:r>
          </w:p>
        </w:tc>
        <w:tc>
          <w:tcPr>
            <w:tcW w:type="dxa" w:w="28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Generate Financial Statements</w:t>
            </w:r>
          </w:p>
        </w:tc>
        <w:tc>
          <w:tcPr>
            <w:tcW w:type="dxa" w:w="15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CFO</w:t>
            </w:r>
          </w:p>
        </w:tc>
        <w:tc>
          <w:tcPr>
            <w:tcW w:type="dxa" w:w="296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center"/>
            </w:pPr>
            <w:r>
              <w:rPr>
                <w:rFonts w:ascii="Arial" w:cs="Arial" w:eastAsia="Arial" w:hAnsi="Arial"/>
                <w:b/>
                <w:bCs/>
                <w:sz w:val="17"/>
                <w:szCs w:val="17"/>
              </w:rPr>
              <w:t xml:space="preserve">✅ Done</w:t>
            </w:r>
          </w:p>
        </w:tc>
      </w:tr>
    </w:tbl>
    <w:p>
      <w:pPr>
        <w:spacing w:after="120"/>
      </w:pPr>
    </w:p>
    <w:p>
      <w:pPr>
        <w:pStyle w:val="Heading2"/>
        <w:spacing w:after="80" w:before="200"/>
      </w:pPr>
      <w:r>
        <w:rPr>
          <w:rFonts w:ascii="Arial" w:cs="Arial" w:eastAsia="Arial" w:hAnsi="Arial"/>
          <w:b/>
          <w:bCs/>
          <w:color w:val="2E75B6"/>
          <w:sz w:val="22"/>
          <w:szCs w:val="22"/>
        </w:rPr>
        <w:t xml:space="preserve">5.1 Year-End Specific Steps</w:t>
      </w:r>
    </w:p>
    <w:p>
      <w:pPr>
        <w:spacing w:after="80"/>
      </w:pPr>
      <w:r>
        <w:rPr>
          <w:rFonts w:ascii="Arial" w:cs="Arial" w:eastAsia="Arial" w:hAnsi="Arial"/>
          <w:b/>
          <w:bCs/>
          <w:color w:val="2E75B6"/>
          <w:sz w:val="20"/>
          <w:szCs w:val="20"/>
        </w:rPr>
        <w:t xml:space="preserve">Step 1: </w:t>
      </w:r>
      <w:r>
        <w:rPr>
          <w:rFonts w:ascii="Arial" w:cs="Arial" w:eastAsia="Arial" w:hAnsi="Arial"/>
          <w:b/>
          <w:bCs/>
          <w:sz w:val="20"/>
          <w:szCs w:val="20"/>
        </w:rPr>
        <w:t xml:space="preserve">[F.07] </w:t>
      </w:r>
      <w:r>
        <w:rPr>
          <w:rFonts w:ascii="Arial" w:cs="Arial" w:eastAsia="Arial" w:hAnsi="Arial"/>
          <w:b/>
          <w:bCs/>
          <w:sz w:val="20"/>
          <w:szCs w:val="20"/>
        </w:rPr>
        <w:t xml:space="preserve">Carry Forward Open Items — </w:t>
      </w:r>
      <w:r>
        <w:rPr>
          <w:rFonts w:ascii="Arial" w:cs="Arial" w:eastAsia="Arial" w:hAnsi="Arial"/>
          <w:sz w:val="20"/>
          <w:szCs w:val="20"/>
        </w:rPr>
        <w:t xml:space="preserve">Carry forward open AR and AP items to new fiscal year 2025-26.</w:t>
      </w:r>
    </w:p>
    <w:p>
      <w:pPr>
        <w:spacing w:after="80"/>
      </w:pPr>
      <w:r>
        <w:rPr>
          <w:rFonts w:ascii="Arial" w:cs="Arial" w:eastAsia="Arial" w:hAnsi="Arial"/>
          <w:b/>
          <w:bCs/>
          <w:color w:val="2E75B6"/>
          <w:sz w:val="20"/>
          <w:szCs w:val="20"/>
        </w:rPr>
        <w:t xml:space="preserve">Step 2: </w:t>
      </w:r>
      <w:r>
        <w:rPr>
          <w:rFonts w:ascii="Arial" w:cs="Arial" w:eastAsia="Arial" w:hAnsi="Arial"/>
          <w:b/>
          <w:bCs/>
          <w:sz w:val="20"/>
          <w:szCs w:val="20"/>
        </w:rPr>
        <w:t xml:space="preserve">[F.16] </w:t>
      </w:r>
      <w:r>
        <w:rPr>
          <w:rFonts w:ascii="Arial" w:cs="Arial" w:eastAsia="Arial" w:hAnsi="Arial"/>
          <w:b/>
          <w:bCs/>
          <w:sz w:val="20"/>
          <w:szCs w:val="20"/>
        </w:rPr>
        <w:t xml:space="preserve">GL Balance Carry Forward — </w:t>
      </w:r>
      <w:r>
        <w:rPr>
          <w:rFonts w:ascii="Arial" w:cs="Arial" w:eastAsia="Arial" w:hAnsi="Arial"/>
          <w:sz w:val="20"/>
          <w:szCs w:val="20"/>
        </w:rPr>
        <w:t xml:space="preserve">Transfer retained earnings and carry forward GL balances to FY 2026.</w:t>
      </w:r>
    </w:p>
    <w:p>
      <w:pPr>
        <w:spacing w:after="80"/>
      </w:pPr>
      <w:r>
        <w:rPr>
          <w:rFonts w:ascii="Arial" w:cs="Arial" w:eastAsia="Arial" w:hAnsi="Arial"/>
          <w:b/>
          <w:bCs/>
          <w:color w:val="2E75B6"/>
          <w:sz w:val="20"/>
          <w:szCs w:val="20"/>
        </w:rPr>
        <w:t xml:space="preserve">Step 3: </w:t>
      </w:r>
      <w:r>
        <w:rPr>
          <w:rFonts w:ascii="Arial" w:cs="Arial" w:eastAsia="Arial" w:hAnsi="Arial"/>
          <w:b/>
          <w:bCs/>
          <w:sz w:val="20"/>
          <w:szCs w:val="20"/>
        </w:rPr>
        <w:t xml:space="preserve">[OB52] </w:t>
      </w:r>
      <w:r>
        <w:rPr>
          <w:rFonts w:ascii="Arial" w:cs="Arial" w:eastAsia="Arial" w:hAnsi="Arial"/>
          <w:b/>
          <w:bCs/>
          <w:sz w:val="20"/>
          <w:szCs w:val="20"/>
        </w:rPr>
        <w:t xml:space="preserve">Close FY 2025 — </w:t>
      </w:r>
      <w:r>
        <w:rPr>
          <w:rFonts w:ascii="Arial" w:cs="Arial" w:eastAsia="Arial" w:hAnsi="Arial"/>
          <w:sz w:val="20"/>
          <w:szCs w:val="20"/>
        </w:rPr>
        <w:t xml:space="preserve">Lock all periods for FY 2025; open Period 1 for FY 2026.</w:t>
      </w:r>
    </w:p>
    <w:p>
      <w:pPr>
        <w:spacing w:after="80"/>
      </w:pPr>
      <w:r>
        <w:rPr>
          <w:rFonts w:ascii="Arial" w:cs="Arial" w:eastAsia="Arial" w:hAnsi="Arial"/>
          <w:b/>
          <w:bCs/>
          <w:color w:val="2E75B6"/>
          <w:sz w:val="20"/>
          <w:szCs w:val="20"/>
        </w:rPr>
        <w:t xml:space="preserve">Step 4: </w:t>
      </w:r>
      <w:r>
        <w:rPr>
          <w:rFonts w:ascii="Arial" w:cs="Arial" w:eastAsia="Arial" w:hAnsi="Arial"/>
          <w:b/>
          <w:bCs/>
          <w:sz w:val="20"/>
          <w:szCs w:val="20"/>
        </w:rPr>
        <w:t xml:space="preserve">[F.01] </w:t>
      </w:r>
      <w:r>
        <w:rPr>
          <w:rFonts w:ascii="Arial" w:cs="Arial" w:eastAsia="Arial" w:hAnsi="Arial"/>
          <w:b/>
          <w:bCs/>
          <w:sz w:val="20"/>
          <w:szCs w:val="20"/>
        </w:rPr>
        <w:t xml:space="preserve">Run Financial Statements — </w:t>
      </w:r>
      <w:r>
        <w:rPr>
          <w:rFonts w:ascii="Arial" w:cs="Arial" w:eastAsia="Arial" w:hAnsi="Arial"/>
          <w:sz w:val="20"/>
          <w:szCs w:val="20"/>
        </w:rPr>
        <w:t xml:space="preserve">Generate Balance Sheet and Profit &amp; Loss Statement for FY 2024-25.</w:t>
      </w:r>
    </w:p>
    <w:p>
      <w:pPr>
        <w:spacing w:after="80"/>
      </w:pPr>
      <w:r>
        <w:rPr>
          <w:rFonts w:ascii="Arial" w:cs="Arial" w:eastAsia="Arial" w:hAnsi="Arial"/>
          <w:b/>
          <w:bCs/>
          <w:color w:val="2E75B6"/>
          <w:sz w:val="20"/>
          <w:szCs w:val="20"/>
        </w:rPr>
        <w:t xml:space="preserve">Step 5: </w:t>
      </w:r>
      <w:r>
        <w:rPr>
          <w:rFonts w:ascii="Arial" w:cs="Arial" w:eastAsia="Arial" w:hAnsi="Arial"/>
          <w:b/>
          <w:bCs/>
          <w:sz w:val="20"/>
          <w:szCs w:val="20"/>
        </w:rPr>
        <w:t xml:space="preserve">[BDC Pipeline] </w:t>
      </w:r>
      <w:r>
        <w:rPr>
          <w:rFonts w:ascii="Arial" w:cs="Arial" w:eastAsia="Arial" w:hAnsi="Arial"/>
          <w:b/>
          <w:bCs/>
          <w:sz w:val="20"/>
          <w:szCs w:val="20"/>
        </w:rPr>
        <w:t xml:space="preserve">Trigger Year-End BDC Job — </w:t>
      </w:r>
      <w:r>
        <w:rPr>
          <w:rFonts w:ascii="Arial" w:cs="Arial" w:eastAsia="Arial" w:hAnsi="Arial"/>
          <w:sz w:val="20"/>
          <w:szCs w:val="20"/>
        </w:rPr>
        <w:t xml:space="preserve">Execute full-year replication to Datasphere; publish SAC Board report.</w:t>
      </w:r>
    </w:p>
    <w:p>
      <w:r>
        <w:br w:type="page"/>
      </w:r>
    </w:p>
    <w:p>
      <w:pPr>
        <w:pStyle w:val="Heading1"/>
        <w:spacing w:after="120" w:before="280"/>
      </w:pPr>
      <w:r>
        <w:rPr>
          <w:rFonts w:ascii="Arial" w:cs="Arial" w:eastAsia="Arial" w:hAnsi="Arial"/>
          <w:b/>
          <w:bCs/>
          <w:color w:val="1B3A6B"/>
          <w:sz w:val="28"/>
          <w:szCs w:val="28"/>
        </w:rPr>
        <w:t xml:space="preserve">6. Closing Journal Entries</w:t>
      </w:r>
    </w:p>
    <w:p>
      <w:pPr>
        <w:spacing w:after="80"/>
      </w:pPr>
      <w:r>
        <w:rPr>
          <w:rFonts w:ascii="Arial" w:cs="Arial" w:eastAsia="Arial" w:hAnsi="Arial"/>
          <w:b w:val="false"/>
          <w:bCs w:val="false"/>
          <w:sz w:val="20"/>
          <w:szCs w:val="20"/>
        </w:rPr>
        <w:t xml:space="preserve">The following journal entries are posted at year-end to ensure accurate financial statements. These are posted via T-Code FB50 (GL Document Entry) or automated via batch sessions.</w:t>
      </w:r>
    </w:p>
    <w:p>
      <w:pPr>
        <w:spacing w:after="12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900"/>
        <w:gridCol w:w="1400"/>
        <w:gridCol w:w="1400"/>
        <w:gridCol w:w="1400"/>
        <w:gridCol w:w="1260"/>
      </w:tblGrid>
      <w:tr>
        <w:tc>
          <w:tcPr>
            <w:tcW w:type="dxa" w:w="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Date</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Debit Account</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Dr Amount</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Credit Account</w:t>
            </w:r>
          </w:p>
        </w:tc>
        <w:tc>
          <w:tcPr>
            <w:tcW w:type="dxa" w:w="12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 Amount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Depreciation Accrual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31-Mar-25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500300 Dr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7"/>
                <w:szCs w:val="17"/>
              </w:rPr>
              <w:t xml:space="preserve">₹ 9,00,000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7"/>
                <w:szCs w:val="17"/>
              </w:rPr>
              <w:t xml:space="preserve">110100 Cr</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7"/>
                <w:szCs w:val="17"/>
              </w:rPr>
              <w:t xml:space="preserve">₹ 9,00,000</w:t>
            </w:r>
          </w:p>
        </w:tc>
      </w:tr>
      <w:tr>
        <w:tc>
          <w:tcPr>
            <w:tcW w:type="dxa" w:w="5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2</w:t>
            </w:r>
          </w:p>
        </w:tc>
        <w:tc>
          <w:tcPr>
            <w:tcW w:type="dxa" w:w="18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Accrued Salaries</w:t>
            </w:r>
          </w:p>
        </w:tc>
        <w:tc>
          <w:tcPr>
            <w:tcW w:type="dxa" w:w="9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31-Mar-25</w:t>
            </w:r>
          </w:p>
        </w:tc>
        <w:tc>
          <w:tcPr>
            <w:tcW w:type="dxa" w:w="14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500100 Dr</w:t>
            </w:r>
          </w:p>
        </w:tc>
        <w:tc>
          <w:tcPr>
            <w:tcW w:type="dxa" w:w="14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right"/>
            </w:pPr>
            <w:r>
              <w:rPr>
                <w:rFonts w:ascii="Arial" w:cs="Arial" w:eastAsia="Arial" w:hAnsi="Arial"/>
                <w:b w:val="false"/>
                <w:bCs w:val="false"/>
                <w:sz w:val="17"/>
                <w:szCs w:val="17"/>
              </w:rPr>
              <w:t xml:space="preserve">₹ 2,50,000</w:t>
            </w:r>
          </w:p>
        </w:tc>
        <w:tc>
          <w:tcPr>
            <w:tcW w:type="dxa" w:w="14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right"/>
            </w:pPr>
            <w:r>
              <w:rPr>
                <w:rFonts w:ascii="Arial" w:cs="Arial" w:eastAsia="Arial" w:hAnsi="Arial"/>
                <w:b w:val="false"/>
                <w:bCs w:val="false"/>
                <w:sz w:val="17"/>
                <w:szCs w:val="17"/>
              </w:rPr>
              <w:t xml:space="preserve">200200 Cr</w:t>
            </w:r>
          </w:p>
        </w:tc>
        <w:tc>
          <w:tcPr>
            <w:tcW w:type="dxa" w:w="126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right"/>
            </w:pPr>
            <w:r>
              <w:rPr>
                <w:rFonts w:ascii="Arial" w:cs="Arial" w:eastAsia="Arial" w:hAnsi="Arial"/>
                <w:b w:val="false"/>
                <w:bCs w:val="false"/>
                <w:sz w:val="17"/>
                <w:szCs w:val="17"/>
              </w:rPr>
              <w:t xml:space="preserve">₹ 2,50,000</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Deferred Revenue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31-Mar-25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400000 Dr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7"/>
                <w:szCs w:val="17"/>
              </w:rPr>
              <w:t xml:space="preserve">₹ 5,00,000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7"/>
                <w:szCs w:val="17"/>
              </w:rPr>
              <w:t xml:space="preserve">200200 Cr</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sz w:val="17"/>
                <w:szCs w:val="17"/>
              </w:rPr>
              <w:t xml:space="preserve">₹ 5,00,000</w:t>
            </w:r>
          </w:p>
        </w:tc>
      </w:tr>
      <w:tr>
        <w:tc>
          <w:tcPr>
            <w:tcW w:type="dxa" w:w="5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4</w:t>
            </w:r>
          </w:p>
        </w:tc>
        <w:tc>
          <w:tcPr>
            <w:tcW w:type="dxa" w:w="18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Close P&amp;L to RE</w:t>
            </w:r>
          </w:p>
        </w:tc>
        <w:tc>
          <w:tcPr>
            <w:tcW w:type="dxa" w:w="9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31-Mar-25</w:t>
            </w:r>
          </w:p>
        </w:tc>
        <w:tc>
          <w:tcPr>
            <w:tcW w:type="dxa" w:w="14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400000/400100 Dr</w:t>
            </w:r>
          </w:p>
        </w:tc>
        <w:tc>
          <w:tcPr>
            <w:tcW w:type="dxa" w:w="14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right"/>
            </w:pPr>
            <w:r>
              <w:rPr>
                <w:rFonts w:ascii="Arial" w:cs="Arial" w:eastAsia="Arial" w:hAnsi="Arial"/>
                <w:b w:val="false"/>
                <w:bCs w:val="false"/>
                <w:sz w:val="17"/>
                <w:szCs w:val="17"/>
              </w:rPr>
              <w:t xml:space="preserve">₹ 2,25,00,000</w:t>
            </w:r>
          </w:p>
        </w:tc>
        <w:tc>
          <w:tcPr>
            <w:tcW w:type="dxa" w:w="14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right"/>
            </w:pPr>
            <w:r>
              <w:rPr>
                <w:rFonts w:ascii="Arial" w:cs="Arial" w:eastAsia="Arial" w:hAnsi="Arial"/>
                <w:b w:val="false"/>
                <w:bCs w:val="false"/>
                <w:sz w:val="17"/>
                <w:szCs w:val="17"/>
              </w:rPr>
              <w:t xml:space="preserve">500xxx Cr + 300100</w:t>
            </w:r>
          </w:p>
        </w:tc>
        <w:tc>
          <w:tcPr>
            <w:tcW w:type="dxa" w:w="126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right"/>
            </w:pPr>
            <w:r>
              <w:rPr>
                <w:rFonts w:ascii="Arial" w:cs="Arial" w:eastAsia="Arial" w:hAnsi="Arial"/>
                <w:b w:val="false"/>
                <w:bCs w:val="false"/>
                <w:sz w:val="17"/>
                <w:szCs w:val="17"/>
              </w:rPr>
              <w:t xml:space="preserve">₹ 2,25,00,000</w:t>
            </w:r>
          </w:p>
        </w:tc>
      </w:tr>
    </w:tbl>
    <w:p>
      <w:r>
        <w:br w:type="page"/>
      </w:r>
    </w:p>
    <w:p>
      <w:pPr>
        <w:pStyle w:val="Heading1"/>
        <w:spacing w:after="120" w:before="280"/>
      </w:pPr>
      <w:r>
        <w:rPr>
          <w:rFonts w:ascii="Arial" w:cs="Arial" w:eastAsia="Arial" w:hAnsi="Arial"/>
          <w:b/>
          <w:bCs/>
          <w:color w:val="1B3A6B"/>
          <w:sz w:val="28"/>
          <w:szCs w:val="28"/>
        </w:rPr>
        <w:t xml:space="preserve">7. Custom ABAP Report — ZR2R_TRIAL_BALANCE</w:t>
      </w:r>
    </w:p>
    <w:p>
      <w:pPr>
        <w:pStyle w:val="Heading2"/>
        <w:spacing w:after="80" w:before="200"/>
      </w:pPr>
      <w:r>
        <w:rPr>
          <w:rFonts w:ascii="Arial" w:cs="Arial" w:eastAsia="Arial" w:hAnsi="Arial"/>
          <w:b/>
          <w:bCs/>
          <w:color w:val="2E75B6"/>
          <w:sz w:val="22"/>
          <w:szCs w:val="22"/>
        </w:rPr>
        <w:t xml:space="preserve">7.1 Report Overview</w:t>
      </w:r>
    </w:p>
    <w:p>
      <w:pPr>
        <w:spacing w:after="80"/>
      </w:pPr>
      <w:r>
        <w:rPr>
          <w:rFonts w:ascii="Arial" w:cs="Arial" w:eastAsia="Arial" w:hAnsi="Arial"/>
          <w:b w:val="false"/>
          <w:bCs w:val="false"/>
          <w:sz w:val="20"/>
          <w:szCs w:val="20"/>
        </w:rPr>
        <w:t xml:space="preserve">The custom ABAP report ZR2R_TRIAL_BALANCE is developed in SE38/SE80 to provide an ALV Grid-based trial balance specific to the R2R process. It extends the standard F.08 functionality with:</w:t>
      </w:r>
    </w:p>
    <w:p>
      <w:pPr>
        <w:pStyle w:val="ListParagraph"/>
        <w:numPr>
          <w:ilvl w:val="0"/>
          <w:numId w:val="2"/>
        </w:numPr>
        <w:spacing w:after="60"/>
      </w:pPr>
      <w:r>
        <w:rPr>
          <w:rFonts w:ascii="Arial" w:cs="Arial" w:eastAsia="Arial" w:hAnsi="Arial"/>
          <w:sz w:val="20"/>
          <w:szCs w:val="20"/>
        </w:rPr>
        <w:t xml:space="preserve">Company Code and Fiscal Year / Period selection screen</w:t>
      </w:r>
    </w:p>
    <w:p>
      <w:pPr>
        <w:pStyle w:val="ListParagraph"/>
        <w:numPr>
          <w:ilvl w:val="0"/>
          <w:numId w:val="2"/>
        </w:numPr>
        <w:spacing w:after="60"/>
      </w:pPr>
      <w:r>
        <w:rPr>
          <w:rFonts w:ascii="Arial" w:cs="Arial" w:eastAsia="Arial" w:hAnsi="Arial"/>
          <w:sz w:val="20"/>
          <w:szCs w:val="20"/>
        </w:rPr>
        <w:t xml:space="preserve">GL Account range and Account Type filters</w:t>
      </w:r>
    </w:p>
    <w:p>
      <w:pPr>
        <w:pStyle w:val="ListParagraph"/>
        <w:numPr>
          <w:ilvl w:val="0"/>
          <w:numId w:val="2"/>
        </w:numPr>
        <w:spacing w:after="60"/>
      </w:pPr>
      <w:r>
        <w:rPr>
          <w:rFonts w:ascii="Arial" w:cs="Arial" w:eastAsia="Arial" w:hAnsi="Arial"/>
          <w:sz w:val="20"/>
          <w:szCs w:val="20"/>
        </w:rPr>
        <w:t xml:space="preserve">Debit / Credit split with net balance calculation from GLT0 table</w:t>
      </w:r>
    </w:p>
    <w:p>
      <w:pPr>
        <w:pStyle w:val="ListParagraph"/>
        <w:numPr>
          <w:ilvl w:val="0"/>
          <w:numId w:val="2"/>
        </w:numPr>
        <w:spacing w:after="60"/>
      </w:pPr>
      <w:r>
        <w:rPr>
          <w:rFonts w:ascii="Arial" w:cs="Arial" w:eastAsia="Arial" w:hAnsi="Arial"/>
          <w:sz w:val="20"/>
          <w:szCs w:val="20"/>
        </w:rPr>
        <w:t xml:space="preserve">ALV Grid output with sort by Account Type and subtotals</w:t>
      </w:r>
    </w:p>
    <w:p>
      <w:pPr>
        <w:pStyle w:val="ListParagraph"/>
        <w:numPr>
          <w:ilvl w:val="0"/>
          <w:numId w:val="2"/>
        </w:numPr>
        <w:spacing w:after="60"/>
      </w:pPr>
      <w:r>
        <w:rPr>
          <w:rFonts w:ascii="Arial" w:cs="Arial" w:eastAsia="Arial" w:hAnsi="Arial"/>
          <w:sz w:val="20"/>
          <w:szCs w:val="20"/>
        </w:rPr>
        <w:t xml:space="preserve">Double-click navigation to FS10N (GL Account Balance) for drill-down</w:t>
      </w:r>
    </w:p>
    <w:p>
      <w:pPr>
        <w:pStyle w:val="ListParagraph"/>
        <w:numPr>
          <w:ilvl w:val="0"/>
          <w:numId w:val="2"/>
        </w:numPr>
        <w:spacing w:after="60"/>
      </w:pPr>
      <w:r>
        <w:rPr>
          <w:rFonts w:ascii="Arial" w:cs="Arial" w:eastAsia="Arial" w:hAnsi="Arial"/>
          <w:sz w:val="20"/>
          <w:szCs w:val="20"/>
        </w:rPr>
        <w:t xml:space="preserve">Top-of-page commentary showing company details and running totals</w:t>
      </w:r>
    </w:p>
    <w:p>
      <w:pPr>
        <w:spacing w:after="120"/>
      </w:pPr>
    </w:p>
    <w:p>
      <w:pPr>
        <w:pStyle w:val="Heading2"/>
        <w:spacing w:after="80" w:before="200"/>
      </w:pPr>
      <w:r>
        <w:rPr>
          <w:rFonts w:ascii="Arial" w:cs="Arial" w:eastAsia="Arial" w:hAnsi="Arial"/>
          <w:b/>
          <w:bCs/>
          <w:color w:val="2E75B6"/>
          <w:sz w:val="22"/>
          <w:szCs w:val="22"/>
        </w:rPr>
        <w:t xml:space="preserve">7.2 Key SAP Tables Used</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61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Table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Name</w:t>
            </w:r>
          </w:p>
        </w:tc>
        <w:tc>
          <w:tcPr>
            <w:tcW w:type="dxa" w:w="6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Usage in ZR2R_TRIAL_BALANCE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7"/>
                <w:szCs w:val="17"/>
              </w:rPr>
              <w:t xml:space="preserve">GLT0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GL Account Period Balances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Main source for cumulative debit/credit balances per period</w:t>
            </w:r>
          </w:p>
        </w:tc>
      </w:tr>
      <w:tr>
        <w:tc>
          <w:tcPr>
            <w:tcW w:type="dxa" w:w="12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bCs/>
                <w:sz w:val="17"/>
                <w:szCs w:val="17"/>
              </w:rPr>
              <w:t xml:space="preserve">SKA1</w:t>
            </w:r>
          </w:p>
        </w:tc>
        <w:tc>
          <w:tcPr>
            <w:tcW w:type="dxa" w:w="22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GL Account Master (CoA)</w:t>
            </w:r>
          </w:p>
        </w:tc>
        <w:tc>
          <w:tcPr>
            <w:tcW w:type="dxa" w:w="616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Fetches account type (KOART), account group</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7"/>
                <w:szCs w:val="17"/>
              </w:rPr>
              <w:t xml:space="preserve">SKAT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GL Account Short Text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Fetches account description (TXT50) in user language</w:t>
            </w:r>
          </w:p>
        </w:tc>
      </w:tr>
      <w:tr>
        <w:tc>
          <w:tcPr>
            <w:tcW w:type="dxa" w:w="12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bCs/>
                <w:sz w:val="17"/>
                <w:szCs w:val="17"/>
              </w:rPr>
              <w:t xml:space="preserve">T001</w:t>
            </w:r>
          </w:p>
        </w:tc>
        <w:tc>
          <w:tcPr>
            <w:tcW w:type="dxa" w:w="22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Company Code Master</w:t>
            </w:r>
          </w:p>
        </w:tc>
        <w:tc>
          <w:tcPr>
            <w:tcW w:type="dxa" w:w="616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Validates company code; gets chart of accounts (KTOPL)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7"/>
                <w:szCs w:val="17"/>
              </w:rPr>
              <w:t xml:space="preserve">BSEG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FI Document Segment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Used for drill-down line item analysis</w:t>
            </w:r>
          </w:p>
        </w:tc>
      </w:tr>
    </w:tbl>
    <w:p>
      <w:pPr>
        <w:spacing w:after="120"/>
      </w:pPr>
    </w:p>
    <w:p>
      <w:pPr>
        <w:pStyle w:val="Heading2"/>
        <w:spacing w:after="80" w:before="200"/>
      </w:pPr>
      <w:r>
        <w:rPr>
          <w:rFonts w:ascii="Arial" w:cs="Arial" w:eastAsia="Arial" w:hAnsi="Arial"/>
          <w:b/>
          <w:bCs/>
          <w:color w:val="2E75B6"/>
          <w:sz w:val="22"/>
          <w:szCs w:val="22"/>
        </w:rPr>
        <w:t xml:space="preserve">7.3 How to Deploy in SAP</w:t>
      </w:r>
    </w:p>
    <w:p>
      <w:pPr>
        <w:spacing w:after="80"/>
      </w:pPr>
      <w:r>
        <w:rPr>
          <w:rFonts w:ascii="Arial" w:cs="Arial" w:eastAsia="Arial" w:hAnsi="Arial"/>
          <w:b/>
          <w:bCs/>
          <w:color w:val="2E75B6"/>
          <w:sz w:val="20"/>
          <w:szCs w:val="20"/>
        </w:rPr>
        <w:t xml:space="preserve">Step 1: </w:t>
      </w:r>
      <w:r>
        <w:rPr>
          <w:rFonts w:ascii="Arial" w:cs="Arial" w:eastAsia="Arial" w:hAnsi="Arial"/>
          <w:b/>
          <w:bCs/>
          <w:sz w:val="20"/>
          <w:szCs w:val="20"/>
        </w:rPr>
        <w:t xml:space="preserve">[SE80] </w:t>
      </w:r>
      <w:r>
        <w:rPr>
          <w:rFonts w:ascii="Arial" w:cs="Arial" w:eastAsia="Arial" w:hAnsi="Arial"/>
          <w:b/>
          <w:bCs/>
          <w:sz w:val="20"/>
          <w:szCs w:val="20"/>
        </w:rPr>
        <w:t xml:space="preserve">Open Object Navigator — </w:t>
      </w:r>
      <w:r>
        <w:rPr>
          <w:rFonts w:ascii="Arial" w:cs="Arial" w:eastAsia="Arial" w:hAnsi="Arial"/>
          <w:sz w:val="20"/>
          <w:szCs w:val="20"/>
        </w:rPr>
        <w:t xml:space="preserve">Create a new program ZR2R_TRIAL_BALANCE under package ZFIN.</w:t>
      </w:r>
    </w:p>
    <w:p>
      <w:pPr>
        <w:spacing w:after="80"/>
      </w:pPr>
      <w:r>
        <w:rPr>
          <w:rFonts w:ascii="Arial" w:cs="Arial" w:eastAsia="Arial" w:hAnsi="Arial"/>
          <w:b/>
          <w:bCs/>
          <w:color w:val="2E75B6"/>
          <w:sz w:val="20"/>
          <w:szCs w:val="20"/>
        </w:rPr>
        <w:t xml:space="preserve">Step 2: </w:t>
      </w:r>
      <w:r>
        <w:rPr>
          <w:rFonts w:ascii="Arial" w:cs="Arial" w:eastAsia="Arial" w:hAnsi="Arial"/>
          <w:b/>
          <w:bCs/>
          <w:sz w:val="20"/>
          <w:szCs w:val="20"/>
        </w:rPr>
        <w:t xml:space="preserve">[SE38] </w:t>
      </w:r>
      <w:r>
        <w:rPr>
          <w:rFonts w:ascii="Arial" w:cs="Arial" w:eastAsia="Arial" w:hAnsi="Arial"/>
          <w:b/>
          <w:bCs/>
          <w:sz w:val="20"/>
          <w:szCs w:val="20"/>
        </w:rPr>
        <w:t xml:space="preserve">Paste ABAP Code — </w:t>
      </w:r>
      <w:r>
        <w:rPr>
          <w:rFonts w:ascii="Arial" w:cs="Arial" w:eastAsia="Arial" w:hAnsi="Arial"/>
          <w:sz w:val="20"/>
          <w:szCs w:val="20"/>
        </w:rPr>
        <w:t xml:space="preserve">Copy the full ABAP code from src/abap/ZR2R_TRIAL_BALANCE.abap and paste into the editor.</w:t>
      </w:r>
    </w:p>
    <w:p>
      <w:pPr>
        <w:spacing w:after="80"/>
      </w:pPr>
      <w:r>
        <w:rPr>
          <w:rFonts w:ascii="Arial" w:cs="Arial" w:eastAsia="Arial" w:hAnsi="Arial"/>
          <w:b/>
          <w:bCs/>
          <w:color w:val="2E75B6"/>
          <w:sz w:val="20"/>
          <w:szCs w:val="20"/>
        </w:rPr>
        <w:t xml:space="preserve">Step 3: </w:t>
      </w:r>
      <w:r>
        <w:rPr>
          <w:rFonts w:ascii="Arial" w:cs="Arial" w:eastAsia="Arial" w:hAnsi="Arial"/>
          <w:b/>
          <w:bCs/>
          <w:sz w:val="20"/>
          <w:szCs w:val="20"/>
        </w:rPr>
        <w:t xml:space="preserve">[Ctrl+F3] </w:t>
      </w:r>
      <w:r>
        <w:rPr>
          <w:rFonts w:ascii="Arial" w:cs="Arial" w:eastAsia="Arial" w:hAnsi="Arial"/>
          <w:b/>
          <w:bCs/>
          <w:sz w:val="20"/>
          <w:szCs w:val="20"/>
        </w:rPr>
        <w:t xml:space="preserve">Activate — </w:t>
      </w:r>
      <w:r>
        <w:rPr>
          <w:rFonts w:ascii="Arial" w:cs="Arial" w:eastAsia="Arial" w:hAnsi="Arial"/>
          <w:sz w:val="20"/>
          <w:szCs w:val="20"/>
        </w:rPr>
        <w:t xml:space="preserve">Activate the program — resolve any syntax errors for your system version.</w:t>
      </w:r>
    </w:p>
    <w:p>
      <w:pPr>
        <w:spacing w:after="80"/>
      </w:pPr>
      <w:r>
        <w:rPr>
          <w:rFonts w:ascii="Arial" w:cs="Arial" w:eastAsia="Arial" w:hAnsi="Arial"/>
          <w:b/>
          <w:bCs/>
          <w:color w:val="2E75B6"/>
          <w:sz w:val="20"/>
          <w:szCs w:val="20"/>
        </w:rPr>
        <w:t xml:space="preserve">Step 4: </w:t>
      </w:r>
      <w:r>
        <w:rPr>
          <w:rFonts w:ascii="Arial" w:cs="Arial" w:eastAsia="Arial" w:hAnsi="Arial"/>
          <w:b/>
          <w:bCs/>
          <w:sz w:val="20"/>
          <w:szCs w:val="20"/>
        </w:rPr>
        <w:t xml:space="preserve">[F8] </w:t>
      </w:r>
      <w:r>
        <w:rPr>
          <w:rFonts w:ascii="Arial" w:cs="Arial" w:eastAsia="Arial" w:hAnsi="Arial"/>
          <w:b/>
          <w:bCs/>
          <w:sz w:val="20"/>
          <w:szCs w:val="20"/>
        </w:rPr>
        <w:t xml:space="preserve">Execute — </w:t>
      </w:r>
      <w:r>
        <w:rPr>
          <w:rFonts w:ascii="Arial" w:cs="Arial" w:eastAsia="Arial" w:hAnsi="Arial"/>
          <w:sz w:val="20"/>
          <w:szCs w:val="20"/>
        </w:rPr>
        <w:t xml:space="preserve">Run the program; enter KAIL, 2025, 12 on the selection screen.</w:t>
      </w:r>
    </w:p>
    <w:p>
      <w:pPr>
        <w:spacing w:after="80"/>
      </w:pPr>
      <w:r>
        <w:rPr>
          <w:rFonts w:ascii="Arial" w:cs="Arial" w:eastAsia="Arial" w:hAnsi="Arial"/>
          <w:b/>
          <w:bCs/>
          <w:color w:val="2E75B6"/>
          <w:sz w:val="20"/>
          <w:szCs w:val="20"/>
        </w:rPr>
        <w:t xml:space="preserve">Step 5: </w:t>
      </w:r>
      <w:r>
        <w:rPr>
          <w:rFonts w:ascii="Arial" w:cs="Arial" w:eastAsia="Arial" w:hAnsi="Arial"/>
          <w:b/>
          <w:bCs/>
          <w:sz w:val="20"/>
          <w:szCs w:val="20"/>
        </w:rPr>
        <w:t xml:space="preserve">[ALV Grid] </w:t>
      </w:r>
      <w:r>
        <w:rPr>
          <w:rFonts w:ascii="Arial" w:cs="Arial" w:eastAsia="Arial" w:hAnsi="Arial"/>
          <w:b/>
          <w:bCs/>
          <w:sz w:val="20"/>
          <w:szCs w:val="20"/>
        </w:rPr>
        <w:t xml:space="preserve">Review Output — </w:t>
      </w:r>
      <w:r>
        <w:rPr>
          <w:rFonts w:ascii="Arial" w:cs="Arial" w:eastAsia="Arial" w:hAnsi="Arial"/>
          <w:sz w:val="20"/>
          <w:szCs w:val="20"/>
        </w:rPr>
        <w:t xml:space="preserve">The ALV grid shows trial balance sorted by account type with subtotals.</w:t>
      </w:r>
    </w:p>
    <w:p>
      <w:pPr>
        <w:spacing w:after="80"/>
      </w:pPr>
      <w:r>
        <w:rPr>
          <w:rFonts w:ascii="Arial" w:cs="Arial" w:eastAsia="Arial" w:hAnsi="Arial"/>
          <w:b/>
          <w:bCs/>
          <w:color w:val="2E75B6"/>
          <w:sz w:val="20"/>
          <w:szCs w:val="20"/>
        </w:rPr>
        <w:t xml:space="preserve">Step 6: </w:t>
      </w:r>
      <w:r>
        <w:rPr>
          <w:rFonts w:ascii="Arial" w:cs="Arial" w:eastAsia="Arial" w:hAnsi="Arial"/>
          <w:b/>
          <w:bCs/>
          <w:sz w:val="20"/>
          <w:szCs w:val="20"/>
        </w:rPr>
        <w:t xml:space="preserve">[Double-Click] </w:t>
      </w:r>
      <w:r>
        <w:rPr>
          <w:rFonts w:ascii="Arial" w:cs="Arial" w:eastAsia="Arial" w:hAnsi="Arial"/>
          <w:b/>
          <w:bCs/>
          <w:sz w:val="20"/>
          <w:szCs w:val="20"/>
        </w:rPr>
        <w:t xml:space="preserve">Drill Down — </w:t>
      </w:r>
      <w:r>
        <w:rPr>
          <w:rFonts w:ascii="Arial" w:cs="Arial" w:eastAsia="Arial" w:hAnsi="Arial"/>
          <w:sz w:val="20"/>
          <w:szCs w:val="20"/>
        </w:rPr>
        <w:t xml:space="preserve">Double-click any line to navigate to FS10N for that account's balance detail.</w:t>
      </w:r>
    </w:p>
    <w:p>
      <w:r>
        <w:br w:type="page"/>
      </w:r>
    </w:p>
    <w:p>
      <w:pPr>
        <w:pStyle w:val="Heading1"/>
        <w:spacing w:after="120" w:before="280"/>
      </w:pPr>
      <w:r>
        <w:rPr>
          <w:rFonts w:ascii="Arial" w:cs="Arial" w:eastAsia="Arial" w:hAnsi="Arial"/>
          <w:b/>
          <w:bCs/>
          <w:color w:val="1B3A6B"/>
          <w:sz w:val="28"/>
          <w:szCs w:val="28"/>
        </w:rPr>
        <w:t xml:space="preserve">8. SAP Business Data Cloud Integration</w:t>
      </w:r>
    </w:p>
    <w:p>
      <w:pPr>
        <w:spacing w:after="80"/>
      </w:pPr>
      <w:r>
        <w:rPr>
          <w:rFonts w:ascii="Arial" w:cs="Arial" w:eastAsia="Arial" w:hAnsi="Arial"/>
          <w:b w:val="false"/>
          <w:bCs w:val="false"/>
          <w:sz w:val="20"/>
          <w:szCs w:val="20"/>
        </w:rPr>
        <w:t xml:space="preserve">SAP Business Data Cloud (BDC) connects the R2R financial data in SAP S/4HANA to the SAP analytics ecosystem. This is the core of your course — the BDC layer enables unified, real-time financial reporting without manual data exports.</w:t>
      </w:r>
    </w:p>
    <w:p>
      <w:pPr>
        <w:spacing w:after="120"/>
      </w:pPr>
    </w:p>
    <w:p>
      <w:pPr>
        <w:pStyle w:val="Heading2"/>
        <w:spacing w:after="80" w:before="200"/>
      </w:pPr>
      <w:r>
        <w:rPr>
          <w:rFonts w:ascii="Arial" w:cs="Arial" w:eastAsia="Arial" w:hAnsi="Arial"/>
          <w:b/>
          <w:bCs/>
          <w:color w:val="2E75B6"/>
          <w:sz w:val="22"/>
          <w:szCs w:val="22"/>
        </w:rPr>
        <w:t xml:space="preserve">8.1 BDC Architecture for R2R</w:t>
      </w:r>
    </w:p>
    <w:p>
      <w:pPr>
        <w:pStyle w:val="ListParagraph"/>
        <w:numPr>
          <w:ilvl w:val="0"/>
          <w:numId w:val="2"/>
        </w:numPr>
        <w:spacing w:after="60"/>
      </w:pPr>
      <w:r>
        <w:rPr>
          <w:rFonts w:ascii="Arial" w:cs="Arial" w:eastAsia="Arial" w:hAnsi="Arial"/>
          <w:sz w:val="20"/>
          <w:szCs w:val="20"/>
        </w:rPr>
        <w:t xml:space="preserve">S/4HANA FI — Source system for all journal entries, GL balances, and financial statements</w:t>
      </w:r>
    </w:p>
    <w:p>
      <w:pPr>
        <w:pStyle w:val="ListParagraph"/>
        <w:numPr>
          <w:ilvl w:val="0"/>
          <w:numId w:val="2"/>
        </w:numPr>
        <w:spacing w:after="60"/>
      </w:pPr>
      <w:r>
        <w:rPr>
          <w:rFonts w:ascii="Arial" w:cs="Arial" w:eastAsia="Arial" w:hAnsi="Arial"/>
          <w:sz w:val="20"/>
          <w:szCs w:val="20"/>
        </w:rPr>
        <w:t xml:space="preserve">BDC Replication Pipeline — Automatically replicates CDS Views from S/4HANA to Datasphere</w:t>
      </w:r>
    </w:p>
    <w:p>
      <w:pPr>
        <w:pStyle w:val="ListParagraph"/>
        <w:numPr>
          <w:ilvl w:val="0"/>
          <w:numId w:val="2"/>
        </w:numPr>
        <w:spacing w:after="60"/>
      </w:pPr>
      <w:r>
        <w:rPr>
          <w:rFonts w:ascii="Arial" w:cs="Arial" w:eastAsia="Arial" w:hAnsi="Arial"/>
          <w:sz w:val="20"/>
          <w:szCs w:val="20"/>
        </w:rPr>
        <w:t xml:space="preserve">SAP Datasphere — Semantic layer; hosts Business Entities, Analytic Models, and Fact Sheets</w:t>
      </w:r>
    </w:p>
    <w:p>
      <w:pPr>
        <w:pStyle w:val="ListParagraph"/>
        <w:numPr>
          <w:ilvl w:val="0"/>
          <w:numId w:val="2"/>
        </w:numPr>
        <w:spacing w:after="60"/>
      </w:pPr>
      <w:r>
        <w:rPr>
          <w:rFonts w:ascii="Arial" w:cs="Arial" w:eastAsia="Arial" w:hAnsi="Arial"/>
          <w:sz w:val="20"/>
          <w:szCs w:val="20"/>
        </w:rPr>
        <w:t xml:space="preserve">SAP Analytics Cloud (SAC) — Consumes Datasphere models for dashboards and ad-hoc analysis</w:t>
      </w:r>
    </w:p>
    <w:p>
      <w:pPr>
        <w:spacing w:after="120"/>
      </w:pPr>
    </w:p>
    <w:p>
      <w:pPr>
        <w:pStyle w:val="Heading2"/>
        <w:spacing w:after="80" w:before="200"/>
      </w:pPr>
      <w:r>
        <w:rPr>
          <w:rFonts w:ascii="Arial" w:cs="Arial" w:eastAsia="Arial" w:hAnsi="Arial"/>
          <w:b/>
          <w:bCs/>
          <w:color w:val="2E75B6"/>
          <w:sz w:val="22"/>
          <w:szCs w:val="22"/>
        </w:rPr>
        <w:t xml:space="preserve">8.2 Key CDS Views for R2R</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636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CDS View / Object</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Purpose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7"/>
                <w:szCs w:val="17"/>
              </w:rPr>
              <w:t xml:space="preserve">C_GLACCTBAL_Q0001</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GL Account Balance Query — aggregated by period, account, and company code</w:t>
            </w:r>
          </w:p>
        </w:tc>
      </w:tr>
      <w:tr>
        <w:tc>
          <w:tcPr>
            <w:tcW w:type="dxa" w:w="32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bCs/>
                <w:sz w:val="17"/>
                <w:szCs w:val="17"/>
              </w:rPr>
              <w:t xml:space="preserve">C_TRIALBCQ0001</w:t>
            </w:r>
          </w:p>
        </w:tc>
        <w:tc>
          <w:tcPr>
            <w:tcW w:type="dxa" w:w="636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Trial Balance Query — full debit/credit split view for all GL accounts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7"/>
                <w:szCs w:val="17"/>
              </w:rPr>
              <w:t xml:space="preserve">I_GLACCOUNT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GL Account Interface View — master data for accounts (joins SKA1 + SKAT)</w:t>
            </w:r>
          </w:p>
        </w:tc>
      </w:tr>
      <w:tr>
        <w:tc>
          <w:tcPr>
            <w:tcW w:type="dxa" w:w="32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bCs/>
                <w:sz w:val="17"/>
                <w:szCs w:val="17"/>
              </w:rPr>
              <w:t xml:space="preserve">C_FINSTATEMENT_Q0001</w:t>
            </w:r>
          </w:p>
        </w:tc>
        <w:tc>
          <w:tcPr>
            <w:tcW w:type="dxa" w:w="636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Financial Statement Query — Balance Sheet and P&amp;L structure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7"/>
                <w:szCs w:val="17"/>
              </w:rPr>
              <w:t xml:space="preserve">I_JOURNALENTRY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Journal Entry Interface — individual posting lines for audit trail</w:t>
            </w:r>
          </w:p>
        </w:tc>
      </w:tr>
    </w:tbl>
    <w:p>
      <w:pPr>
        <w:spacing w:after="120"/>
      </w:pPr>
    </w:p>
    <w:p>
      <w:pPr>
        <w:pStyle w:val="Heading2"/>
        <w:spacing w:after="80" w:before="200"/>
      </w:pPr>
      <w:r>
        <w:rPr>
          <w:rFonts w:ascii="Arial" w:cs="Arial" w:eastAsia="Arial" w:hAnsi="Arial"/>
          <w:b/>
          <w:bCs/>
          <w:color w:val="2E75B6"/>
          <w:sz w:val="22"/>
          <w:szCs w:val="22"/>
        </w:rPr>
        <w:t xml:space="preserve">8.3 SAC Dashboard Components</w:t>
      </w:r>
    </w:p>
    <w:p>
      <w:pPr>
        <w:pStyle w:val="ListParagraph"/>
        <w:numPr>
          <w:ilvl w:val="0"/>
          <w:numId w:val="2"/>
        </w:numPr>
        <w:spacing w:after="60"/>
      </w:pPr>
      <w:r>
        <w:rPr>
          <w:rFonts w:ascii="Arial" w:cs="Arial" w:eastAsia="Arial" w:hAnsi="Arial"/>
          <w:sz w:val="20"/>
          <w:szCs w:val="20"/>
        </w:rPr>
        <w:t xml:space="preserve">Trial Balance Dashboard — Real-time balance view with period filter and account type breakdown</w:t>
      </w:r>
    </w:p>
    <w:p>
      <w:pPr>
        <w:pStyle w:val="ListParagraph"/>
        <w:numPr>
          <w:ilvl w:val="0"/>
          <w:numId w:val="2"/>
        </w:numPr>
        <w:spacing w:after="60"/>
      </w:pPr>
      <w:r>
        <w:rPr>
          <w:rFonts w:ascii="Arial" w:cs="Arial" w:eastAsia="Arial" w:hAnsi="Arial"/>
          <w:sz w:val="20"/>
          <w:szCs w:val="20"/>
        </w:rPr>
        <w:t xml:space="preserve">P&amp;L Variance Report — Actual vs. Budget comparison for revenue and expense accounts</w:t>
      </w:r>
    </w:p>
    <w:p>
      <w:pPr>
        <w:pStyle w:val="ListParagraph"/>
        <w:numPr>
          <w:ilvl w:val="0"/>
          <w:numId w:val="2"/>
        </w:numPr>
        <w:spacing w:after="60"/>
      </w:pPr>
      <w:r>
        <w:rPr>
          <w:rFonts w:ascii="Arial" w:cs="Arial" w:eastAsia="Arial" w:hAnsi="Arial"/>
          <w:sz w:val="20"/>
          <w:szCs w:val="20"/>
        </w:rPr>
        <w:t xml:space="preserve">Cash Flow Monitor — Real-time cash position from GL account 100000</w:t>
      </w:r>
    </w:p>
    <w:p>
      <w:pPr>
        <w:pStyle w:val="ListParagraph"/>
        <w:numPr>
          <w:ilvl w:val="0"/>
          <w:numId w:val="2"/>
        </w:numPr>
        <w:spacing w:after="60"/>
      </w:pPr>
      <w:r>
        <w:rPr>
          <w:rFonts w:ascii="Arial" w:cs="Arial" w:eastAsia="Arial" w:hAnsi="Arial"/>
          <w:sz w:val="20"/>
          <w:szCs w:val="20"/>
        </w:rPr>
        <w:t xml:space="preserve">Period-End Status Tracker — Checklist dashboard showing completion status of all closing activities</w:t>
      </w:r>
    </w:p>
    <w:p>
      <w:pPr>
        <w:pStyle w:val="ListParagraph"/>
        <w:numPr>
          <w:ilvl w:val="0"/>
          <w:numId w:val="2"/>
        </w:numPr>
        <w:spacing w:after="60"/>
      </w:pPr>
      <w:r>
        <w:rPr>
          <w:rFonts w:ascii="Arial" w:cs="Arial" w:eastAsia="Arial" w:hAnsi="Arial"/>
          <w:sz w:val="20"/>
          <w:szCs w:val="20"/>
        </w:rPr>
        <w:t xml:space="preserve">Automated Alerts — Triggered when any account balance deviates more than 5% from plan</w:t>
      </w:r>
    </w:p>
    <w:p>
      <w:r>
        <w:br w:type="page"/>
      </w:r>
    </w:p>
    <w:p>
      <w:pPr>
        <w:pStyle w:val="Heading1"/>
        <w:spacing w:after="120" w:before="280"/>
      </w:pPr>
      <w:r>
        <w:rPr>
          <w:rFonts w:ascii="Arial" w:cs="Arial" w:eastAsia="Arial" w:hAnsi="Arial"/>
          <w:b/>
          <w:bCs/>
          <w:color w:val="1B3A6B"/>
          <w:sz w:val="28"/>
          <w:szCs w:val="28"/>
        </w:rPr>
        <w:t xml:space="preserve">9. SQL Scripts — SAP HANA / Datasphere</w:t>
      </w:r>
    </w:p>
    <w:p>
      <w:pPr>
        <w:spacing w:after="80"/>
      </w:pPr>
      <w:r>
        <w:rPr>
          <w:rFonts w:ascii="Arial" w:cs="Arial" w:eastAsia="Arial" w:hAnsi="Arial"/>
          <w:b w:val="false"/>
          <w:bCs w:val="false"/>
          <w:sz w:val="20"/>
          <w:szCs w:val="20"/>
        </w:rPr>
        <w:t xml:space="preserve">The following SQL scripts are used to extract R2R data from SAP HANA (via SAP HANA Studio or DBeaver) or from SAP Datasphere. These scripts are included in the GitHub repository under src/sql/.</w:t>
      </w:r>
    </w:p>
    <w:p>
      <w:pPr>
        <w:spacing w:after="80"/>
      </w:pPr>
    </w:p>
    <w:p>
      <w:pPr>
        <w:spacing w:after="80"/>
      </w:pPr>
      <w:r>
        <w:rPr>
          <w:rFonts w:ascii="Arial" w:cs="Arial" w:eastAsia="Arial" w:hAnsi="Arial"/>
          <w:b/>
          <w:bCs/>
          <w:sz w:val="20"/>
          <w:szCs w:val="20"/>
        </w:rPr>
        <w:t xml:space="preserve">Script 1: Trial Balance Extraction (r2r_queries.sql — Query 1)</w:t>
      </w:r>
    </w:p>
    <w:p>
      <w:pPr>
        <w:spacing w:after="80"/>
      </w:pPr>
      <w:r>
        <w:rPr>
          <w:rFonts w:ascii="Arial" w:cs="Arial" w:eastAsia="Arial" w:hAnsi="Arial"/>
          <w:b w:val="false"/>
          <w:bCs w:val="false"/>
          <w:sz w:val="20"/>
          <w:szCs w:val="20"/>
        </w:rPr>
        <w:t xml:space="preserve">Extracts cumulative GL account balances from GLT0 for the selected company code and fiscal year. Calculates debit and credit splits and joins with SKAT for account descriptions.</w:t>
      </w:r>
    </w:p>
    <w:p>
      <w:pPr>
        <w:spacing w:after="80"/>
      </w:pPr>
    </w:p>
    <w:p>
      <w:pPr>
        <w:spacing w:after="80"/>
      </w:pPr>
      <w:r>
        <w:rPr>
          <w:rFonts w:ascii="Arial" w:cs="Arial" w:eastAsia="Arial" w:hAnsi="Arial"/>
          <w:b/>
          <w:bCs/>
          <w:sz w:val="20"/>
          <w:szCs w:val="20"/>
        </w:rPr>
        <w:t xml:space="preserve">Script 2: Accounts Receivable Aging (r2r_queries.sql — Query 2)</w:t>
      </w:r>
    </w:p>
    <w:p>
      <w:pPr>
        <w:spacing w:after="80"/>
      </w:pPr>
      <w:r>
        <w:rPr>
          <w:rFonts w:ascii="Arial" w:cs="Arial" w:eastAsia="Arial" w:hAnsi="Arial"/>
          <w:b w:val="false"/>
          <w:bCs w:val="false"/>
          <w:sz w:val="20"/>
          <w:szCs w:val="20"/>
        </w:rPr>
        <w:t xml:space="preserve">Queries BSID for open customer items and calculates aging buckets (Not Due / 1-30 / 31-60 / 61-90 / Over 90 days) based on due date vs. current date.</w:t>
      </w:r>
    </w:p>
    <w:p>
      <w:pPr>
        <w:spacing w:after="80"/>
      </w:pPr>
    </w:p>
    <w:p>
      <w:pPr>
        <w:spacing w:after="80"/>
      </w:pPr>
      <w:r>
        <w:rPr>
          <w:rFonts w:ascii="Arial" w:cs="Arial" w:eastAsia="Arial" w:hAnsi="Arial"/>
          <w:b/>
          <w:bCs/>
          <w:sz w:val="20"/>
          <w:szCs w:val="20"/>
        </w:rPr>
        <w:t xml:space="preserve">Script 3: GR/IR Reconciliation (r2r_queries.sql — Query 3)</w:t>
      </w:r>
    </w:p>
    <w:p>
      <w:pPr>
        <w:spacing w:after="80"/>
      </w:pPr>
      <w:r>
        <w:rPr>
          <w:rFonts w:ascii="Arial" w:cs="Arial" w:eastAsia="Arial" w:hAnsi="Arial"/>
          <w:b w:val="false"/>
          <w:bCs w:val="false"/>
          <w:sz w:val="20"/>
          <w:szCs w:val="20"/>
        </w:rPr>
        <w:t xml:space="preserve">Joins MSEG (goods receipt) with RSEG/RBKP (vendor invoice) to identify GR/IR mismatches that must be cleared before period close using T-Code MR11.</w:t>
      </w:r>
    </w:p>
    <w:p>
      <w:pPr>
        <w:spacing w:after="80"/>
      </w:pPr>
    </w:p>
    <w:p>
      <w:pPr>
        <w:spacing w:after="80"/>
      </w:pPr>
      <w:r>
        <w:rPr>
          <w:rFonts w:ascii="Arial" w:cs="Arial" w:eastAsia="Arial" w:hAnsi="Arial"/>
          <w:b/>
          <w:bCs/>
          <w:sz w:val="20"/>
          <w:szCs w:val="20"/>
        </w:rPr>
        <w:t xml:space="preserve">Script 4: Intercompany Balance Check (r2r_queries.sql — Query 4)</w:t>
      </w:r>
    </w:p>
    <w:p>
      <w:pPr>
        <w:spacing w:after="80"/>
      </w:pPr>
      <w:r>
        <w:rPr>
          <w:rFonts w:ascii="Arial" w:cs="Arial" w:eastAsia="Arial" w:hAnsi="Arial"/>
          <w:b w:val="false"/>
          <w:bCs w:val="false"/>
          <w:sz w:val="20"/>
          <w:szCs w:val="20"/>
        </w:rPr>
        <w:t xml:space="preserve">Aggregates BSEG intercompany postings by trading partner and GL account to identify unreconciled intercompany balances that must be resolved at month-end.</w:t>
      </w:r>
    </w:p>
    <w:p>
      <w:r>
        <w:br w:type="page"/>
      </w:r>
    </w:p>
    <w:p>
      <w:pPr>
        <w:pStyle w:val="Heading1"/>
        <w:spacing w:after="120" w:before="280"/>
      </w:pPr>
      <w:r>
        <w:rPr>
          <w:rFonts w:ascii="Arial" w:cs="Arial" w:eastAsia="Arial" w:hAnsi="Arial"/>
          <w:b/>
          <w:bCs/>
          <w:color w:val="1B3A6B"/>
          <w:sz w:val="28"/>
          <w:szCs w:val="28"/>
        </w:rPr>
        <w:t xml:space="preserve">10. GitHub Repository &amp; Version Control</w:t>
      </w:r>
    </w:p>
    <w:p>
      <w:pPr>
        <w:pStyle w:val="Heading2"/>
        <w:spacing w:after="80" w:before="200"/>
      </w:pPr>
      <w:r>
        <w:rPr>
          <w:rFonts w:ascii="Arial" w:cs="Arial" w:eastAsia="Arial" w:hAnsi="Arial"/>
          <w:b/>
          <w:bCs/>
          <w:color w:val="2E75B6"/>
          <w:sz w:val="22"/>
          <w:szCs w:val="22"/>
        </w:rPr>
        <w:t xml:space="preserve">10.1 Repository Structure</w:t>
      </w:r>
    </w:p>
    <w:p>
      <w:pPr>
        <w:spacing w:after="80"/>
      </w:pPr>
      <w:r>
        <w:rPr>
          <w:rFonts w:ascii="Arial" w:cs="Arial" w:eastAsia="Arial" w:hAnsi="Arial"/>
          <w:b w:val="false"/>
          <w:bCs w:val="false"/>
          <w:sz w:val="20"/>
          <w:szCs w:val="20"/>
        </w:rPr>
        <w:t xml:space="preserve">Repository URL: https://github.com/YOUR_USERNAME/kiit-sap-r2r-project</w:t>
      </w:r>
    </w:p>
    <w:p>
      <w:pPr>
        <w:spacing w:after="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65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File / Folder</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Contents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7"/>
                <w:szCs w:val="17"/>
              </w:rPr>
              <w:t xml:space="preserve">README.md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Complete project guide, process flow, setup instructions, and tool list</w:t>
            </w:r>
          </w:p>
        </w:tc>
      </w:tr>
      <w:tr>
        <w:tc>
          <w:tcPr>
            <w:tcW w:type="dxa" w:w="30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bCs/>
                <w:sz w:val="17"/>
                <w:szCs w:val="17"/>
              </w:rPr>
              <w:t xml:space="preserve">src/abap/ZR2R_TRIAL_BALANCE.abap</w:t>
            </w:r>
          </w:p>
        </w:tc>
        <w:tc>
          <w:tcPr>
            <w:tcW w:type="dxa" w:w="656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Full ABAP source code for the custom trial balance ALV report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7"/>
                <w:szCs w:val="17"/>
              </w:rPr>
              <w:t xml:space="preserve">src/python/r2r_simulation.py</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Python R2R simulation: trial balance, PDF report, Excel export</w:t>
            </w:r>
          </w:p>
        </w:tc>
      </w:tr>
      <w:tr>
        <w:tc>
          <w:tcPr>
            <w:tcW w:type="dxa" w:w="30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bCs/>
                <w:sz w:val="17"/>
                <w:szCs w:val="17"/>
              </w:rPr>
              <w:t xml:space="preserve">src/sql/r2r_queries.sql</w:t>
            </w:r>
          </w:p>
        </w:tc>
        <w:tc>
          <w:tcPr>
            <w:tcW w:type="dxa" w:w="656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SAP HANA / Datasphere SQL scripts for GL, AR, GR-IR, and IC queries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7"/>
                <w:szCs w:val="17"/>
              </w:rPr>
              <w:t xml:space="preserve">config/company_config.json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Company master data configuration in JSON format</w:t>
            </w:r>
          </w:p>
        </w:tc>
      </w:tr>
      <w:tr>
        <w:tc>
          <w:tcPr>
            <w:tcW w:type="dxa" w:w="30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bCs/>
                <w:sz w:val="17"/>
                <w:szCs w:val="17"/>
              </w:rPr>
              <w:t xml:space="preserve">data/sample/trial_balance_sample.csv</w:t>
            </w:r>
          </w:p>
        </w:tc>
        <w:tc>
          <w:tcPr>
            <w:tcW w:type="dxa" w:w="656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Sample trial balance CSV for testing and reference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7"/>
                <w:szCs w:val="17"/>
              </w:rPr>
              <w:t xml:space="preserve">docs/R2R_Project_Report.docx</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This Word document — full project report</w:t>
            </w:r>
          </w:p>
        </w:tc>
      </w:tr>
      <w:tr>
        <w:tc>
          <w:tcPr>
            <w:tcW w:type="dxa" w:w="30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bCs/>
                <w:sz w:val="17"/>
                <w:szCs w:val="17"/>
              </w:rPr>
              <w:t xml:space="preserve">docs/R2R_Project_Report.pdf</w:t>
            </w:r>
          </w:p>
        </w:tc>
        <w:tc>
          <w:tcPr>
            <w:tcW w:type="dxa" w:w="656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PDF version of the project report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7"/>
                <w:szCs w:val="17"/>
              </w:rPr>
              <w:t xml:space="preserve">.gitignore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Ignores: output/, __pycache__/, *.pyc, .DS_Store</w:t>
            </w:r>
          </w:p>
        </w:tc>
      </w:tr>
    </w:tbl>
    <w:p>
      <w:pPr>
        <w:spacing w:after="120"/>
      </w:pPr>
    </w:p>
    <w:p>
      <w:pPr>
        <w:pStyle w:val="Heading2"/>
        <w:spacing w:after="80" w:before="200"/>
      </w:pPr>
      <w:r>
        <w:rPr>
          <w:rFonts w:ascii="Arial" w:cs="Arial" w:eastAsia="Arial" w:hAnsi="Arial"/>
          <w:b/>
          <w:bCs/>
          <w:color w:val="2E75B6"/>
          <w:sz w:val="22"/>
          <w:szCs w:val="22"/>
        </w:rPr>
        <w:t xml:space="preserve">10.2 How to Push to GitHub (Step-by-Step)</w:t>
      </w:r>
    </w:p>
    <w:p>
      <w:pPr>
        <w:spacing w:after="80"/>
      </w:pPr>
      <w:r>
        <w:rPr>
          <w:rFonts w:ascii="Arial" w:cs="Arial" w:eastAsia="Arial" w:hAnsi="Arial"/>
          <w:b/>
          <w:bCs/>
          <w:color w:val="2E75B6"/>
          <w:sz w:val="20"/>
          <w:szCs w:val="20"/>
        </w:rPr>
        <w:t xml:space="preserve">Step 1: </w:t>
      </w:r>
      <w:r>
        <w:rPr>
          <w:rFonts w:ascii="Arial" w:cs="Arial" w:eastAsia="Arial" w:hAnsi="Arial"/>
          <w:b/>
          <w:bCs/>
          <w:sz w:val="20"/>
          <w:szCs w:val="20"/>
        </w:rPr>
        <w:t xml:space="preserve">[git init] </w:t>
      </w:r>
      <w:r>
        <w:rPr>
          <w:rFonts w:ascii="Arial" w:cs="Arial" w:eastAsia="Arial" w:hAnsi="Arial"/>
          <w:b/>
          <w:bCs/>
          <w:sz w:val="20"/>
          <w:szCs w:val="20"/>
        </w:rPr>
        <w:t xml:space="preserve">Initialize Repository — </w:t>
      </w:r>
      <w:r>
        <w:rPr>
          <w:rFonts w:ascii="Arial" w:cs="Arial" w:eastAsia="Arial" w:hAnsi="Arial"/>
          <w:sz w:val="20"/>
          <w:szCs w:val="20"/>
        </w:rPr>
        <w:t xml:space="preserve">Open Terminal / Command Prompt in the project folder. Run: git init</w:t>
      </w:r>
    </w:p>
    <w:p>
      <w:pPr>
        <w:spacing w:after="80"/>
      </w:pPr>
      <w:r>
        <w:rPr>
          <w:rFonts w:ascii="Arial" w:cs="Arial" w:eastAsia="Arial" w:hAnsi="Arial"/>
          <w:b/>
          <w:bCs/>
          <w:color w:val="2E75B6"/>
          <w:sz w:val="20"/>
          <w:szCs w:val="20"/>
        </w:rPr>
        <w:t xml:space="preserve">Step 2: </w:t>
      </w:r>
      <w:r>
        <w:rPr>
          <w:rFonts w:ascii="Arial" w:cs="Arial" w:eastAsia="Arial" w:hAnsi="Arial"/>
          <w:b/>
          <w:bCs/>
          <w:sz w:val="20"/>
          <w:szCs w:val="20"/>
        </w:rPr>
        <w:t xml:space="preserve">[github.com] </w:t>
      </w:r>
      <w:r>
        <w:rPr>
          <w:rFonts w:ascii="Arial" w:cs="Arial" w:eastAsia="Arial" w:hAnsi="Arial"/>
          <w:b/>
          <w:bCs/>
          <w:sz w:val="20"/>
          <w:szCs w:val="20"/>
        </w:rPr>
        <w:t xml:space="preserve">Create GitHub Repository — </w:t>
      </w:r>
      <w:r>
        <w:rPr>
          <w:rFonts w:ascii="Arial" w:cs="Arial" w:eastAsia="Arial" w:hAnsi="Arial"/>
          <w:sz w:val="20"/>
          <w:szCs w:val="20"/>
        </w:rPr>
        <w:t xml:space="preserve">Go to github.com → New Repository → Name: kiit-sap-r2r-project → Create (do not initialize with README).</w:t>
      </w:r>
    </w:p>
    <w:p>
      <w:pPr>
        <w:spacing w:after="80"/>
      </w:pPr>
      <w:r>
        <w:rPr>
          <w:rFonts w:ascii="Arial" w:cs="Arial" w:eastAsia="Arial" w:hAnsi="Arial"/>
          <w:b/>
          <w:bCs/>
          <w:color w:val="2E75B6"/>
          <w:sz w:val="20"/>
          <w:szCs w:val="20"/>
        </w:rPr>
        <w:t xml:space="preserve">Step 3: </w:t>
      </w:r>
      <w:r>
        <w:rPr>
          <w:rFonts w:ascii="Arial" w:cs="Arial" w:eastAsia="Arial" w:hAnsi="Arial"/>
          <w:b/>
          <w:bCs/>
          <w:sz w:val="20"/>
          <w:szCs w:val="20"/>
        </w:rPr>
        <w:t xml:space="preserve">[git remote add] </w:t>
      </w:r>
      <w:r>
        <w:rPr>
          <w:rFonts w:ascii="Arial" w:cs="Arial" w:eastAsia="Arial" w:hAnsi="Arial"/>
          <w:b/>
          <w:bCs/>
          <w:sz w:val="20"/>
          <w:szCs w:val="20"/>
        </w:rPr>
        <w:t xml:space="preserve">Connect to GitHub — </w:t>
      </w:r>
      <w:r>
        <w:rPr>
          <w:rFonts w:ascii="Arial" w:cs="Arial" w:eastAsia="Arial" w:hAnsi="Arial"/>
          <w:sz w:val="20"/>
          <w:szCs w:val="20"/>
        </w:rPr>
        <w:t xml:space="preserve">Run: git remote add origin https://github.com/YOUR_USERNAME/kiit-sap-r2r-project.git</w:t>
      </w:r>
    </w:p>
    <w:p>
      <w:pPr>
        <w:spacing w:after="80"/>
      </w:pPr>
      <w:r>
        <w:rPr>
          <w:rFonts w:ascii="Arial" w:cs="Arial" w:eastAsia="Arial" w:hAnsi="Arial"/>
          <w:b/>
          <w:bCs/>
          <w:color w:val="2E75B6"/>
          <w:sz w:val="20"/>
          <w:szCs w:val="20"/>
        </w:rPr>
        <w:t xml:space="preserve">Step 4: </w:t>
      </w:r>
      <w:r>
        <w:rPr>
          <w:rFonts w:ascii="Arial" w:cs="Arial" w:eastAsia="Arial" w:hAnsi="Arial"/>
          <w:b/>
          <w:bCs/>
          <w:sz w:val="20"/>
          <w:szCs w:val="20"/>
        </w:rPr>
        <w:t xml:space="preserve">[git add .] </w:t>
      </w:r>
      <w:r>
        <w:rPr>
          <w:rFonts w:ascii="Arial" w:cs="Arial" w:eastAsia="Arial" w:hAnsi="Arial"/>
          <w:b/>
          <w:bCs/>
          <w:sz w:val="20"/>
          <w:szCs w:val="20"/>
        </w:rPr>
        <w:t xml:space="preserve">Stage All Files — </w:t>
      </w:r>
      <w:r>
        <w:rPr>
          <w:rFonts w:ascii="Arial" w:cs="Arial" w:eastAsia="Arial" w:hAnsi="Arial"/>
          <w:sz w:val="20"/>
          <w:szCs w:val="20"/>
        </w:rPr>
        <w:t xml:space="preserve">Run: git add . (stages all files; .gitignore excludes the output/ folder)</w:t>
      </w:r>
    </w:p>
    <w:p>
      <w:pPr>
        <w:spacing w:after="80"/>
      </w:pPr>
      <w:r>
        <w:rPr>
          <w:rFonts w:ascii="Arial" w:cs="Arial" w:eastAsia="Arial" w:hAnsi="Arial"/>
          <w:b/>
          <w:bCs/>
          <w:color w:val="2E75B6"/>
          <w:sz w:val="20"/>
          <w:szCs w:val="20"/>
        </w:rPr>
        <w:t xml:space="preserve">Step 5: </w:t>
      </w:r>
      <w:r>
        <w:rPr>
          <w:rFonts w:ascii="Arial" w:cs="Arial" w:eastAsia="Arial" w:hAnsi="Arial"/>
          <w:b/>
          <w:bCs/>
          <w:sz w:val="20"/>
          <w:szCs w:val="20"/>
        </w:rPr>
        <w:t xml:space="preserve">[git commit] </w:t>
      </w:r>
      <w:r>
        <w:rPr>
          <w:rFonts w:ascii="Arial" w:cs="Arial" w:eastAsia="Arial" w:hAnsi="Arial"/>
          <w:b/>
          <w:bCs/>
          <w:sz w:val="20"/>
          <w:szCs w:val="20"/>
        </w:rPr>
        <w:t xml:space="preserve">Commit with Message — </w:t>
      </w:r>
      <w:r>
        <w:rPr>
          <w:rFonts w:ascii="Arial" w:cs="Arial" w:eastAsia="Arial" w:hAnsi="Arial"/>
          <w:sz w:val="20"/>
          <w:szCs w:val="20"/>
        </w:rPr>
        <w:t xml:space="preserve">Run: git commit -m "Initial commit: KIIT SAP R2R Project — FY 2024-25"</w:t>
      </w:r>
    </w:p>
    <w:p>
      <w:pPr>
        <w:spacing w:after="80"/>
      </w:pPr>
      <w:r>
        <w:rPr>
          <w:rFonts w:ascii="Arial" w:cs="Arial" w:eastAsia="Arial" w:hAnsi="Arial"/>
          <w:b/>
          <w:bCs/>
          <w:color w:val="2E75B6"/>
          <w:sz w:val="20"/>
          <w:szCs w:val="20"/>
        </w:rPr>
        <w:t xml:space="preserve">Step 6: </w:t>
      </w:r>
      <w:r>
        <w:rPr>
          <w:rFonts w:ascii="Arial" w:cs="Arial" w:eastAsia="Arial" w:hAnsi="Arial"/>
          <w:b/>
          <w:bCs/>
          <w:sz w:val="20"/>
          <w:szCs w:val="20"/>
        </w:rPr>
        <w:t xml:space="preserve">[git push] </w:t>
      </w:r>
      <w:r>
        <w:rPr>
          <w:rFonts w:ascii="Arial" w:cs="Arial" w:eastAsia="Arial" w:hAnsi="Arial"/>
          <w:b/>
          <w:bCs/>
          <w:sz w:val="20"/>
          <w:szCs w:val="20"/>
        </w:rPr>
        <w:t xml:space="preserve">Push to GitHub — </w:t>
      </w:r>
      <w:r>
        <w:rPr>
          <w:rFonts w:ascii="Arial" w:cs="Arial" w:eastAsia="Arial" w:hAnsi="Arial"/>
          <w:sz w:val="20"/>
          <w:szCs w:val="20"/>
        </w:rPr>
        <w:t xml:space="preserve">Run: git push -u origin main (or master, depending on your Git version)</w:t>
      </w:r>
    </w:p>
    <w:p>
      <w:pPr>
        <w:spacing w:after="80"/>
      </w:pPr>
      <w:r>
        <w:rPr>
          <w:rFonts w:ascii="Arial" w:cs="Arial" w:eastAsia="Arial" w:hAnsi="Arial"/>
          <w:b/>
          <w:bCs/>
          <w:color w:val="2E75B6"/>
          <w:sz w:val="20"/>
          <w:szCs w:val="20"/>
        </w:rPr>
        <w:t xml:space="preserve">Step 7: </w:t>
      </w:r>
      <w:r>
        <w:rPr>
          <w:rFonts w:ascii="Arial" w:cs="Arial" w:eastAsia="Arial" w:hAnsi="Arial"/>
          <w:b/>
          <w:bCs/>
          <w:sz w:val="20"/>
          <w:szCs w:val="20"/>
        </w:rPr>
        <w:t xml:space="preserve">[GitHub] </w:t>
      </w:r>
      <w:r>
        <w:rPr>
          <w:rFonts w:ascii="Arial" w:cs="Arial" w:eastAsia="Arial" w:hAnsi="Arial"/>
          <w:b/>
          <w:bCs/>
          <w:sz w:val="20"/>
          <w:szCs w:val="20"/>
        </w:rPr>
        <w:t xml:space="preserve">Verify — </w:t>
      </w:r>
      <w:r>
        <w:rPr>
          <w:rFonts w:ascii="Arial" w:cs="Arial" w:eastAsia="Arial" w:hAnsi="Arial"/>
          <w:sz w:val="20"/>
          <w:szCs w:val="20"/>
        </w:rPr>
        <w:t xml:space="preserve">Go to your GitHub repository URL — all files should be visible. Pin the repository to your profile.</w:t>
      </w:r>
    </w:p>
    <w:p>
      <w:pPr>
        <w:spacing w:after="120"/>
      </w:pPr>
    </w:p>
    <w:p>
      <w:pPr>
        <w:pStyle w:val="Heading2"/>
        <w:spacing w:after="80" w:before="200"/>
      </w:pPr>
      <w:r>
        <w:rPr>
          <w:rFonts w:ascii="Arial" w:cs="Arial" w:eastAsia="Arial" w:hAnsi="Arial"/>
          <w:b/>
          <w:bCs/>
          <w:color w:val="2E75B6"/>
          <w:sz w:val="22"/>
          <w:szCs w:val="22"/>
        </w:rPr>
        <w:t xml:space="preserve">10.3 Software Installation Guide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140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Tool / Software</w:t>
            </w:r>
          </w:p>
        </w:tc>
        <w:tc>
          <w:tcPr>
            <w:tcW w:type="dxa" w:w="3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Purpose</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Version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SAP S/4HANA</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Core ERP — FI Module (GL/AP/AR/AA)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S/4HANA 2023</w:t>
            </w:r>
          </w:p>
        </w:tc>
      </w:tr>
      <w:tr>
        <w:tc>
          <w:tcPr>
            <w:tcW w:type="dxa" w:w="24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SAP Business Data Cloud</w:t>
            </w:r>
          </w:p>
        </w:tc>
        <w:tc>
          <w:tcPr>
            <w:tcW w:type="dxa" w:w="376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Data pipeline &amp; financial reporting cloud</w:t>
            </w:r>
          </w:p>
        </w:tc>
        <w:tc>
          <w:tcPr>
            <w:tcW w:type="dxa" w:w="14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BDC 2024</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SAP Datasphere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Unified semantic data layer / warehouse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Cloud Edition</w:t>
            </w:r>
          </w:p>
        </w:tc>
      </w:tr>
      <w:tr>
        <w:tc>
          <w:tcPr>
            <w:tcW w:type="dxa" w:w="24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SAP Analytics Cloud (SAC)</w:t>
            </w:r>
          </w:p>
        </w:tc>
        <w:tc>
          <w:tcPr>
            <w:tcW w:type="dxa" w:w="376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Dashboards, variance &amp; P&amp;L analysis</w:t>
            </w:r>
          </w:p>
        </w:tc>
        <w:tc>
          <w:tcPr>
            <w:tcW w:type="dxa" w:w="14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Cloud Edition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SAP ABAP Workbench (SE80)</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Custom report: ZR2R_TRIAL_BALANCE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NW 7.5+</w:t>
            </w:r>
          </w:p>
        </w:tc>
      </w:tr>
      <w:tr>
        <w:tc>
          <w:tcPr>
            <w:tcW w:type="dxa" w:w="24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SAP Fiori</w:t>
            </w:r>
          </w:p>
        </w:tc>
        <w:tc>
          <w:tcPr>
            <w:tcW w:type="dxa" w:w="376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Modern UX apps for period-end activities</w:t>
            </w:r>
          </w:p>
        </w:tc>
        <w:tc>
          <w:tcPr>
            <w:tcW w:type="dxa" w:w="14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Fiori 3.0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Python 3.11 + pandas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Simulation scripts &amp; PDF generation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pandas 2.x</w:t>
            </w:r>
          </w:p>
        </w:tc>
      </w:tr>
      <w:tr>
        <w:tc>
          <w:tcPr>
            <w:tcW w:type="dxa" w:w="24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Git + GitHub</w:t>
            </w:r>
          </w:p>
        </w:tc>
        <w:tc>
          <w:tcPr>
            <w:tcW w:type="dxa" w:w="376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Version control &amp; code repository</w:t>
            </w:r>
          </w:p>
        </w:tc>
        <w:tc>
          <w:tcPr>
            <w:tcW w:type="dxa" w:w="1400"/>
            <w:tcBorders>
              <w:top w:val="single" w:color="CCCCCC" w:sz="1"/>
              <w:left w:val="single" w:color="CCCCCC" w:sz="1"/>
              <w:bottom w:val="single" w:color="CCCCCC" w:sz="1"/>
              <w:right w:val="single" w:color="CCCCCC" w:sz="1"/>
            </w:tcBorders>
            <w:shd w:fill="F2F5FA"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git 2.4+</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Visual Studio Code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IDE for all code development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Latest</w:t>
            </w:r>
          </w:p>
        </w:tc>
      </w:tr>
    </w:tbl>
    <w:p>
      <w:r>
        <w:br w:type="page"/>
      </w:r>
    </w:p>
    <w:p>
      <w:pPr>
        <w:pStyle w:val="Heading1"/>
        <w:spacing w:after="120" w:before="280"/>
      </w:pPr>
      <w:r>
        <w:rPr>
          <w:rFonts w:ascii="Arial" w:cs="Arial" w:eastAsia="Arial" w:hAnsi="Arial"/>
          <w:b/>
          <w:bCs/>
          <w:color w:val="1B3A6B"/>
          <w:sz w:val="28"/>
          <w:szCs w:val="28"/>
        </w:rPr>
        <w:t xml:space="preserve">11. Conclusion</w:t>
      </w:r>
    </w:p>
    <w:p>
      <w:pPr>
        <w:spacing w:after="80"/>
      </w:pPr>
      <w:r>
        <w:rPr>
          <w:rFonts w:ascii="Arial" w:cs="Arial" w:eastAsia="Arial" w:hAnsi="Arial"/>
          <w:b w:val="false"/>
          <w:bCs w:val="false"/>
          <w:sz w:val="20"/>
          <w:szCs w:val="20"/>
        </w:rPr>
        <w:t xml:space="preserve">This project successfully demonstrates the complete Record-to-Report (R2R) process in SAP S/4HANA for a fictitious Indian manufacturing company — Kalinga Industries Ltd. (KAIL). The project covers:</w:t>
      </w:r>
    </w:p>
    <w:p>
      <w:pPr>
        <w:spacing w:after="80"/>
      </w:pPr>
    </w:p>
    <w:p>
      <w:pPr>
        <w:pStyle w:val="ListParagraph"/>
        <w:numPr>
          <w:ilvl w:val="0"/>
          <w:numId w:val="2"/>
        </w:numPr>
        <w:spacing w:after="60"/>
      </w:pPr>
      <w:r>
        <w:rPr>
          <w:rFonts w:ascii="Arial" w:cs="Arial" w:eastAsia="Arial" w:hAnsi="Arial"/>
          <w:sz w:val="20"/>
          <w:szCs w:val="20"/>
        </w:rPr>
        <w:t xml:space="preserve">Enterprise structure setup including company code, fiscal year, chart of accounts, and document types in SAP.</w:t>
      </w:r>
    </w:p>
    <w:p>
      <w:pPr>
        <w:pStyle w:val="ListParagraph"/>
        <w:numPr>
          <w:ilvl w:val="0"/>
          <w:numId w:val="2"/>
        </w:numPr>
        <w:spacing w:after="60"/>
      </w:pPr>
      <w:r>
        <w:rPr>
          <w:rFonts w:ascii="Arial" w:cs="Arial" w:eastAsia="Arial" w:hAnsi="Arial"/>
          <w:sz w:val="20"/>
          <w:szCs w:val="20"/>
        </w:rPr>
        <w:t xml:space="preserve">A complete, balanced trial balance for FY 2024-25 with 20 GL accounts across Assets, Liabilities, Equity, Revenue, and Expenses.</w:t>
      </w:r>
    </w:p>
    <w:p>
      <w:pPr>
        <w:pStyle w:val="ListParagraph"/>
        <w:numPr>
          <w:ilvl w:val="0"/>
          <w:numId w:val="2"/>
        </w:numPr>
        <w:spacing w:after="60"/>
      </w:pPr>
      <w:r>
        <w:rPr>
          <w:rFonts w:ascii="Arial" w:cs="Arial" w:eastAsia="Arial" w:hAnsi="Arial"/>
          <w:sz w:val="20"/>
          <w:szCs w:val="20"/>
        </w:rPr>
        <w:t xml:space="preserve">All month-end and year-end closing activities with corresponding SAP T-Codes and ownership.</w:t>
      </w:r>
    </w:p>
    <w:p>
      <w:pPr>
        <w:pStyle w:val="ListParagraph"/>
        <w:numPr>
          <w:ilvl w:val="0"/>
          <w:numId w:val="2"/>
        </w:numPr>
        <w:spacing w:after="60"/>
      </w:pPr>
      <w:r>
        <w:rPr>
          <w:rFonts w:ascii="Arial" w:cs="Arial" w:eastAsia="Arial" w:hAnsi="Arial"/>
          <w:sz w:val="20"/>
          <w:szCs w:val="20"/>
        </w:rPr>
        <w:t xml:space="preserve">Four critical year-end closing journal entries including depreciation accrual, salary accrual, deferred revenue, and P&amp;L closure to Retained Earnings.</w:t>
      </w:r>
    </w:p>
    <w:p>
      <w:pPr>
        <w:pStyle w:val="ListParagraph"/>
        <w:numPr>
          <w:ilvl w:val="0"/>
          <w:numId w:val="2"/>
        </w:numPr>
        <w:spacing w:after="60"/>
      </w:pPr>
      <w:r>
        <w:rPr>
          <w:rFonts w:ascii="Arial" w:cs="Arial" w:eastAsia="Arial" w:hAnsi="Arial"/>
          <w:sz w:val="20"/>
          <w:szCs w:val="20"/>
        </w:rPr>
        <w:t xml:space="preserve">A custom ABAP ALV report (ZR2R_TRIAL_BALANCE) that reads from GLT0 and provides a drill-down trial balance.</w:t>
      </w:r>
    </w:p>
    <w:p>
      <w:pPr>
        <w:pStyle w:val="ListParagraph"/>
        <w:numPr>
          <w:ilvl w:val="0"/>
          <w:numId w:val="2"/>
        </w:numPr>
        <w:spacing w:after="60"/>
      </w:pPr>
      <w:r>
        <w:rPr>
          <w:rFonts w:ascii="Arial" w:cs="Arial" w:eastAsia="Arial" w:hAnsi="Arial"/>
          <w:sz w:val="20"/>
          <w:szCs w:val="20"/>
        </w:rPr>
        <w:t xml:space="preserve">SQL extraction scripts for SAP HANA / Datasphere covering trial balance, AR aging, GR/IR, and intercompany reconciliation.</w:t>
      </w:r>
    </w:p>
    <w:p>
      <w:pPr>
        <w:pStyle w:val="ListParagraph"/>
        <w:numPr>
          <w:ilvl w:val="0"/>
          <w:numId w:val="2"/>
        </w:numPr>
        <w:spacing w:after="60"/>
      </w:pPr>
      <w:r>
        <w:rPr>
          <w:rFonts w:ascii="Arial" w:cs="Arial" w:eastAsia="Arial" w:hAnsi="Arial"/>
          <w:sz w:val="20"/>
          <w:szCs w:val="20"/>
        </w:rPr>
        <w:t xml:space="preserve">SAP Business Data Cloud integration design connecting S/4HANA FI data to SAC dashboards via Datasphere.</w:t>
      </w:r>
    </w:p>
    <w:p>
      <w:pPr>
        <w:pStyle w:val="ListParagraph"/>
        <w:numPr>
          <w:ilvl w:val="0"/>
          <w:numId w:val="2"/>
        </w:numPr>
        <w:spacing w:after="60"/>
      </w:pPr>
      <w:r>
        <w:rPr>
          <w:rFonts w:ascii="Arial" w:cs="Arial" w:eastAsia="Arial" w:hAnsi="Arial"/>
          <w:sz w:val="20"/>
          <w:szCs w:val="20"/>
        </w:rPr>
        <w:t xml:space="preserve">A complete GitHub repository with all code, documentation, and sample data for version-controlled submission.</w:t>
      </w:r>
    </w:p>
    <w:p>
      <w:pPr>
        <w:spacing w:after="120"/>
      </w:pPr>
    </w:p>
    <w:p>
      <w:pPr>
        <w:spacing w:after="80"/>
      </w:pPr>
      <w:r>
        <w:rPr>
          <w:rFonts w:ascii="Arial" w:cs="Arial" w:eastAsia="Arial" w:hAnsi="Arial"/>
          <w:b w:val="false"/>
          <w:bCs w:val="false"/>
          <w:sz w:val="20"/>
          <w:szCs w:val="20"/>
        </w:rPr>
        <w:t xml:space="preserve">The R2R process is the backbone of financial reporting in any SAP-enabled organization. Mastery of this process — combined with SAP Business Data Cloud for modern analytics — provides the skills needed to operate as an SAP Finance functional consultant or a BDC data engineer in the industry.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B3A6B"/>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2026-04-20T18:12:28.545Z</dcterms:created>
  <dcterms:modified xsi:type="dcterms:W3CDTF">2026-04-20T18:12:28.546Z</dcterms:modified>
</cp:coreProperties>
</file>

<file path=docProps/custom.xml><?xml version="1.0" encoding="utf-8"?>
<Properties xmlns="http://schemas.openxmlformats.org/officeDocument/2006/custom-properties" xmlns:vt="http://schemas.openxmlformats.org/officeDocument/2006/docPropsVTypes"/>
</file>