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Retail &amp; E-commerce Data Cleaning and Transformation Use Case</w:t>
      </w:r>
    </w:p>
    <w:p>
      <w:r>
        <w:rPr>
          <w:b/>
        </w:rPr>
        <w:t>Business Use Case Description</w:t>
      </w:r>
    </w:p>
    <w:p>
      <w:r>
        <w:t>An online retailer combines orders, customers, product catalogues, payments, promotions, shipments, returns, and web sessions. Inconsistent order identifiers, product names, currency formats, timestamps, and return statuses distort revenue reporting, campaign measurement, and fulfilment analytics. Reliable standardized data supports sales, customer, inventory, and marketing decisions.</w:t>
      </w:r>
    </w:p>
    <w:p>
      <w:pPr>
        <w:pStyle w:val="Heading1"/>
      </w:pPr>
      <w:r>
        <w:t>Detailed Data Cleaning Scenarios (20)</w:t>
      </w:r>
    </w:p>
    <w:p>
      <w:r>
        <w:t>1. Trim whitespace and standardize order, customer, and transaction IDs; map aliases to master IDs.</w:t>
      </w:r>
    </w:p>
    <w:p>
      <w:r>
        <w:t>2. Parse order and event timestamps and convert them to a common reporting timezone (UTC).</w:t>
      </w:r>
    </w:p>
    <w:p>
      <w:r>
        <w:t>3. Canonicalize product names, SKU codes, category labels, and brand names using the product catalogue.</w:t>
      </w:r>
    </w:p>
    <w:p>
      <w:r>
        <w:t>4. Normalize quantities and package units (each, pack, dozen) to the catalogue's base unit.</w:t>
      </w:r>
    </w:p>
    <w:p>
      <w:r>
        <w:t>5. Normalize prices, discounts, tax, shipping, and refunds to numeric decimal values; remove currency symbols.</w:t>
      </w:r>
    </w:p>
    <w:p>
      <w:r>
        <w:t>6. Standardize currencies and apply a documented daily FX rate for cross-currency reporting.</w:t>
      </w:r>
    </w:p>
    <w:p>
      <w:r>
        <w:t>7. Normalize country, state, postal code, and sales-channel labels to approved values.</w:t>
      </w:r>
    </w:p>
    <w:p>
      <w:r>
        <w:t>8. Detect duplicate order lines using order ID, line ID, SKU, and event version; retain the authoritative record.</w:t>
      </w:r>
    </w:p>
    <w:p>
      <w:r>
        <w:t>9. Validate quantity, unit price, discount, tax, and line-total ranges; flag impossible or negative values for review.</w:t>
      </w:r>
    </w:p>
    <w:p>
      <w:r>
        <w:t>10. Normalize payment method and payment status values (e.g., card, wallet; captured, pending, failed).</w:t>
      </w:r>
    </w:p>
    <w:p>
      <w:r>
        <w:t>11. Match customer records using the approved customer master; keep unmatched IDs in an exception queue.</w:t>
      </w:r>
    </w:p>
    <w:p>
      <w:r>
        <w:t>12. Normalize promotion codes and distinguish applied, expired, and rejected promotions.</w:t>
      </w:r>
    </w:p>
    <w:p>
      <w:r>
        <w:t>13. Standardize return/refund reason codes and link returns to the original order line.</w:t>
      </w:r>
    </w:p>
    <w:p>
      <w:r>
        <w:t>14. Validate shipment tracking IDs and normalize carrier names and delivery statuses.</w:t>
      </w:r>
    </w:p>
    <w:p>
      <w:r>
        <w:t>15. Mask email addresses and phone numbers in analyst-facing extracts.</w:t>
      </w:r>
    </w:p>
    <w:p>
      <w:r>
        <w:t>16. Identify suspicious order spikes, repeated failed payments, or unusually high refund ratios for review.</w:t>
      </w:r>
    </w:p>
    <w:p>
      <w:r>
        <w:t>17. Validate product category, supplier, and inventory keys against reference tables.</w:t>
      </w:r>
    </w:p>
    <w:p>
      <w:r>
        <w:t>18. Separate cancelled, test, and fraud-review orders from fulfilled revenue using explicit rules.</w:t>
      </w:r>
    </w:p>
    <w:p>
      <w:r>
        <w:t>19. Handle missing values with documented rules; do not replace unknown discounts or customer IDs with arbitrary values.</w:t>
      </w:r>
    </w:p>
    <w:p>
      <w:r>
        <w:t>20. Flag out-of-order events and reconcile late-arriving order, payment, shipment, and return updates.</w:t>
      </w:r>
    </w:p>
    <w:p>
      <w:pPr>
        <w:pStyle w:val="Heading1"/>
      </w:pPr>
      <w:r>
        <w:t>Detailed Transformation Scenarios (15–16)</w:t>
      </w:r>
    </w:p>
    <w:p>
      <w:r>
        <w:t>1. Build daily and monthly gross sales, net sales, units, discounts, taxes, and refunds by product and channel.</w:t>
      </w:r>
    </w:p>
    <w:p>
      <w:r>
        <w:t>2. Calculate average order value, items per order, and revenue per visitor.</w:t>
      </w:r>
    </w:p>
    <w:p>
      <w:r>
        <w:t>3. Create customer cohorts by first purchase month and calculate repeat-purchase rates.</w:t>
      </w:r>
    </w:p>
    <w:p>
      <w:r>
        <w:t>4. Measure conversion funnel from session to cart, checkout, payment, and completed order.</w:t>
      </w:r>
    </w:p>
    <w:p>
      <w:r>
        <w:t>5. Calculate promotion redemption, incremental sales, and discount cost by campaign.</w:t>
      </w:r>
    </w:p>
    <w:p>
      <w:r>
        <w:t>6. Build product/category sales rankings and contribution-to-revenue metrics.</w:t>
      </w:r>
    </w:p>
    <w:p>
      <w:r>
        <w:t>7. Calculate return rate and refund value by SKU, supplier, and reason.</w:t>
      </w:r>
    </w:p>
    <w:p>
      <w:r>
        <w:t>8. Measure fulfilment lead time, on-time delivery, and carrier performance.</w:t>
      </w:r>
    </w:p>
    <w:p>
      <w:r>
        <w:t>9. Create inventory sell-through and stockout indicators when inventory snapshots are available.</w:t>
      </w:r>
    </w:p>
    <w:p>
      <w:r>
        <w:t>10. Compute payment authorization, capture, and failure rates by method and channel.</w:t>
      </w:r>
    </w:p>
    <w:p>
      <w:r>
        <w:t>11. Estimate customer lifetime value using an explicitly documented historical method.</w:t>
      </w:r>
    </w:p>
    <w:p>
      <w:r>
        <w:t>12. Build regional sales summaries using standardized geography.</w:t>
      </w:r>
    </w:p>
    <w:p>
      <w:r>
        <w:t>13. Detect sales, discount, refund, and payment anomalies against historical baselines.</w:t>
      </w:r>
    </w:p>
    <w:p>
      <w:r>
        <w:t>14. Calculate net revenue after discounts, refunds, and shipping adjustments using agreed definitions.</w:t>
      </w:r>
    </w:p>
    <w:p>
      <w:r>
        <w:t>15. Create privacy-safe dashboard extracts with customer-level identifiers removed or tokenized.</w:t>
      </w:r>
    </w:p>
    <w:p>
      <w:r>
        <w:t>16. Compare product performance across campaign, device, and acquisition channel where data supports it.</w:t>
      </w:r>
    </w:p>
    <w:p>
      <w:pPr>
        <w:pStyle w:val="Heading1"/>
      </w:pPr>
      <w:r>
        <w:t>Sample Input Dataset (Raw)</w:t>
      </w:r>
    </w:p>
    <w:p>
      <w:r>
        <w:t>The rows below are illustrative and intentionally include inconsistencies. Students should apply explicit rules, retain auditability, and flag ambiguous records instead of guessing.</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center"/>
            <w:shd w:fill="D9EAF7"/>
          </w:tcPr>
          <w:p>
            <w:pPr>
              <w:spacing w:after="40"/>
            </w:pPr>
            <w:r>
              <w:rPr>
                <w:b/>
                <w:sz w:val="16"/>
              </w:rPr>
              <w:t>Order ID</w:t>
            </w:r>
          </w:p>
        </w:tc>
        <w:tc>
          <w:tcPr>
            <w:tcW w:type="dxa" w:w="1037"/>
            <w:vAlign w:val="center"/>
            <w:shd w:fill="D9EAF7"/>
          </w:tcPr>
          <w:p>
            <w:pPr>
              <w:spacing w:after="40"/>
            </w:pPr>
            <w:r>
              <w:rPr>
                <w:b/>
                <w:sz w:val="16"/>
              </w:rPr>
              <w:t>Customer ID</w:t>
            </w:r>
          </w:p>
        </w:tc>
        <w:tc>
          <w:tcPr>
            <w:tcW w:type="dxa" w:w="1037"/>
            <w:vAlign w:val="center"/>
            <w:shd w:fill="D9EAF7"/>
          </w:tcPr>
          <w:p>
            <w:pPr>
              <w:spacing w:after="40"/>
            </w:pPr>
            <w:r>
              <w:rPr>
                <w:b/>
                <w:sz w:val="16"/>
              </w:rPr>
              <w:t>Order TS</w:t>
            </w:r>
          </w:p>
        </w:tc>
        <w:tc>
          <w:tcPr>
            <w:tcW w:type="dxa" w:w="1037"/>
            <w:vAlign w:val="center"/>
            <w:shd w:fill="D9EAF7"/>
          </w:tcPr>
          <w:p>
            <w:pPr>
              <w:spacing w:after="40"/>
            </w:pPr>
            <w:r>
              <w:rPr>
                <w:b/>
                <w:sz w:val="16"/>
              </w:rPr>
              <w:t>SKU</w:t>
            </w:r>
          </w:p>
        </w:tc>
        <w:tc>
          <w:tcPr>
            <w:tcW w:type="dxa" w:w="1037"/>
            <w:vAlign w:val="center"/>
            <w:shd w:fill="D9EAF7"/>
          </w:tcPr>
          <w:p>
            <w:pPr>
              <w:spacing w:after="40"/>
            </w:pPr>
            <w:r>
              <w:rPr>
                <w:b/>
                <w:sz w:val="16"/>
              </w:rPr>
              <w:t>Product</w:t>
            </w:r>
          </w:p>
        </w:tc>
        <w:tc>
          <w:tcPr>
            <w:tcW w:type="dxa" w:w="1037"/>
            <w:vAlign w:val="center"/>
            <w:shd w:fill="D9EAF7"/>
          </w:tcPr>
          <w:p>
            <w:pPr>
              <w:spacing w:after="40"/>
            </w:pPr>
            <w:r>
              <w:rPr>
                <w:b/>
                <w:sz w:val="16"/>
              </w:rPr>
              <w:t>Qty</w:t>
            </w:r>
          </w:p>
        </w:tc>
        <w:tc>
          <w:tcPr>
            <w:tcW w:type="dxa" w:w="1037"/>
            <w:vAlign w:val="center"/>
            <w:shd w:fill="D9EAF7"/>
          </w:tcPr>
          <w:p>
            <w:pPr>
              <w:spacing w:after="40"/>
            </w:pPr>
            <w:r>
              <w:rPr>
                <w:b/>
                <w:sz w:val="16"/>
              </w:rPr>
              <w:t>Unit Price</w:t>
            </w:r>
          </w:p>
        </w:tc>
        <w:tc>
          <w:tcPr>
            <w:tcW w:type="dxa" w:w="1037"/>
            <w:vAlign w:val="center"/>
            <w:shd w:fill="D9EAF7"/>
          </w:tcPr>
          <w:p>
            <w:pPr>
              <w:spacing w:after="40"/>
            </w:pPr>
            <w:r>
              <w:rPr>
                <w:b/>
                <w:sz w:val="16"/>
              </w:rPr>
              <w:t>Discount</w:t>
            </w:r>
          </w:p>
        </w:tc>
        <w:tc>
          <w:tcPr>
            <w:tcW w:type="dxa" w:w="1037"/>
            <w:vAlign w:val="center"/>
            <w:shd w:fill="D9EAF7"/>
          </w:tcPr>
          <w:p>
            <w:pPr>
              <w:spacing w:after="40"/>
            </w:pPr>
            <w:r>
              <w:rPr>
                <w:b/>
                <w:sz w:val="16"/>
              </w:rPr>
              <w:t>Currency</w:t>
            </w:r>
          </w:p>
        </w:tc>
        <w:tc>
          <w:tcPr>
            <w:tcW w:type="dxa" w:w="1037"/>
            <w:vAlign w:val="center"/>
            <w:shd w:fill="D9EAF7"/>
          </w:tcPr>
          <w:p>
            <w:pPr>
              <w:spacing w:after="40"/>
            </w:pPr>
            <w:r>
              <w:rPr>
                <w:b/>
                <w:sz w:val="16"/>
              </w:rPr>
              <w:t>Status</w:t>
            </w:r>
          </w:p>
        </w:tc>
      </w:tr>
      <w:tr>
        <w:tc>
          <w:tcPr>
            <w:tcW w:type="dxa" w:w="1037"/>
            <w:vAlign w:val="center"/>
          </w:tcPr>
          <w:p>
            <w:pPr>
              <w:spacing w:after="40"/>
            </w:pPr>
            <w:r>
              <w:rPr>
                <w:b w:val="0"/>
                <w:sz w:val="16"/>
              </w:rPr>
              <w:t xml:space="preserve"> ord-1042 </w:t>
            </w:r>
          </w:p>
        </w:tc>
        <w:tc>
          <w:tcPr>
            <w:tcW w:type="dxa" w:w="1037"/>
            <w:vAlign w:val="center"/>
          </w:tcPr>
          <w:p>
            <w:pPr>
              <w:spacing w:after="40"/>
            </w:pPr>
            <w:r>
              <w:rPr>
                <w:b w:val="0"/>
                <w:sz w:val="16"/>
              </w:rPr>
              <w:t>cust-07</w:t>
            </w:r>
          </w:p>
        </w:tc>
        <w:tc>
          <w:tcPr>
            <w:tcW w:type="dxa" w:w="1037"/>
            <w:vAlign w:val="center"/>
          </w:tcPr>
          <w:p>
            <w:pPr>
              <w:spacing w:after="40"/>
            </w:pPr>
            <w:r>
              <w:rPr>
                <w:b w:val="0"/>
                <w:sz w:val="16"/>
              </w:rPr>
              <w:t>2026/05/14 10:30 -04:00</w:t>
            </w:r>
          </w:p>
        </w:tc>
        <w:tc>
          <w:tcPr>
            <w:tcW w:type="dxa" w:w="1037"/>
            <w:vAlign w:val="center"/>
          </w:tcPr>
          <w:p>
            <w:pPr>
              <w:spacing w:after="40"/>
            </w:pPr>
            <w:r>
              <w:rPr>
                <w:b w:val="0"/>
                <w:sz w:val="16"/>
              </w:rPr>
              <w:t xml:space="preserve"> mug_blk </w:t>
            </w:r>
          </w:p>
        </w:tc>
        <w:tc>
          <w:tcPr>
            <w:tcW w:type="dxa" w:w="1037"/>
            <w:vAlign w:val="center"/>
          </w:tcPr>
          <w:p>
            <w:pPr>
              <w:spacing w:after="40"/>
            </w:pPr>
            <w:r>
              <w:rPr>
                <w:b w:val="0"/>
                <w:sz w:val="16"/>
              </w:rPr>
              <w:t>Blk Ceramic Mug</w:t>
            </w:r>
          </w:p>
        </w:tc>
        <w:tc>
          <w:tcPr>
            <w:tcW w:type="dxa" w:w="1037"/>
            <w:vAlign w:val="center"/>
          </w:tcPr>
          <w:p>
            <w:pPr>
              <w:spacing w:after="40"/>
            </w:pPr>
            <w:r>
              <w:rPr>
                <w:b w:val="0"/>
                <w:sz w:val="16"/>
              </w:rPr>
              <w:t>2</w:t>
            </w:r>
          </w:p>
        </w:tc>
        <w:tc>
          <w:tcPr>
            <w:tcW w:type="dxa" w:w="1037"/>
            <w:vAlign w:val="center"/>
          </w:tcPr>
          <w:p>
            <w:pPr>
              <w:spacing w:after="40"/>
            </w:pPr>
            <w:r>
              <w:rPr>
                <w:b w:val="0"/>
                <w:sz w:val="16"/>
              </w:rPr>
              <w:t>₹ 450.00</w:t>
            </w:r>
          </w:p>
        </w:tc>
        <w:tc>
          <w:tcPr>
            <w:tcW w:type="dxa" w:w="1037"/>
            <w:vAlign w:val="center"/>
          </w:tcPr>
          <w:p>
            <w:pPr>
              <w:spacing w:after="40"/>
            </w:pPr>
            <w:r>
              <w:rPr>
                <w:b w:val="0"/>
                <w:sz w:val="16"/>
              </w:rPr>
              <w:t>10%</w:t>
            </w:r>
          </w:p>
        </w:tc>
        <w:tc>
          <w:tcPr>
            <w:tcW w:type="dxa" w:w="1037"/>
            <w:vAlign w:val="center"/>
          </w:tcPr>
          <w:p>
            <w:pPr>
              <w:spacing w:after="40"/>
            </w:pPr>
            <w:r>
              <w:rPr>
                <w:b w:val="0"/>
                <w:sz w:val="16"/>
              </w:rPr>
              <w:t>INR</w:t>
            </w:r>
          </w:p>
        </w:tc>
        <w:tc>
          <w:tcPr>
            <w:tcW w:type="dxa" w:w="1037"/>
            <w:vAlign w:val="center"/>
          </w:tcPr>
          <w:p>
            <w:pPr>
              <w:spacing w:after="40"/>
            </w:pPr>
            <w:r>
              <w:rPr>
                <w:b w:val="0"/>
                <w:sz w:val="16"/>
              </w:rPr>
              <w:t>Delivered</w:t>
            </w:r>
          </w:p>
        </w:tc>
      </w:tr>
      <w:tr>
        <w:tc>
          <w:tcPr>
            <w:tcW w:type="dxa" w:w="1037"/>
            <w:vAlign w:val="center"/>
          </w:tcPr>
          <w:p>
            <w:pPr>
              <w:spacing w:after="40"/>
            </w:pPr>
            <w:r>
              <w:rPr>
                <w:b w:val="0"/>
                <w:sz w:val="16"/>
              </w:rPr>
              <w:t>ORD-1042</w:t>
            </w:r>
          </w:p>
        </w:tc>
        <w:tc>
          <w:tcPr>
            <w:tcW w:type="dxa" w:w="1037"/>
            <w:vAlign w:val="center"/>
          </w:tcPr>
          <w:p>
            <w:pPr>
              <w:spacing w:after="40"/>
            </w:pPr>
            <w:r>
              <w:rPr>
                <w:b w:val="0"/>
                <w:sz w:val="16"/>
              </w:rPr>
              <w:t>CUST-007</w:t>
            </w:r>
          </w:p>
        </w:tc>
        <w:tc>
          <w:tcPr>
            <w:tcW w:type="dxa" w:w="1037"/>
            <w:vAlign w:val="center"/>
          </w:tcPr>
          <w:p>
            <w:pPr>
              <w:spacing w:after="40"/>
            </w:pPr>
            <w:r>
              <w:rPr>
                <w:b w:val="0"/>
                <w:sz w:val="16"/>
              </w:rPr>
              <w:t>2026-05-14T14:30:00Z</w:t>
            </w:r>
          </w:p>
        </w:tc>
        <w:tc>
          <w:tcPr>
            <w:tcW w:type="dxa" w:w="1037"/>
            <w:vAlign w:val="center"/>
          </w:tcPr>
          <w:p>
            <w:pPr>
              <w:spacing w:after="40"/>
            </w:pPr>
            <w:r>
              <w:rPr>
                <w:b w:val="0"/>
                <w:sz w:val="16"/>
              </w:rPr>
              <w:t>MUG-BLK</w:t>
            </w:r>
          </w:p>
        </w:tc>
        <w:tc>
          <w:tcPr>
            <w:tcW w:type="dxa" w:w="1037"/>
            <w:vAlign w:val="center"/>
          </w:tcPr>
          <w:p>
            <w:pPr>
              <w:spacing w:after="40"/>
            </w:pPr>
            <w:r>
              <w:rPr>
                <w:b w:val="0"/>
                <w:sz w:val="16"/>
              </w:rPr>
              <w:t>Black Ceramic Mug</w:t>
            </w:r>
          </w:p>
        </w:tc>
        <w:tc>
          <w:tcPr>
            <w:tcW w:type="dxa" w:w="1037"/>
            <w:vAlign w:val="center"/>
          </w:tcPr>
          <w:p>
            <w:pPr>
              <w:spacing w:after="40"/>
            </w:pPr>
            <w:r>
              <w:rPr>
                <w:b w:val="0"/>
                <w:sz w:val="16"/>
              </w:rPr>
              <w:t>2</w:t>
            </w:r>
          </w:p>
        </w:tc>
        <w:tc>
          <w:tcPr>
            <w:tcW w:type="dxa" w:w="1037"/>
            <w:vAlign w:val="center"/>
          </w:tcPr>
          <w:p>
            <w:pPr>
              <w:spacing w:after="40"/>
            </w:pPr>
            <w:r>
              <w:rPr>
                <w:b w:val="0"/>
                <w:sz w:val="16"/>
              </w:rPr>
              <w:t>450.00</w:t>
            </w:r>
          </w:p>
        </w:tc>
        <w:tc>
          <w:tcPr>
            <w:tcW w:type="dxa" w:w="1037"/>
            <w:vAlign w:val="center"/>
          </w:tcPr>
          <w:p>
            <w:pPr>
              <w:spacing w:after="40"/>
            </w:pPr>
            <w:r>
              <w:rPr>
                <w:b w:val="0"/>
                <w:sz w:val="16"/>
              </w:rPr>
              <w:t>45.00</w:t>
            </w:r>
          </w:p>
        </w:tc>
        <w:tc>
          <w:tcPr>
            <w:tcW w:type="dxa" w:w="1037"/>
            <w:vAlign w:val="center"/>
          </w:tcPr>
          <w:p>
            <w:pPr>
              <w:spacing w:after="40"/>
            </w:pPr>
            <w:r>
              <w:rPr>
                <w:b w:val="0"/>
                <w:sz w:val="16"/>
              </w:rPr>
              <w:t>INR</w:t>
            </w:r>
          </w:p>
        </w:tc>
        <w:tc>
          <w:tcPr>
            <w:tcW w:type="dxa" w:w="1037"/>
            <w:vAlign w:val="center"/>
          </w:tcPr>
          <w:p>
            <w:pPr>
              <w:spacing w:after="40"/>
            </w:pPr>
            <w:r>
              <w:rPr>
                <w:b w:val="0"/>
                <w:sz w:val="16"/>
              </w:rPr>
              <w:t>delivered</w:t>
            </w:r>
          </w:p>
        </w:tc>
      </w:tr>
      <w:tr>
        <w:tc>
          <w:tcPr>
            <w:tcW w:type="dxa" w:w="1037"/>
            <w:vAlign w:val="center"/>
          </w:tcPr>
          <w:p>
            <w:pPr>
              <w:spacing w:after="40"/>
            </w:pPr>
            <w:r>
              <w:rPr>
                <w:b w:val="0"/>
                <w:sz w:val="16"/>
              </w:rPr>
              <w:t>ord-1043</w:t>
            </w:r>
          </w:p>
        </w:tc>
        <w:tc>
          <w:tcPr>
            <w:tcW w:type="dxa" w:w="1037"/>
            <w:vAlign w:val="center"/>
          </w:tcPr>
          <w:p>
            <w:pPr>
              <w:spacing w:after="40"/>
            </w:pPr>
            <w:r>
              <w:rPr>
                <w:b w:val="0"/>
                <w:sz w:val="16"/>
              </w:rPr>
              <w:t>cust-08</w:t>
            </w:r>
          </w:p>
        </w:tc>
        <w:tc>
          <w:tcPr>
            <w:tcW w:type="dxa" w:w="1037"/>
            <w:vAlign w:val="center"/>
          </w:tcPr>
          <w:p>
            <w:pPr>
              <w:spacing w:after="40"/>
            </w:pPr>
            <w:r>
              <w:rPr>
                <w:b w:val="0"/>
                <w:sz w:val="16"/>
              </w:rPr>
              <w:t>14-05-2026 09:15</w:t>
            </w:r>
          </w:p>
        </w:tc>
        <w:tc>
          <w:tcPr>
            <w:tcW w:type="dxa" w:w="1037"/>
            <w:vAlign w:val="center"/>
          </w:tcPr>
          <w:p>
            <w:pPr>
              <w:spacing w:after="40"/>
            </w:pPr>
            <w:r>
              <w:rPr>
                <w:b w:val="0"/>
                <w:sz w:val="16"/>
              </w:rPr>
              <w:t>TSHIRT-M</w:t>
            </w:r>
          </w:p>
        </w:tc>
        <w:tc>
          <w:tcPr>
            <w:tcW w:type="dxa" w:w="1037"/>
            <w:vAlign w:val="center"/>
          </w:tcPr>
          <w:p>
            <w:pPr>
              <w:spacing w:after="40"/>
            </w:pPr>
            <w:r>
              <w:rPr>
                <w:b w:val="0"/>
                <w:sz w:val="16"/>
              </w:rPr>
              <w:t>Cotton Tee M</w:t>
            </w:r>
          </w:p>
        </w:tc>
        <w:tc>
          <w:tcPr>
            <w:tcW w:type="dxa" w:w="1037"/>
            <w:vAlign w:val="center"/>
          </w:tcPr>
          <w:p>
            <w:pPr>
              <w:spacing w:after="40"/>
            </w:pPr>
            <w:r>
              <w:rPr>
                <w:b w:val="0"/>
                <w:sz w:val="16"/>
              </w:rPr>
              <w:t>-1</w:t>
            </w:r>
          </w:p>
        </w:tc>
        <w:tc>
          <w:tcPr>
            <w:tcW w:type="dxa" w:w="1037"/>
            <w:vAlign w:val="center"/>
          </w:tcPr>
          <w:p>
            <w:pPr>
              <w:spacing w:after="40"/>
            </w:pPr>
            <w:r>
              <w:rPr>
                <w:b w:val="0"/>
                <w:sz w:val="16"/>
              </w:rPr>
              <w:t>799</w:t>
            </w:r>
          </w:p>
        </w:tc>
        <w:tc>
          <w:tcPr>
            <w:tcW w:type="dxa" w:w="1037"/>
            <w:vAlign w:val="center"/>
          </w:tcPr>
          <w:p>
            <w:pPr>
              <w:spacing w:after="40"/>
            </w:pPr>
            <w:r>
              <w:rPr>
                <w:b w:val="0"/>
                <w:sz w:val="16"/>
              </w:rPr>
              <w:t>0</w:t>
            </w:r>
          </w:p>
        </w:tc>
        <w:tc>
          <w:tcPr>
            <w:tcW w:type="dxa" w:w="1037"/>
            <w:vAlign w:val="center"/>
          </w:tcPr>
          <w:p>
            <w:pPr>
              <w:spacing w:after="40"/>
            </w:pPr>
            <w:r>
              <w:rPr>
                <w:b w:val="0"/>
                <w:sz w:val="16"/>
              </w:rPr>
              <w:t>INR</w:t>
            </w:r>
          </w:p>
        </w:tc>
        <w:tc>
          <w:tcPr>
            <w:tcW w:type="dxa" w:w="1037"/>
            <w:vAlign w:val="center"/>
          </w:tcPr>
          <w:p>
            <w:pPr>
              <w:spacing w:after="40"/>
            </w:pPr>
            <w:r>
              <w:rPr>
                <w:b w:val="0"/>
                <w:sz w:val="16"/>
              </w:rPr>
              <w:t>Return</w:t>
            </w:r>
          </w:p>
        </w:tc>
      </w:tr>
      <w:tr>
        <w:tc>
          <w:tcPr>
            <w:tcW w:type="dxa" w:w="1037"/>
            <w:vAlign w:val="center"/>
          </w:tcPr>
          <w:p>
            <w:pPr>
              <w:spacing w:after="40"/>
            </w:pPr>
            <w:r>
              <w:rPr>
                <w:b w:val="0"/>
                <w:sz w:val="16"/>
              </w:rPr>
              <w:t>ORD-1044</w:t>
            </w:r>
          </w:p>
        </w:tc>
        <w:tc>
          <w:tcPr>
            <w:tcW w:type="dxa" w:w="1037"/>
            <w:vAlign w:val="center"/>
          </w:tcPr>
          <w:p>
            <w:pPr>
              <w:spacing w:after="40"/>
            </w:pPr>
            <w:r>
              <w:rPr>
                <w:b w:val="0"/>
                <w:sz w:val="16"/>
              </w:rPr>
              <w:t>CUST-09</w:t>
            </w:r>
          </w:p>
        </w:tc>
        <w:tc>
          <w:tcPr>
            <w:tcW w:type="dxa" w:w="1037"/>
            <w:vAlign w:val="center"/>
          </w:tcPr>
          <w:p>
            <w:pPr>
              <w:spacing w:after="40"/>
            </w:pPr>
            <w:r>
              <w:rPr>
                <w:b w:val="0"/>
                <w:sz w:val="16"/>
              </w:rPr>
              <w:t>2026-05-15T11:00:00+05:30</w:t>
            </w:r>
          </w:p>
        </w:tc>
        <w:tc>
          <w:tcPr>
            <w:tcW w:type="dxa" w:w="1037"/>
            <w:vAlign w:val="center"/>
          </w:tcPr>
          <w:p>
            <w:pPr>
              <w:spacing w:after="40"/>
            </w:pPr>
            <w:r>
              <w:rPr>
                <w:b w:val="0"/>
                <w:sz w:val="16"/>
              </w:rPr>
              <w:t>BAG-01</w:t>
            </w:r>
          </w:p>
        </w:tc>
        <w:tc>
          <w:tcPr>
            <w:tcW w:type="dxa" w:w="1037"/>
            <w:vAlign w:val="center"/>
          </w:tcPr>
          <w:p>
            <w:pPr>
              <w:spacing w:after="40"/>
            </w:pPr>
            <w:r>
              <w:rPr>
                <w:b w:val="0"/>
                <w:sz w:val="16"/>
              </w:rPr>
              <w:t>Canvas Tote</w:t>
            </w:r>
          </w:p>
        </w:tc>
        <w:tc>
          <w:tcPr>
            <w:tcW w:type="dxa" w:w="1037"/>
            <w:vAlign w:val="center"/>
          </w:tcPr>
          <w:p>
            <w:pPr>
              <w:spacing w:after="40"/>
            </w:pPr>
            <w:r>
              <w:rPr>
                <w:b w:val="0"/>
                <w:sz w:val="16"/>
              </w:rPr>
              <w:t>1</w:t>
            </w:r>
          </w:p>
        </w:tc>
        <w:tc>
          <w:tcPr>
            <w:tcW w:type="dxa" w:w="1037"/>
            <w:vAlign w:val="center"/>
          </w:tcPr>
          <w:p>
            <w:pPr>
              <w:spacing w:after="40"/>
            </w:pPr>
            <w:r>
              <w:rPr>
                <w:b w:val="0"/>
                <w:sz w:val="16"/>
              </w:rPr>
              <w:t>$18.00</w:t>
            </w:r>
          </w:p>
        </w:tc>
        <w:tc>
          <w:tcPr>
            <w:tcW w:type="dxa" w:w="1037"/>
            <w:vAlign w:val="center"/>
          </w:tcPr>
          <w:p>
            <w:pPr>
              <w:spacing w:after="40"/>
            </w:pPr>
            <w:r>
              <w:rPr>
                <w:b w:val="0"/>
                <w:sz w:val="16"/>
              </w:rPr>
              <w:t>0</w:t>
            </w:r>
          </w:p>
        </w:tc>
        <w:tc>
          <w:tcPr>
            <w:tcW w:type="dxa" w:w="1037"/>
            <w:vAlign w:val="center"/>
          </w:tcPr>
          <w:p>
            <w:pPr>
              <w:spacing w:after="40"/>
            </w:pPr>
            <w:r>
              <w:rPr>
                <w:b w:val="0"/>
                <w:sz w:val="16"/>
              </w:rPr>
              <w:t>USD</w:t>
            </w:r>
          </w:p>
        </w:tc>
        <w:tc>
          <w:tcPr>
            <w:tcW w:type="dxa" w:w="1037"/>
            <w:vAlign w:val="center"/>
          </w:tcPr>
          <w:p>
            <w:pPr>
              <w:spacing w:after="40"/>
            </w:pPr>
            <w:r>
              <w:rPr>
                <w:b w:val="0"/>
                <w:sz w:val="16"/>
              </w:rPr>
              <w:t>Shipped</w:t>
            </w:r>
          </w:p>
        </w:tc>
      </w:tr>
    </w:tbl>
    <w:p/>
    <w:p>
      <w:pPr>
        <w:pStyle w:val="Heading1"/>
      </w:pPr>
      <w:r>
        <w:t>Expected Cleaned &amp; Standardized Dataset</w:t>
      </w:r>
    </w:p>
    <w:p>
      <w:r>
        <w:t>Expected output illustrates key rules. Rows requiring business clarification are explicitly marked for review; they should not be silently corrected.</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center"/>
            <w:shd w:fill="D9EAF7"/>
          </w:tcPr>
          <w:p>
            <w:pPr>
              <w:spacing w:after="40"/>
            </w:pPr>
            <w:r>
              <w:rPr>
                <w:b/>
                <w:sz w:val="16"/>
              </w:rPr>
              <w:t>Order_ID</w:t>
            </w:r>
          </w:p>
        </w:tc>
        <w:tc>
          <w:tcPr>
            <w:tcW w:type="dxa" w:w="1037"/>
            <w:vAlign w:val="center"/>
            <w:shd w:fill="D9EAF7"/>
          </w:tcPr>
          <w:p>
            <w:pPr>
              <w:spacing w:after="40"/>
            </w:pPr>
            <w:r>
              <w:rPr>
                <w:b/>
                <w:sz w:val="16"/>
              </w:rPr>
              <w:t>Customer_ID</w:t>
            </w:r>
          </w:p>
        </w:tc>
        <w:tc>
          <w:tcPr>
            <w:tcW w:type="dxa" w:w="1037"/>
            <w:vAlign w:val="center"/>
            <w:shd w:fill="D9EAF7"/>
          </w:tcPr>
          <w:p>
            <w:pPr>
              <w:spacing w:after="40"/>
            </w:pPr>
            <w:r>
              <w:rPr>
                <w:b/>
                <w:sz w:val="16"/>
              </w:rPr>
              <w:t>Order_TS_UTC</w:t>
            </w:r>
          </w:p>
        </w:tc>
        <w:tc>
          <w:tcPr>
            <w:tcW w:type="dxa" w:w="1037"/>
            <w:vAlign w:val="center"/>
            <w:shd w:fill="D9EAF7"/>
          </w:tcPr>
          <w:p>
            <w:pPr>
              <w:spacing w:after="40"/>
            </w:pPr>
            <w:r>
              <w:rPr>
                <w:b/>
                <w:sz w:val="16"/>
              </w:rPr>
              <w:t>SKU</w:t>
            </w:r>
          </w:p>
        </w:tc>
        <w:tc>
          <w:tcPr>
            <w:tcW w:type="dxa" w:w="1037"/>
            <w:vAlign w:val="center"/>
            <w:shd w:fill="D9EAF7"/>
          </w:tcPr>
          <w:p>
            <w:pPr>
              <w:spacing w:after="40"/>
            </w:pPr>
            <w:r>
              <w:rPr>
                <w:b/>
                <w:sz w:val="16"/>
              </w:rPr>
              <w:t>Product</w:t>
            </w:r>
          </w:p>
        </w:tc>
        <w:tc>
          <w:tcPr>
            <w:tcW w:type="dxa" w:w="1037"/>
            <w:vAlign w:val="center"/>
            <w:shd w:fill="D9EAF7"/>
          </w:tcPr>
          <w:p>
            <w:pPr>
              <w:spacing w:after="40"/>
            </w:pPr>
            <w:r>
              <w:rPr>
                <w:b/>
                <w:sz w:val="16"/>
              </w:rPr>
              <w:t>Qty</w:t>
            </w:r>
          </w:p>
        </w:tc>
        <w:tc>
          <w:tcPr>
            <w:tcW w:type="dxa" w:w="1037"/>
            <w:vAlign w:val="center"/>
            <w:shd w:fill="D9EAF7"/>
          </w:tcPr>
          <w:p>
            <w:pPr>
              <w:spacing w:after="40"/>
            </w:pPr>
            <w:r>
              <w:rPr>
                <w:b/>
                <w:sz w:val="16"/>
              </w:rPr>
              <w:t>Unit_Price</w:t>
            </w:r>
          </w:p>
        </w:tc>
        <w:tc>
          <w:tcPr>
            <w:tcW w:type="dxa" w:w="1037"/>
            <w:vAlign w:val="center"/>
            <w:shd w:fill="D9EAF7"/>
          </w:tcPr>
          <w:p>
            <w:pPr>
              <w:spacing w:after="40"/>
            </w:pPr>
            <w:r>
              <w:rPr>
                <w:b/>
                <w:sz w:val="16"/>
              </w:rPr>
              <w:t>Discount</w:t>
            </w:r>
          </w:p>
        </w:tc>
        <w:tc>
          <w:tcPr>
            <w:tcW w:type="dxa" w:w="1037"/>
            <w:vAlign w:val="center"/>
            <w:shd w:fill="D9EAF7"/>
          </w:tcPr>
          <w:p>
            <w:pPr>
              <w:spacing w:after="40"/>
            </w:pPr>
            <w:r>
              <w:rPr>
                <w:b/>
                <w:sz w:val="16"/>
              </w:rPr>
              <w:t>Currency</w:t>
            </w:r>
          </w:p>
        </w:tc>
        <w:tc>
          <w:tcPr>
            <w:tcW w:type="dxa" w:w="1037"/>
            <w:vAlign w:val="center"/>
            <w:shd w:fill="D9EAF7"/>
          </w:tcPr>
          <w:p>
            <w:pPr>
              <w:spacing w:after="40"/>
            </w:pPr>
            <w:r>
              <w:rPr>
                <w:b/>
                <w:sz w:val="16"/>
              </w:rPr>
              <w:t>Status</w:t>
            </w:r>
          </w:p>
        </w:tc>
      </w:tr>
      <w:tr>
        <w:tc>
          <w:tcPr>
            <w:tcW w:type="dxa" w:w="1037"/>
            <w:vAlign w:val="center"/>
          </w:tcPr>
          <w:p>
            <w:pPr>
              <w:spacing w:after="40"/>
            </w:pPr>
            <w:r>
              <w:rPr>
                <w:b w:val="0"/>
                <w:sz w:val="16"/>
              </w:rPr>
              <w:t>ORD-1042</w:t>
            </w:r>
          </w:p>
        </w:tc>
        <w:tc>
          <w:tcPr>
            <w:tcW w:type="dxa" w:w="1037"/>
            <w:vAlign w:val="center"/>
          </w:tcPr>
          <w:p>
            <w:pPr>
              <w:spacing w:after="40"/>
            </w:pPr>
            <w:r>
              <w:rPr>
                <w:b w:val="0"/>
                <w:sz w:val="16"/>
              </w:rPr>
              <w:t>CUST-007</w:t>
            </w:r>
          </w:p>
        </w:tc>
        <w:tc>
          <w:tcPr>
            <w:tcW w:type="dxa" w:w="1037"/>
            <w:vAlign w:val="center"/>
          </w:tcPr>
          <w:p>
            <w:pPr>
              <w:spacing w:after="40"/>
            </w:pPr>
            <w:r>
              <w:rPr>
                <w:b w:val="0"/>
                <w:sz w:val="16"/>
              </w:rPr>
              <w:t>2026-05-14T14:30:00Z</w:t>
            </w:r>
          </w:p>
        </w:tc>
        <w:tc>
          <w:tcPr>
            <w:tcW w:type="dxa" w:w="1037"/>
            <w:vAlign w:val="center"/>
          </w:tcPr>
          <w:p>
            <w:pPr>
              <w:spacing w:after="40"/>
            </w:pPr>
            <w:r>
              <w:rPr>
                <w:b w:val="0"/>
                <w:sz w:val="16"/>
              </w:rPr>
              <w:t>MUG-BLK</w:t>
            </w:r>
          </w:p>
        </w:tc>
        <w:tc>
          <w:tcPr>
            <w:tcW w:type="dxa" w:w="1037"/>
            <w:vAlign w:val="center"/>
          </w:tcPr>
          <w:p>
            <w:pPr>
              <w:spacing w:after="40"/>
            </w:pPr>
            <w:r>
              <w:rPr>
                <w:b w:val="0"/>
                <w:sz w:val="16"/>
              </w:rPr>
              <w:t>Black Ceramic Mug</w:t>
            </w:r>
          </w:p>
        </w:tc>
        <w:tc>
          <w:tcPr>
            <w:tcW w:type="dxa" w:w="1037"/>
            <w:vAlign w:val="center"/>
          </w:tcPr>
          <w:p>
            <w:pPr>
              <w:spacing w:after="40"/>
            </w:pPr>
            <w:r>
              <w:rPr>
                <w:b w:val="0"/>
                <w:sz w:val="16"/>
              </w:rPr>
              <w:t>2</w:t>
            </w:r>
          </w:p>
        </w:tc>
        <w:tc>
          <w:tcPr>
            <w:tcW w:type="dxa" w:w="1037"/>
            <w:vAlign w:val="center"/>
          </w:tcPr>
          <w:p>
            <w:pPr>
              <w:spacing w:after="40"/>
            </w:pPr>
            <w:r>
              <w:rPr>
                <w:b w:val="0"/>
                <w:sz w:val="16"/>
              </w:rPr>
              <w:t>450.00</w:t>
            </w:r>
          </w:p>
        </w:tc>
        <w:tc>
          <w:tcPr>
            <w:tcW w:type="dxa" w:w="1037"/>
            <w:vAlign w:val="center"/>
          </w:tcPr>
          <w:p>
            <w:pPr>
              <w:spacing w:after="40"/>
            </w:pPr>
            <w:r>
              <w:rPr>
                <w:b w:val="0"/>
                <w:sz w:val="16"/>
              </w:rPr>
              <w:t>45.00</w:t>
            </w:r>
          </w:p>
        </w:tc>
        <w:tc>
          <w:tcPr>
            <w:tcW w:type="dxa" w:w="1037"/>
            <w:vAlign w:val="center"/>
          </w:tcPr>
          <w:p>
            <w:pPr>
              <w:spacing w:after="40"/>
            </w:pPr>
            <w:r>
              <w:rPr>
                <w:b w:val="0"/>
                <w:sz w:val="16"/>
              </w:rPr>
              <w:t>INR</w:t>
            </w:r>
          </w:p>
        </w:tc>
        <w:tc>
          <w:tcPr>
            <w:tcW w:type="dxa" w:w="1037"/>
            <w:vAlign w:val="center"/>
          </w:tcPr>
          <w:p>
            <w:pPr>
              <w:spacing w:after="40"/>
            </w:pPr>
            <w:r>
              <w:rPr>
                <w:b w:val="0"/>
                <w:sz w:val="16"/>
              </w:rPr>
              <w:t>DELIVERED</w:t>
            </w:r>
          </w:p>
        </w:tc>
      </w:tr>
      <w:tr>
        <w:tc>
          <w:tcPr>
            <w:tcW w:type="dxa" w:w="1037"/>
            <w:vAlign w:val="center"/>
          </w:tcPr>
          <w:p>
            <w:pPr>
              <w:spacing w:after="40"/>
            </w:pPr>
            <w:r>
              <w:rPr>
                <w:b w:val="0"/>
                <w:sz w:val="16"/>
              </w:rPr>
              <w:t>ORD-1043</w:t>
            </w:r>
          </w:p>
        </w:tc>
        <w:tc>
          <w:tcPr>
            <w:tcW w:type="dxa" w:w="1037"/>
            <w:vAlign w:val="center"/>
          </w:tcPr>
          <w:p>
            <w:pPr>
              <w:spacing w:after="40"/>
            </w:pPr>
            <w:r>
              <w:rPr>
                <w:b w:val="0"/>
                <w:sz w:val="16"/>
              </w:rPr>
              <w:t>CUST-008</w:t>
            </w:r>
          </w:p>
        </w:tc>
        <w:tc>
          <w:tcPr>
            <w:tcW w:type="dxa" w:w="1037"/>
            <w:vAlign w:val="center"/>
          </w:tcPr>
          <w:p>
            <w:pPr>
              <w:spacing w:after="40"/>
            </w:pPr>
            <w:r>
              <w:rPr>
                <w:b w:val="0"/>
                <w:sz w:val="16"/>
              </w:rPr>
              <w:t>REVIEW: ambiguous local time</w:t>
            </w:r>
          </w:p>
        </w:tc>
        <w:tc>
          <w:tcPr>
            <w:tcW w:type="dxa" w:w="1037"/>
            <w:vAlign w:val="center"/>
          </w:tcPr>
          <w:p>
            <w:pPr>
              <w:spacing w:after="40"/>
            </w:pPr>
            <w:r>
              <w:rPr>
                <w:b w:val="0"/>
                <w:sz w:val="16"/>
              </w:rPr>
              <w:t>TSHIRT-M</w:t>
            </w:r>
          </w:p>
        </w:tc>
        <w:tc>
          <w:tcPr>
            <w:tcW w:type="dxa" w:w="1037"/>
            <w:vAlign w:val="center"/>
          </w:tcPr>
          <w:p>
            <w:pPr>
              <w:spacing w:after="40"/>
            </w:pPr>
            <w:r>
              <w:rPr>
                <w:b w:val="0"/>
                <w:sz w:val="16"/>
              </w:rPr>
              <w:t>Cotton Tee M</w:t>
            </w:r>
          </w:p>
        </w:tc>
        <w:tc>
          <w:tcPr>
            <w:tcW w:type="dxa" w:w="1037"/>
            <w:vAlign w:val="center"/>
          </w:tcPr>
          <w:p>
            <w:pPr>
              <w:spacing w:after="40"/>
            </w:pPr>
            <w:r>
              <w:rPr>
                <w:b w:val="0"/>
                <w:sz w:val="16"/>
              </w:rPr>
              <w:t>-1</w:t>
            </w:r>
          </w:p>
        </w:tc>
        <w:tc>
          <w:tcPr>
            <w:tcW w:type="dxa" w:w="1037"/>
            <w:vAlign w:val="center"/>
          </w:tcPr>
          <w:p>
            <w:pPr>
              <w:spacing w:after="40"/>
            </w:pPr>
            <w:r>
              <w:rPr>
                <w:b w:val="0"/>
                <w:sz w:val="16"/>
              </w:rPr>
              <w:t>799.00</w:t>
            </w:r>
          </w:p>
        </w:tc>
        <w:tc>
          <w:tcPr>
            <w:tcW w:type="dxa" w:w="1037"/>
            <w:vAlign w:val="center"/>
          </w:tcPr>
          <w:p>
            <w:pPr>
              <w:spacing w:after="40"/>
            </w:pPr>
            <w:r>
              <w:rPr>
                <w:b w:val="0"/>
                <w:sz w:val="16"/>
              </w:rPr>
              <w:t>0.00</w:t>
            </w:r>
          </w:p>
        </w:tc>
        <w:tc>
          <w:tcPr>
            <w:tcW w:type="dxa" w:w="1037"/>
            <w:vAlign w:val="center"/>
          </w:tcPr>
          <w:p>
            <w:pPr>
              <w:spacing w:after="40"/>
            </w:pPr>
            <w:r>
              <w:rPr>
                <w:b w:val="0"/>
                <w:sz w:val="16"/>
              </w:rPr>
              <w:t>INR</w:t>
            </w:r>
          </w:p>
        </w:tc>
        <w:tc>
          <w:tcPr>
            <w:tcW w:type="dxa" w:w="1037"/>
            <w:vAlign w:val="center"/>
          </w:tcPr>
          <w:p>
            <w:pPr>
              <w:spacing w:after="40"/>
            </w:pPr>
            <w:r>
              <w:rPr>
                <w:b w:val="0"/>
                <w:sz w:val="16"/>
              </w:rPr>
              <w:t>RETURN_REVIEW</w:t>
            </w:r>
          </w:p>
        </w:tc>
      </w:tr>
      <w:tr>
        <w:tc>
          <w:tcPr>
            <w:tcW w:type="dxa" w:w="1037"/>
            <w:vAlign w:val="center"/>
          </w:tcPr>
          <w:p>
            <w:pPr>
              <w:spacing w:after="40"/>
            </w:pPr>
            <w:r>
              <w:rPr>
                <w:b w:val="0"/>
                <w:sz w:val="16"/>
              </w:rPr>
              <w:t>ORD-1044</w:t>
            </w:r>
          </w:p>
        </w:tc>
        <w:tc>
          <w:tcPr>
            <w:tcW w:type="dxa" w:w="1037"/>
            <w:vAlign w:val="center"/>
          </w:tcPr>
          <w:p>
            <w:pPr>
              <w:spacing w:after="40"/>
            </w:pPr>
            <w:r>
              <w:rPr>
                <w:b w:val="0"/>
                <w:sz w:val="16"/>
              </w:rPr>
              <w:t>CUST-009</w:t>
            </w:r>
          </w:p>
        </w:tc>
        <w:tc>
          <w:tcPr>
            <w:tcW w:type="dxa" w:w="1037"/>
            <w:vAlign w:val="center"/>
          </w:tcPr>
          <w:p>
            <w:pPr>
              <w:spacing w:after="40"/>
            </w:pPr>
            <w:r>
              <w:rPr>
                <w:b w:val="0"/>
                <w:sz w:val="16"/>
              </w:rPr>
              <w:t>2026-05-15T05:30:00Z</w:t>
            </w:r>
          </w:p>
        </w:tc>
        <w:tc>
          <w:tcPr>
            <w:tcW w:type="dxa" w:w="1037"/>
            <w:vAlign w:val="center"/>
          </w:tcPr>
          <w:p>
            <w:pPr>
              <w:spacing w:after="40"/>
            </w:pPr>
            <w:r>
              <w:rPr>
                <w:b w:val="0"/>
                <w:sz w:val="16"/>
              </w:rPr>
              <w:t>BAG-01</w:t>
            </w:r>
          </w:p>
        </w:tc>
        <w:tc>
          <w:tcPr>
            <w:tcW w:type="dxa" w:w="1037"/>
            <w:vAlign w:val="center"/>
          </w:tcPr>
          <w:p>
            <w:pPr>
              <w:spacing w:after="40"/>
            </w:pPr>
            <w:r>
              <w:rPr>
                <w:b w:val="0"/>
                <w:sz w:val="16"/>
              </w:rPr>
              <w:t>Canvas Tote</w:t>
            </w:r>
          </w:p>
        </w:tc>
        <w:tc>
          <w:tcPr>
            <w:tcW w:type="dxa" w:w="1037"/>
            <w:vAlign w:val="center"/>
          </w:tcPr>
          <w:p>
            <w:pPr>
              <w:spacing w:after="40"/>
            </w:pPr>
            <w:r>
              <w:rPr>
                <w:b w:val="0"/>
                <w:sz w:val="16"/>
              </w:rPr>
              <w:t>1</w:t>
            </w:r>
          </w:p>
        </w:tc>
        <w:tc>
          <w:tcPr>
            <w:tcW w:type="dxa" w:w="1037"/>
            <w:vAlign w:val="center"/>
          </w:tcPr>
          <w:p>
            <w:pPr>
              <w:spacing w:after="40"/>
            </w:pPr>
            <w:r>
              <w:rPr>
                <w:b w:val="0"/>
                <w:sz w:val="16"/>
              </w:rPr>
              <w:t>18.00</w:t>
            </w:r>
          </w:p>
        </w:tc>
        <w:tc>
          <w:tcPr>
            <w:tcW w:type="dxa" w:w="1037"/>
            <w:vAlign w:val="center"/>
          </w:tcPr>
          <w:p>
            <w:pPr>
              <w:spacing w:after="40"/>
            </w:pPr>
            <w:r>
              <w:rPr>
                <w:b w:val="0"/>
                <w:sz w:val="16"/>
              </w:rPr>
              <w:t>0.00</w:t>
            </w:r>
          </w:p>
        </w:tc>
        <w:tc>
          <w:tcPr>
            <w:tcW w:type="dxa" w:w="1037"/>
            <w:vAlign w:val="center"/>
          </w:tcPr>
          <w:p>
            <w:pPr>
              <w:spacing w:after="40"/>
            </w:pPr>
            <w:r>
              <w:rPr>
                <w:b w:val="0"/>
                <w:sz w:val="16"/>
              </w:rPr>
              <w:t>USD</w:t>
            </w:r>
          </w:p>
        </w:tc>
        <w:tc>
          <w:tcPr>
            <w:tcW w:type="dxa" w:w="1037"/>
            <w:vAlign w:val="center"/>
          </w:tcPr>
          <w:p>
            <w:pPr>
              <w:spacing w:after="40"/>
            </w:pPr>
            <w:r>
              <w:rPr>
                <w:b w:val="0"/>
                <w:sz w:val="16"/>
              </w:rPr>
              <w:t>SHIPPED</w:t>
            </w:r>
          </w:p>
        </w:tc>
      </w:tr>
    </w:tbl>
    <w:p/>
    <w:p>
      <w:pPr>
        <w:pStyle w:val="Heading1"/>
      </w:pPr>
      <w:r>
        <w:t>Student Test Cases</w:t>
      </w:r>
    </w:p>
    <w:p>
      <w:r>
        <w:t>For each test, implement the transformation/validation and record the actual result, pass/fail status, and any exception output.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40"/>
            </w:pPr>
            <w:r>
              <w:rPr>
                <w:b/>
                <w:sz w:val="16"/>
              </w:rPr>
              <w:t>Test ID</w:t>
            </w:r>
          </w:p>
        </w:tc>
        <w:tc>
          <w:tcPr>
            <w:tcW w:type="dxa" w:w="2592"/>
            <w:vAlign w:val="center"/>
            <w:shd w:fill="D9EAF7"/>
          </w:tcPr>
          <w:p>
            <w:pPr>
              <w:spacing w:after="40"/>
            </w:pPr>
            <w:r>
              <w:rPr>
                <w:b/>
                <w:sz w:val="16"/>
              </w:rPr>
              <w:t>Scenario</w:t>
            </w:r>
          </w:p>
        </w:tc>
        <w:tc>
          <w:tcPr>
            <w:tcW w:type="dxa" w:w="2592"/>
            <w:vAlign w:val="center"/>
            <w:shd w:fill="D9EAF7"/>
          </w:tcPr>
          <w:p>
            <w:pPr>
              <w:spacing w:after="40"/>
            </w:pPr>
            <w:r>
              <w:rPr>
                <w:b/>
                <w:sz w:val="16"/>
              </w:rPr>
              <w:t>Input / Condition</w:t>
            </w:r>
          </w:p>
        </w:tc>
        <w:tc>
          <w:tcPr>
            <w:tcW w:type="dxa" w:w="2592"/>
            <w:vAlign w:val="center"/>
            <w:shd w:fill="D9EAF7"/>
          </w:tcPr>
          <w:p>
            <w:pPr>
              <w:spacing w:after="40"/>
            </w:pPr>
            <w:r>
              <w:rPr>
                <w:b/>
                <w:sz w:val="16"/>
              </w:rPr>
              <w:t>Expected Result</w:t>
            </w:r>
          </w:p>
        </w:tc>
      </w:tr>
      <w:tr>
        <w:tc>
          <w:tcPr>
            <w:tcW w:type="dxa" w:w="2592"/>
            <w:vAlign w:val="center"/>
          </w:tcPr>
          <w:p>
            <w:pPr>
              <w:spacing w:after="40"/>
            </w:pPr>
            <w:r>
              <w:rPr>
                <w:b w:val="0"/>
                <w:sz w:val="16"/>
              </w:rPr>
              <w:t>TC01</w:t>
            </w:r>
          </w:p>
        </w:tc>
        <w:tc>
          <w:tcPr>
            <w:tcW w:type="dxa" w:w="2592"/>
            <w:vAlign w:val="center"/>
          </w:tcPr>
          <w:p>
            <w:pPr>
              <w:spacing w:after="40"/>
            </w:pPr>
            <w:r>
              <w:rPr>
                <w:b w:val="0"/>
                <w:sz w:val="16"/>
              </w:rPr>
              <w:t>Whitespace and ID mapping</w:t>
            </w:r>
          </w:p>
        </w:tc>
        <w:tc>
          <w:tcPr>
            <w:tcW w:type="dxa" w:w="2592"/>
            <w:vAlign w:val="center"/>
          </w:tcPr>
          <w:p>
            <w:pPr>
              <w:spacing w:after="40"/>
            </w:pPr>
            <w:r>
              <w:rPr>
                <w:b w:val="0"/>
                <w:sz w:val="16"/>
              </w:rPr>
              <w:t>' ord-1042 ' + customer alias cust-07</w:t>
            </w:r>
          </w:p>
        </w:tc>
        <w:tc>
          <w:tcPr>
            <w:tcW w:type="dxa" w:w="2592"/>
            <w:vAlign w:val="center"/>
          </w:tcPr>
          <w:p>
            <w:pPr>
              <w:spacing w:after="40"/>
            </w:pPr>
            <w:r>
              <w:rPr>
                <w:b w:val="0"/>
                <w:sz w:val="16"/>
              </w:rPr>
              <w:t>Order ID becomes ORD-1042; customer resolves to CUST-007.</w:t>
            </w:r>
          </w:p>
        </w:tc>
      </w:tr>
      <w:tr>
        <w:tc>
          <w:tcPr>
            <w:tcW w:type="dxa" w:w="2592"/>
            <w:vAlign w:val="center"/>
          </w:tcPr>
          <w:p>
            <w:pPr>
              <w:spacing w:after="40"/>
            </w:pPr>
            <w:r>
              <w:rPr>
                <w:b w:val="0"/>
                <w:sz w:val="16"/>
              </w:rPr>
              <w:t>TC02</w:t>
            </w:r>
          </w:p>
        </w:tc>
        <w:tc>
          <w:tcPr>
            <w:tcW w:type="dxa" w:w="2592"/>
            <w:vAlign w:val="center"/>
          </w:tcPr>
          <w:p>
            <w:pPr>
              <w:spacing w:after="40"/>
            </w:pPr>
            <w:r>
              <w:rPr>
                <w:b w:val="0"/>
                <w:sz w:val="16"/>
              </w:rPr>
              <w:t>Equivalent timestamp deduplication</w:t>
            </w:r>
          </w:p>
        </w:tc>
        <w:tc>
          <w:tcPr>
            <w:tcW w:type="dxa" w:w="2592"/>
            <w:vAlign w:val="center"/>
          </w:tcPr>
          <w:p>
            <w:pPr>
              <w:spacing w:after="40"/>
            </w:pPr>
            <w:r>
              <w:rPr>
                <w:b w:val="0"/>
                <w:sz w:val="16"/>
              </w:rPr>
              <w:t>2026-05-14 10:30 -04:00 and 2026-05-14T14:30Z</w:t>
            </w:r>
          </w:p>
        </w:tc>
        <w:tc>
          <w:tcPr>
            <w:tcW w:type="dxa" w:w="2592"/>
            <w:vAlign w:val="center"/>
          </w:tcPr>
          <w:p>
            <w:pPr>
              <w:spacing w:after="40"/>
            </w:pPr>
            <w:r>
              <w:rPr>
                <w:b w:val="0"/>
                <w:sz w:val="16"/>
              </w:rPr>
              <w:t>Same event instant is identified; duplicate is not double-counted.</w:t>
            </w:r>
          </w:p>
        </w:tc>
      </w:tr>
      <w:tr>
        <w:tc>
          <w:tcPr>
            <w:tcW w:type="dxa" w:w="2592"/>
            <w:vAlign w:val="center"/>
          </w:tcPr>
          <w:p>
            <w:pPr>
              <w:spacing w:after="40"/>
            </w:pPr>
            <w:r>
              <w:rPr>
                <w:b w:val="0"/>
                <w:sz w:val="16"/>
              </w:rPr>
              <w:t>TC03</w:t>
            </w:r>
          </w:p>
        </w:tc>
        <w:tc>
          <w:tcPr>
            <w:tcW w:type="dxa" w:w="2592"/>
            <w:vAlign w:val="center"/>
          </w:tcPr>
          <w:p>
            <w:pPr>
              <w:spacing w:after="40"/>
            </w:pPr>
            <w:r>
              <w:rPr>
                <w:b w:val="0"/>
                <w:sz w:val="16"/>
              </w:rPr>
              <w:t>SKU canonicalization</w:t>
            </w:r>
          </w:p>
        </w:tc>
        <w:tc>
          <w:tcPr>
            <w:tcW w:type="dxa" w:w="2592"/>
            <w:vAlign w:val="center"/>
          </w:tcPr>
          <w:p>
            <w:pPr>
              <w:spacing w:after="40"/>
            </w:pPr>
            <w:r>
              <w:rPr>
                <w:b w:val="0"/>
                <w:sz w:val="16"/>
              </w:rPr>
              <w:t>mug_blk / Blk Ceramic Mug</w:t>
            </w:r>
          </w:p>
        </w:tc>
        <w:tc>
          <w:tcPr>
            <w:tcW w:type="dxa" w:w="2592"/>
            <w:vAlign w:val="center"/>
          </w:tcPr>
          <w:p>
            <w:pPr>
              <w:spacing w:after="40"/>
            </w:pPr>
            <w:r>
              <w:rPr>
                <w:b w:val="0"/>
                <w:sz w:val="16"/>
              </w:rPr>
              <w:t>SKU becomes MUG-BLK and product name comes from catalogue.</w:t>
            </w:r>
          </w:p>
        </w:tc>
      </w:tr>
      <w:tr>
        <w:tc>
          <w:tcPr>
            <w:tcW w:type="dxa" w:w="2592"/>
            <w:vAlign w:val="center"/>
          </w:tcPr>
          <w:p>
            <w:pPr>
              <w:spacing w:after="40"/>
            </w:pPr>
            <w:r>
              <w:rPr>
                <w:b w:val="0"/>
                <w:sz w:val="16"/>
              </w:rPr>
              <w:t>TC04</w:t>
            </w:r>
          </w:p>
        </w:tc>
        <w:tc>
          <w:tcPr>
            <w:tcW w:type="dxa" w:w="2592"/>
            <w:vAlign w:val="center"/>
          </w:tcPr>
          <w:p>
            <w:pPr>
              <w:spacing w:after="40"/>
            </w:pPr>
            <w:r>
              <w:rPr>
                <w:b w:val="0"/>
                <w:sz w:val="16"/>
              </w:rPr>
              <w:t>Discount normalization</w:t>
            </w:r>
          </w:p>
        </w:tc>
        <w:tc>
          <w:tcPr>
            <w:tcW w:type="dxa" w:w="2592"/>
            <w:vAlign w:val="center"/>
          </w:tcPr>
          <w:p>
            <w:pPr>
              <w:spacing w:after="40"/>
            </w:pPr>
            <w:r>
              <w:rPr>
                <w:b w:val="0"/>
                <w:sz w:val="16"/>
              </w:rPr>
              <w:t>₹450.00 and 10% discount</w:t>
            </w:r>
          </w:p>
        </w:tc>
        <w:tc>
          <w:tcPr>
            <w:tcW w:type="dxa" w:w="2592"/>
            <w:vAlign w:val="center"/>
          </w:tcPr>
          <w:p>
            <w:pPr>
              <w:spacing w:after="40"/>
            </w:pPr>
            <w:r>
              <w:rPr>
                <w:b w:val="0"/>
                <w:sz w:val="16"/>
              </w:rPr>
              <w:t>Price is 450.00; discount is 45.00 if percentage is defined against unit price.</w:t>
            </w:r>
          </w:p>
        </w:tc>
      </w:tr>
      <w:tr>
        <w:tc>
          <w:tcPr>
            <w:tcW w:type="dxa" w:w="2592"/>
            <w:vAlign w:val="center"/>
          </w:tcPr>
          <w:p>
            <w:pPr>
              <w:spacing w:after="40"/>
            </w:pPr>
            <w:r>
              <w:rPr>
                <w:b w:val="0"/>
                <w:sz w:val="16"/>
              </w:rPr>
              <w:t>TC05</w:t>
            </w:r>
          </w:p>
        </w:tc>
        <w:tc>
          <w:tcPr>
            <w:tcW w:type="dxa" w:w="2592"/>
            <w:vAlign w:val="center"/>
          </w:tcPr>
          <w:p>
            <w:pPr>
              <w:spacing w:after="40"/>
            </w:pPr>
            <w:r>
              <w:rPr>
                <w:b w:val="0"/>
                <w:sz w:val="16"/>
              </w:rPr>
              <w:t>Invalid quantity</w:t>
            </w:r>
          </w:p>
        </w:tc>
        <w:tc>
          <w:tcPr>
            <w:tcW w:type="dxa" w:w="2592"/>
            <w:vAlign w:val="center"/>
          </w:tcPr>
          <w:p>
            <w:pPr>
              <w:spacing w:after="40"/>
            </w:pPr>
            <w:r>
              <w:rPr>
                <w:b w:val="0"/>
                <w:sz w:val="16"/>
              </w:rPr>
              <w:t>Qty = -1 on a new order line</w:t>
            </w:r>
          </w:p>
        </w:tc>
        <w:tc>
          <w:tcPr>
            <w:tcW w:type="dxa" w:w="2592"/>
            <w:vAlign w:val="center"/>
          </w:tcPr>
          <w:p>
            <w:pPr>
              <w:spacing w:after="40"/>
            </w:pPr>
            <w:r>
              <w:rPr>
                <w:b w:val="0"/>
                <w:sz w:val="16"/>
              </w:rPr>
              <w:t>Flag for review; do not silently treat as a sale.</w:t>
            </w:r>
          </w:p>
        </w:tc>
      </w:tr>
      <w:tr>
        <w:tc>
          <w:tcPr>
            <w:tcW w:type="dxa" w:w="2592"/>
            <w:vAlign w:val="center"/>
          </w:tcPr>
          <w:p>
            <w:pPr>
              <w:spacing w:after="40"/>
            </w:pPr>
            <w:r>
              <w:rPr>
                <w:b w:val="0"/>
                <w:sz w:val="16"/>
              </w:rPr>
              <w:t>TC06</w:t>
            </w:r>
          </w:p>
        </w:tc>
        <w:tc>
          <w:tcPr>
            <w:tcW w:type="dxa" w:w="2592"/>
            <w:vAlign w:val="center"/>
          </w:tcPr>
          <w:p>
            <w:pPr>
              <w:spacing w:after="40"/>
            </w:pPr>
            <w:r>
              <w:rPr>
                <w:b w:val="0"/>
                <w:sz w:val="16"/>
              </w:rPr>
              <w:t>Ambiguous timestamp</w:t>
            </w:r>
          </w:p>
        </w:tc>
        <w:tc>
          <w:tcPr>
            <w:tcW w:type="dxa" w:w="2592"/>
            <w:vAlign w:val="center"/>
          </w:tcPr>
          <w:p>
            <w:pPr>
              <w:spacing w:after="40"/>
            </w:pPr>
            <w:r>
              <w:rPr>
                <w:b w:val="0"/>
                <w:sz w:val="16"/>
              </w:rPr>
              <w:t>14-05-2026 09:15 without timezone</w:t>
            </w:r>
          </w:p>
        </w:tc>
        <w:tc>
          <w:tcPr>
            <w:tcW w:type="dxa" w:w="2592"/>
            <w:vAlign w:val="center"/>
          </w:tcPr>
          <w:p>
            <w:pPr>
              <w:spacing w:after="40"/>
            </w:pPr>
            <w:r>
              <w:rPr>
                <w:b w:val="0"/>
                <w:sz w:val="16"/>
              </w:rPr>
              <w:t>Quarantine or request source timezone; do not invent UTC.</w:t>
            </w:r>
          </w:p>
        </w:tc>
      </w:tr>
      <w:tr>
        <w:tc>
          <w:tcPr>
            <w:tcW w:type="dxa" w:w="2592"/>
            <w:vAlign w:val="center"/>
          </w:tcPr>
          <w:p>
            <w:pPr>
              <w:spacing w:after="40"/>
            </w:pPr>
            <w:r>
              <w:rPr>
                <w:b w:val="0"/>
                <w:sz w:val="16"/>
              </w:rPr>
              <w:t>TC07</w:t>
            </w:r>
          </w:p>
        </w:tc>
        <w:tc>
          <w:tcPr>
            <w:tcW w:type="dxa" w:w="2592"/>
            <w:vAlign w:val="center"/>
          </w:tcPr>
          <w:p>
            <w:pPr>
              <w:spacing w:after="40"/>
            </w:pPr>
            <w:r>
              <w:rPr>
                <w:b w:val="0"/>
                <w:sz w:val="16"/>
              </w:rPr>
              <w:t>Currency conversion</w:t>
            </w:r>
          </w:p>
        </w:tc>
        <w:tc>
          <w:tcPr>
            <w:tcW w:type="dxa" w:w="2592"/>
            <w:vAlign w:val="center"/>
          </w:tcPr>
          <w:p>
            <w:pPr>
              <w:spacing w:after="40"/>
            </w:pPr>
            <w:r>
              <w:rPr>
                <w:b w:val="0"/>
                <w:sz w:val="16"/>
              </w:rPr>
              <w:t>USD order without FX rate for date</w:t>
            </w:r>
          </w:p>
        </w:tc>
        <w:tc>
          <w:tcPr>
            <w:tcW w:type="dxa" w:w="2592"/>
            <w:vAlign w:val="center"/>
          </w:tcPr>
          <w:p>
            <w:pPr>
              <w:spacing w:after="40"/>
            </w:pPr>
            <w:r>
              <w:rPr>
                <w:b w:val="0"/>
                <w:sz w:val="16"/>
              </w:rPr>
              <w:t>Preserve USD amount and flag conversion as unavailable.</w:t>
            </w:r>
          </w:p>
        </w:tc>
      </w:tr>
      <w:tr>
        <w:tc>
          <w:tcPr>
            <w:tcW w:type="dxa" w:w="2592"/>
            <w:vAlign w:val="center"/>
          </w:tcPr>
          <w:p>
            <w:pPr>
              <w:spacing w:after="40"/>
            </w:pPr>
            <w:r>
              <w:rPr>
                <w:b w:val="0"/>
                <w:sz w:val="16"/>
              </w:rPr>
              <w:t>TC08</w:t>
            </w:r>
          </w:p>
        </w:tc>
        <w:tc>
          <w:tcPr>
            <w:tcW w:type="dxa" w:w="2592"/>
            <w:vAlign w:val="center"/>
          </w:tcPr>
          <w:p>
            <w:pPr>
              <w:spacing w:after="40"/>
            </w:pPr>
            <w:r>
              <w:rPr>
                <w:b w:val="0"/>
                <w:sz w:val="16"/>
              </w:rPr>
              <w:t>Privacy masking</w:t>
            </w:r>
          </w:p>
        </w:tc>
        <w:tc>
          <w:tcPr>
            <w:tcW w:type="dxa" w:w="2592"/>
            <w:vAlign w:val="center"/>
          </w:tcPr>
          <w:p>
            <w:pPr>
              <w:spacing w:after="40"/>
            </w:pPr>
            <w:r>
              <w:rPr>
                <w:b w:val="0"/>
                <w:sz w:val="16"/>
              </w:rPr>
              <w:t>Customer email in source export</w:t>
            </w:r>
          </w:p>
        </w:tc>
        <w:tc>
          <w:tcPr>
            <w:tcW w:type="dxa" w:w="2592"/>
            <w:vAlign w:val="center"/>
          </w:tcPr>
          <w:p>
            <w:pPr>
              <w:spacing w:after="40"/>
            </w:pPr>
            <w:r>
              <w:rPr>
                <w:b w:val="0"/>
                <w:sz w:val="16"/>
              </w:rPr>
              <w:t>Mask/tokenize email in analyst-facing output.</w:t>
            </w:r>
          </w:p>
        </w:tc>
      </w:tr>
      <w:tr>
        <w:tc>
          <w:tcPr>
            <w:tcW w:type="dxa" w:w="2592"/>
            <w:vAlign w:val="center"/>
          </w:tcPr>
          <w:p>
            <w:pPr>
              <w:spacing w:after="40"/>
            </w:pPr>
            <w:r>
              <w:rPr>
                <w:b w:val="0"/>
                <w:sz w:val="16"/>
              </w:rPr>
              <w:t>TC09</w:t>
            </w:r>
          </w:p>
        </w:tc>
        <w:tc>
          <w:tcPr>
            <w:tcW w:type="dxa" w:w="2592"/>
            <w:vAlign w:val="center"/>
          </w:tcPr>
          <w:p>
            <w:pPr>
              <w:spacing w:after="40"/>
            </w:pPr>
            <w:r>
              <w:rPr>
                <w:b w:val="0"/>
                <w:sz w:val="16"/>
              </w:rPr>
              <w:t>Return linkage</w:t>
            </w:r>
          </w:p>
        </w:tc>
        <w:tc>
          <w:tcPr>
            <w:tcW w:type="dxa" w:w="2592"/>
            <w:vAlign w:val="center"/>
          </w:tcPr>
          <w:p>
            <w:pPr>
              <w:spacing w:after="40"/>
            </w:pPr>
            <w:r>
              <w:rPr>
                <w:b w:val="0"/>
                <w:sz w:val="16"/>
              </w:rPr>
              <w:t>Return references an unknown order line</w:t>
            </w:r>
          </w:p>
        </w:tc>
        <w:tc>
          <w:tcPr>
            <w:tcW w:type="dxa" w:w="2592"/>
            <w:vAlign w:val="center"/>
          </w:tcPr>
          <w:p>
            <w:pPr>
              <w:spacing w:after="40"/>
            </w:pPr>
            <w:r>
              <w:rPr>
                <w:b w:val="0"/>
                <w:sz w:val="16"/>
              </w:rPr>
              <w:t>Create unmatched-return exception; exclude from linked return metrics.</w:t>
            </w:r>
          </w:p>
        </w:tc>
      </w:tr>
      <w:tr>
        <w:tc>
          <w:tcPr>
            <w:tcW w:type="dxa" w:w="2592"/>
            <w:vAlign w:val="center"/>
          </w:tcPr>
          <w:p>
            <w:pPr>
              <w:spacing w:after="40"/>
            </w:pPr>
            <w:r>
              <w:rPr>
                <w:b w:val="0"/>
                <w:sz w:val="16"/>
              </w:rPr>
              <w:t>TC10</w:t>
            </w:r>
          </w:p>
        </w:tc>
        <w:tc>
          <w:tcPr>
            <w:tcW w:type="dxa" w:w="2592"/>
            <w:vAlign w:val="center"/>
          </w:tcPr>
          <w:p>
            <w:pPr>
              <w:spacing w:after="40"/>
            </w:pPr>
            <w:r>
              <w:rPr>
                <w:b w:val="0"/>
                <w:sz w:val="16"/>
              </w:rPr>
              <w:t>Cancelled order revenue</w:t>
            </w:r>
          </w:p>
        </w:tc>
        <w:tc>
          <w:tcPr>
            <w:tcW w:type="dxa" w:w="2592"/>
            <w:vAlign w:val="center"/>
          </w:tcPr>
          <w:p>
            <w:pPr>
              <w:spacing w:after="40"/>
            </w:pPr>
            <w:r>
              <w:rPr>
                <w:b w:val="0"/>
                <w:sz w:val="16"/>
              </w:rPr>
              <w:t>Status = cancelled</w:t>
            </w:r>
          </w:p>
        </w:tc>
        <w:tc>
          <w:tcPr>
            <w:tcW w:type="dxa" w:w="2592"/>
            <w:vAlign w:val="center"/>
          </w:tcPr>
          <w:p>
            <w:pPr>
              <w:spacing w:after="40"/>
            </w:pPr>
            <w:r>
              <w:rPr>
                <w:b w:val="0"/>
                <w:sz w:val="16"/>
              </w:rPr>
              <w:t>Exclude from fulfilled net sales according to documented definition.</w:t>
            </w:r>
          </w:p>
        </w:tc>
      </w:tr>
    </w:tbl>
    <w:p/>
    <w:p>
      <w:pPr>
        <w:pStyle w:val="Heading1"/>
      </w:pPr>
      <w:r>
        <w:t>Student Deliverables</w:t>
      </w:r>
    </w:p>
    <w:p>
      <w:pPr>
        <w:pStyle w:val="ListBullet"/>
      </w:pPr>
      <w:r>
        <w:t>A repeatable cleaning pipeline with documented assumptions and field-level rules.</w:t>
      </w:r>
    </w:p>
    <w:p>
      <w:pPr>
        <w:pStyle w:val="ListBullet"/>
      </w:pPr>
      <w:r>
        <w:t>A cleaned dataset plus an exception/reject dataset for records that cannot be safely resolved.</w:t>
      </w:r>
    </w:p>
    <w:p>
      <w:pPr>
        <w:pStyle w:val="ListBullet"/>
      </w:pPr>
      <w:r>
        <w:t>Automated tests for the listed cases, including boundary conditions and duplicate handling.</w:t>
      </w:r>
    </w:p>
    <w:p>
      <w:pPr>
        <w:pStyle w:val="ListBullet"/>
      </w:pPr>
      <w:r>
        <w:t>A short data-quality report covering completeness, validity, uniqueness, consistency, and reconciliation checks.</w:t>
      </w:r>
    </w:p>
    <w:p>
      <w:pPr>
        <w:pStyle w:val="ListBullet"/>
      </w:pPr>
      <w:r>
        <w:t>At least three analytical outputs from the transformation scenarios, with metric definitions and caveats.</w:t>
      </w:r>
    </w:p>
    <w:p>
      <w:pPr>
        <w:pStyle w:val="Heading1"/>
      </w:pPr>
      <w:r>
        <w:t>Evaluation Guidance</w:t>
      </w:r>
    </w:p>
    <w:p>
      <w:r>
        <w:t>Assess correctness of standardization, traceability of decisions, treatment of nulls and ambiguous data, test coverage, reproducibility, and clarity of analytical definitions. Do not reward guessed values where source data is insufficient.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