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r>
        <w:rPr>
          <w:rFonts w:ascii="Calibri" w:hAnsi="Calibri"/>
          <w:b/>
          <w:color w:val="0E7490"/>
          <w:sz w:val="21"/>
        </w:rPr>
        <w:t>ENTERPRISE TECHNICAL CASE STUDY &amp; PROJECT REPORT</w:t>
      </w:r>
    </w:p>
    <w:p>
      <w:pPr>
        <w:spacing w:after="240"/>
      </w:pPr>
      <w:r>
        <w:rPr>
          <w:rFonts w:ascii="Calibri" w:hAnsi="Calibri"/>
          <w:b/>
          <w:color w:val="0F172A"/>
          <w:sz w:val="52"/>
        </w:rPr>
        <w:t>HealthPulse: Clinical Data Warehouse &amp; Predictive Healthcare Decision Support System</w:t>
      </w:r>
    </w:p>
    <w:p>
      <w:pPr>
        <w:spacing w:after="3600"/>
      </w:pPr>
      <w:r>
        <w:rPr>
          <w:rFonts w:ascii="Calibri" w:hAnsi="Calibri"/>
          <w:color w:val="475569"/>
          <w:sz w:val="26"/>
        </w:rPr>
        <w:t>A Unified Multi-Dimensional Star Schema Warehouse, Supervised Diagnostic Mining, and Comorbidity Analytics Framework for Tertiary Hospital Systems</w:t>
      </w:r>
    </w:p>
    <w:p>
      <w:pPr>
        <w:spacing w:before="800" w:line="312" w:lineRule="auto"/>
      </w:pPr>
      <w:r>
        <w:rPr>
          <w:rFonts w:ascii="Calibri" w:hAnsi="Calibri"/>
          <w:b/>
          <w:color w:val="0E7490"/>
          <w:sz w:val="20"/>
        </w:rPr>
        <w:t xml:space="preserve">Specialization / Subject: </w:t>
      </w:r>
      <w:r>
        <w:rPr>
          <w:rFonts w:ascii="Calibri" w:hAnsi="Calibri"/>
          <w:b w:val="0"/>
          <w:color w:val="334155"/>
          <w:sz w:val="20"/>
        </w:rPr>
        <w:t>Data Warehousing and Data Mining (DWM) / Healthcare Informatics</w:t>
        <w:br/>
      </w:r>
      <w:r>
        <w:rPr>
          <w:rFonts w:ascii="Calibri" w:hAnsi="Calibri"/>
          <w:b/>
          <w:color w:val="0E7490"/>
          <w:sz w:val="20"/>
        </w:rPr>
        <w:t xml:space="preserve">Target Organization: </w:t>
      </w:r>
      <w:r>
        <w:rPr>
          <w:rFonts w:ascii="Calibri" w:hAnsi="Calibri"/>
          <w:b w:val="0"/>
          <w:color w:val="334155"/>
          <w:sz w:val="20"/>
        </w:rPr>
        <w:t>Apex Metropolitan Health System (Regional Tertiary Medical Center)</w:t>
        <w:br/>
      </w:r>
      <w:r>
        <w:rPr>
          <w:rFonts w:ascii="Calibri" w:hAnsi="Calibri"/>
          <w:b/>
          <w:color w:val="0E7490"/>
          <w:sz w:val="20"/>
        </w:rPr>
        <w:t xml:space="preserve">System Architecture: </w:t>
      </w:r>
      <w:r>
        <w:rPr>
          <w:rFonts w:ascii="Calibri" w:hAnsi="Calibri"/>
          <w:b w:val="0"/>
          <w:color w:val="334155"/>
          <w:sz w:val="20"/>
        </w:rPr>
        <w:t>Star Schema Dimensional Warehouse (SQLite) + Multi-Model Machine Learning</w:t>
        <w:br/>
      </w:r>
      <w:r>
        <w:rPr>
          <w:rFonts w:ascii="Calibri" w:hAnsi="Calibri"/>
          <w:b/>
          <w:color w:val="0E7490"/>
          <w:sz w:val="20"/>
        </w:rPr>
        <w:t xml:space="preserve">Implementation Stack: </w:t>
      </w:r>
      <w:r>
        <w:rPr>
          <w:rFonts w:ascii="Calibri" w:hAnsi="Calibri"/>
          <w:b w:val="0"/>
          <w:color w:val="334155"/>
          <w:sz w:val="20"/>
        </w:rPr>
        <w:t>Python 3.13, Streamlit, Scikit-Learn, Plotly, MLxtend, Pandas, NumPy</w:t>
        <w:br/>
      </w:r>
      <w:r>
        <w:rPr>
          <w:rFonts w:ascii="Calibri" w:hAnsi="Calibri"/>
          <w:b/>
          <w:color w:val="0E7490"/>
          <w:sz w:val="20"/>
        </w:rPr>
        <w:t xml:space="preserve">Document Classification: </w:t>
      </w:r>
      <w:r>
        <w:rPr>
          <w:rFonts w:ascii="Calibri" w:hAnsi="Calibri"/>
          <w:b w:val="0"/>
          <w:color w:val="334155"/>
          <w:sz w:val="20"/>
        </w:rPr>
        <w:t>Academic Capstone &amp; Technical Architecture Project Report</w:t>
        <w:br/>
      </w:r>
      <w:r>
        <w:rPr>
          <w:rFonts w:ascii="Calibri" w:hAnsi="Calibri"/>
          <w:b/>
          <w:color w:val="0E7490"/>
          <w:sz w:val="20"/>
        </w:rPr>
        <w:t xml:space="preserve">Date / Version: </w:t>
      </w:r>
      <w:r>
        <w:rPr>
          <w:rFonts w:ascii="Calibri" w:hAnsi="Calibri"/>
          <w:b w:val="0"/>
          <w:color w:val="334155"/>
          <w:sz w:val="20"/>
        </w:rPr>
        <w:t>Academic Year 2025-2026 | Version 2.4 Production Release</w:t>
      </w:r>
    </w:p>
    <w:p>
      <w:r>
        <w:br w:type="page"/>
      </w:r>
    </w:p>
    <w:p>
      <w:pPr>
        <w:spacing w:line="283" w:lineRule="auto" w:after="120"/>
      </w:pPr>
      <w:r>
        <w:rPr>
          <w:b/>
          <w:color w:val="0F172A"/>
        </w:rPr>
        <w:t>Document Type:</w:t>
      </w:r>
      <w:r>
        <w:rPr>
          <w:rFonts w:ascii="Calibri" w:hAnsi="Calibri"/>
          <w:color w:val="1E293B"/>
        </w:rPr>
        <w:t xml:space="preserve"> Comprehensive Technical Case Study &amp; Enterprise Project Report</w:t>
      </w:r>
    </w:p>
    <w:p>
      <w:pPr>
        <w:spacing w:line="283" w:lineRule="auto" w:after="120"/>
      </w:pPr>
      <w:r>
        <w:rPr>
          <w:b/>
          <w:color w:val="0F172A"/>
        </w:rPr>
        <w:t>Subject / Specialization:</w:t>
      </w:r>
      <w:r>
        <w:rPr>
          <w:rFonts w:ascii="Calibri" w:hAnsi="Calibri"/>
          <w:color w:val="1E293B"/>
        </w:rPr>
        <w:t xml:space="preserve"> Data Warehousing and Data Mining (DWM) / Healthcare Informatics</w:t>
      </w:r>
    </w:p>
    <w:p>
      <w:pPr>
        <w:spacing w:line="283" w:lineRule="auto" w:after="120"/>
      </w:pPr>
      <w:r>
        <w:rPr>
          <w:b/>
          <w:color w:val="0F172A"/>
        </w:rPr>
        <w:t>Target Domain:</w:t>
      </w:r>
      <w:r>
        <w:rPr>
          <w:rFonts w:ascii="Calibri" w:hAnsi="Calibri"/>
          <w:color w:val="1E293B"/>
        </w:rPr>
        <w:t xml:space="preserve"> Tertiary Hospital Systems, Clinical Data Warehousing, Multi-Paradigm Predictive Mining</w:t>
      </w:r>
    </w:p>
    <w:p>
      <w:pPr>
        <w:spacing w:line="283" w:lineRule="auto" w:after="120"/>
      </w:pPr>
      <w:r>
        <w:rPr>
          <w:b/>
          <w:color w:val="0F172A"/>
        </w:rPr>
        <w:t>Target Organization:</w:t>
      </w:r>
      <w:r>
        <w:rPr>
          <w:rFonts w:ascii="Calibri" w:hAnsi="Calibri"/>
          <w:color w:val="1E293B"/>
        </w:rPr>
        <w:t xml:space="preserve"> Apex Metropolitan Health System (Simulated Regional Medical Center)</w:t>
      </w:r>
    </w:p>
    <w:p>
      <w:pPr>
        <w:spacing w:line="283" w:lineRule="auto" w:after="120"/>
      </w:pPr>
      <w:r>
        <w:rPr>
          <w:b/>
          <w:color w:val="0F172A"/>
        </w:rPr>
        <w:t>Authors / Implementers:</w:t>
      </w:r>
      <w:r>
        <w:rPr>
          <w:rFonts w:ascii="Calibri" w:hAnsi="Calibri"/>
          <w:color w:val="1E293B"/>
        </w:rPr>
        <w:t xml:space="preserve"> Clinical Data Engineering &amp; Machine Learning Team</w:t>
      </w:r>
    </w:p>
    <w:p>
      <w:pPr>
        <w:spacing w:before="160" w:after="160"/>
      </w:pPr>
    </w:p>
    <w:p>
      <w:pPr>
        <w:pStyle w:val="Heading2"/>
        <w:keepNext/>
        <w:spacing w:before="280" w:after="120"/>
      </w:pPr>
      <w:r>
        <w:rPr>
          <w:rFonts w:ascii="Calibri" w:hAnsi="Calibri"/>
          <w:b/>
          <w:color w:val="1E3A8A"/>
          <w:sz w:val="28"/>
        </w:rPr>
        <w:t>Executive Summary</w:t>
      </w:r>
    </w:p>
    <w:p>
      <w:pPr>
        <w:spacing w:line="283" w:lineRule="auto" w:after="120"/>
      </w:pPr>
      <w:r>
        <w:rPr>
          <w:rFonts w:ascii="Calibri" w:hAnsi="Calibri"/>
          <w:color w:val="1E293B"/>
        </w:rPr>
        <w:t>Modern hospital systems operate in an environment characterized by escalating clinical complexity, rising operational expenditures, and unprecedented volumes of digitized health records. While electronic medical record (EMR) and transactional hospital information systems (OLTP) successfully facilitate day-to-day administrative billing and patient scheduling, they are architecturally unsuited for longitudinal epidemiological discovery, multi-dimensional business intelligence, and real-time clinical risk stratification.</w:t>
      </w:r>
    </w:p>
    <w:p>
      <w:pPr>
        <w:spacing w:line="283" w:lineRule="auto" w:after="120"/>
      </w:pPr>
      <w:r>
        <w:rPr>
          <w:rFonts w:ascii="Calibri" w:hAnsi="Calibri"/>
          <w:color w:val="1E293B"/>
        </w:rPr>
        <w:t xml:space="preserve">This case study documents the end-to-end design, implementation, and empirical validation of </w:t>
      </w:r>
      <w:r>
        <w:rPr>
          <w:b/>
          <w:color w:val="0F172A"/>
        </w:rPr>
        <w:t>HealthPulse</w:t>
      </w:r>
      <w:r>
        <w:rPr>
          <w:rFonts w:ascii="Calibri" w:hAnsi="Calibri"/>
          <w:color w:val="1E293B"/>
        </w:rPr>
        <w:t>, an enterprise-grade clinical decision support and data warehousing system deployed across a simulated 3,500-patient multi-specialty tertiary care hospital network. HealthPulse bridges the longstanding gap between transactional healthcare data stores and advanced analytical mining through a unified six-tier architecture:</w:t>
      </w:r>
    </w:p>
    <w:p>
      <w:pPr>
        <w:spacing w:line="283" w:lineRule="auto" w:after="120"/>
      </w:pPr>
      <w:r>
        <w:rPr>
          <w:rFonts w:ascii="Calibri" w:hAnsi="Calibri"/>
          <w:color w:val="1E293B"/>
        </w:rPr>
        <w:t xml:space="preserve">1. </w:t>
      </w:r>
      <w:r>
        <w:rPr>
          <w:b/>
          <w:color w:val="0F172A"/>
        </w:rPr>
        <w:t>Enterprise Data Modeling:</w:t>
      </w:r>
      <w:r>
        <w:rPr>
          <w:rFonts w:ascii="Calibri" w:hAnsi="Calibri"/>
          <w:color w:val="1E293B"/>
        </w:rPr>
        <w:t xml:space="preserve"> A conformed Star Schema data warehouse comprising four dimension tables (</w:t>
      </w:r>
      <w:r>
        <w:rPr>
          <w:rFonts w:ascii="Consolas" w:hAnsi="Consolas"/>
          <w:color w:val="0F766E"/>
          <w:sz w:val="19"/>
        </w:rPr>
        <w:t>Dim_Patient</w:t>
      </w:r>
      <w:r>
        <w:rPr>
          <w:rFonts w:ascii="Calibri" w:hAnsi="Calibri"/>
          <w:color w:val="1E293B"/>
        </w:rPr>
        <w:t xml:space="preserve">, </w:t>
      </w:r>
      <w:r>
        <w:rPr>
          <w:rFonts w:ascii="Consolas" w:hAnsi="Consolas"/>
          <w:color w:val="0F766E"/>
          <w:sz w:val="19"/>
        </w:rPr>
        <w:t>Dim_Date</w:t>
      </w:r>
      <w:r>
        <w:rPr>
          <w:rFonts w:ascii="Calibri" w:hAnsi="Calibri"/>
          <w:color w:val="1E293B"/>
        </w:rPr>
        <w:t xml:space="preserve">, </w:t>
      </w:r>
      <w:r>
        <w:rPr>
          <w:rFonts w:ascii="Consolas" w:hAnsi="Consolas"/>
          <w:color w:val="0F766E"/>
          <w:sz w:val="19"/>
        </w:rPr>
        <w:t>Dim_Department</w:t>
      </w:r>
      <w:r>
        <w:rPr>
          <w:rFonts w:ascii="Calibri" w:hAnsi="Calibri"/>
          <w:color w:val="1E293B"/>
        </w:rPr>
        <w:t xml:space="preserve">, </w:t>
      </w:r>
      <w:r>
        <w:rPr>
          <w:rFonts w:ascii="Consolas" w:hAnsi="Consolas"/>
          <w:color w:val="0F766E"/>
          <w:sz w:val="19"/>
        </w:rPr>
        <w:t>Dim_DiagnosisCategory</w:t>
      </w:r>
      <w:r>
        <w:rPr>
          <w:rFonts w:ascii="Calibri" w:hAnsi="Calibri"/>
          <w:color w:val="1E293B"/>
        </w:rPr>
        <w:t>) and a central, highly granular fact table (</w:t>
      </w:r>
      <w:r>
        <w:rPr>
          <w:rFonts w:ascii="Consolas" w:hAnsi="Consolas"/>
          <w:color w:val="0F766E"/>
          <w:sz w:val="19"/>
        </w:rPr>
        <w:t>Fact_PatientAssessments</w:t>
      </w:r>
      <w:r>
        <w:rPr>
          <w:rFonts w:ascii="Calibri" w:hAnsi="Calibri"/>
          <w:color w:val="1E293B"/>
        </w:rPr>
        <w:t>).</w:t>
      </w:r>
    </w:p>
    <w:p>
      <w:pPr>
        <w:spacing w:line="283" w:lineRule="auto" w:after="120"/>
      </w:pPr>
      <w:r>
        <w:rPr>
          <w:rFonts w:ascii="Calibri" w:hAnsi="Calibri"/>
          <w:color w:val="1E293B"/>
        </w:rPr>
        <w:t xml:space="preserve">2. </w:t>
      </w:r>
      <w:r>
        <w:rPr>
          <w:b/>
          <w:color w:val="0F172A"/>
        </w:rPr>
        <w:t>Automated ETL Pipeline:</w:t>
      </w:r>
      <w:r>
        <w:rPr>
          <w:rFonts w:ascii="Calibri" w:hAnsi="Calibri"/>
          <w:color w:val="1E293B"/>
        </w:rPr>
        <w:t xml:space="preserve"> A robust ingestion, hygiene, Interquartile Range (IQR) outlier mediation, feature discretization, and surrogate key generation pipeline.</w:t>
      </w:r>
    </w:p>
    <w:p>
      <w:pPr>
        <w:spacing w:line="283" w:lineRule="auto" w:after="120"/>
      </w:pPr>
      <w:r>
        <w:rPr>
          <w:rFonts w:ascii="Calibri" w:hAnsi="Calibri"/>
          <w:color w:val="1E293B"/>
        </w:rPr>
        <w:t xml:space="preserve">3. </w:t>
      </w:r>
      <w:r>
        <w:rPr>
          <w:b/>
          <w:color w:val="0F172A"/>
        </w:rPr>
        <w:t>Multi-Dimensional OLAP Cube:</w:t>
      </w:r>
      <w:r>
        <w:rPr>
          <w:rFonts w:ascii="Calibri" w:hAnsi="Calibri"/>
          <w:color w:val="1E293B"/>
        </w:rPr>
        <w:t xml:space="preserve"> Interactive implementation of Roll-Up, Drill-Down, Slice, Dice, and Pivot operations providing hospital leadership with instant visibility into departmental expenditures, length of stay (LOS), and epidemiological disease trajectories.</w:t>
      </w:r>
    </w:p>
    <w:p>
      <w:pPr>
        <w:spacing w:line="283" w:lineRule="auto" w:after="120"/>
      </w:pPr>
      <w:r>
        <w:rPr>
          <w:rFonts w:ascii="Calibri" w:hAnsi="Calibri"/>
          <w:color w:val="1E293B"/>
        </w:rPr>
        <w:t xml:space="preserve">4. </w:t>
      </w:r>
      <w:r>
        <w:rPr>
          <w:b/>
          <w:color w:val="0F172A"/>
        </w:rPr>
        <w:t>Supervised Multi-Disease Classification:</w:t>
      </w:r>
      <w:r>
        <w:rPr>
          <w:rFonts w:ascii="Calibri" w:hAnsi="Calibri"/>
          <w:color w:val="1E293B"/>
        </w:rPr>
        <w:t xml:space="preserve"> Parallel deployment of CART (Classification and Regression Trees) Decision Trees, Gaussian Naïve Bayes, Random Forest ensembles, and Logistic Regression to predict Cardiovascular Disease, Type-2 Diabetes, and Chronic Kidney Disease onset with accuracies up to 75.31% and ROC-AUC scores of 0.827.</w:t>
      </w:r>
    </w:p>
    <w:p>
      <w:pPr>
        <w:spacing w:line="283" w:lineRule="auto" w:after="120"/>
      </w:pPr>
      <w:r>
        <w:rPr>
          <w:rFonts w:ascii="Calibri" w:hAnsi="Calibri"/>
          <w:color w:val="1E293B"/>
        </w:rPr>
        <w:t xml:space="preserve">5. </w:t>
      </w:r>
      <w:r>
        <w:rPr>
          <w:b/>
          <w:color w:val="0F172A"/>
        </w:rPr>
        <w:t>Continuous Financial Regression:</w:t>
      </w:r>
      <w:r>
        <w:rPr>
          <w:rFonts w:ascii="Calibri" w:hAnsi="Calibri"/>
          <w:color w:val="1E293B"/>
        </w:rPr>
        <w:t xml:space="preserve"> Accurate modeling of patient healthcare expenditure using Ordinary Least Squares, </w:t>
      </w:r>
      <w:r>
        <w:rPr>
          <w:i/>
          <w:color w:val="1E293B"/>
        </w:rPr>
        <w:t>L_2</w:t>
      </w:r>
      <w:r>
        <w:rPr>
          <w:rFonts w:ascii="Calibri" w:hAnsi="Calibri"/>
          <w:color w:val="1E293B"/>
        </w:rPr>
        <w:t xml:space="preserve">-regularized Ridge Regression, and Random Forest Regressors, achieving an </w:t>
      </w:r>
      <w:r>
        <w:rPr>
          <w:i/>
          <w:color w:val="1E293B"/>
        </w:rPr>
        <w:t>R^2</w:t>
      </w:r>
      <w:r>
        <w:rPr>
          <w:rFonts w:ascii="Calibri" w:hAnsi="Calibri"/>
          <w:color w:val="1E293B"/>
        </w:rPr>
        <w:t xml:space="preserve"> of 0.9983 and a Mean Absolute Error (MAE) of \</w:t>
      </w:r>
      <w:r>
        <w:rPr>
          <w:i/>
          <w:color w:val="1E293B"/>
        </w:rPr>
        <w:t>91.32 across a \</w:t>
      </w:r>
      <w:r>
        <w:rPr>
          <w:rFonts w:ascii="Calibri" w:hAnsi="Calibri"/>
          <w:color w:val="1E293B"/>
        </w:rPr>
        <w:t>25,000 cost distribution.</w:t>
      </w:r>
    </w:p>
    <w:p>
      <w:pPr>
        <w:spacing w:line="283" w:lineRule="auto" w:after="120"/>
      </w:pPr>
      <w:r>
        <w:rPr>
          <w:rFonts w:ascii="Calibri" w:hAnsi="Calibri"/>
          <w:color w:val="1E293B"/>
        </w:rPr>
        <w:t xml:space="preserve">6. </w:t>
      </w:r>
      <w:r>
        <w:rPr>
          <w:b/>
          <w:color w:val="0F172A"/>
        </w:rPr>
        <w:t>Unsupervised Risk Stratification:</w:t>
      </w:r>
      <w:r>
        <w:rPr>
          <w:rFonts w:ascii="Calibri" w:hAnsi="Calibri"/>
          <w:color w:val="1E293B"/>
        </w:rPr>
        <w:t xml:space="preserve"> K-Means clustering validated via the Elbow Method and Silhouette Analysis, isolating four distinct patient cohorts visualized across 2D/3D Principal Component Analysis (PCA) subspaces.</w:t>
      </w:r>
    </w:p>
    <w:p>
      <w:pPr>
        <w:spacing w:line="283" w:lineRule="auto" w:after="120"/>
      </w:pPr>
      <w:r>
        <w:rPr>
          <w:rFonts w:ascii="Calibri" w:hAnsi="Calibri"/>
          <w:color w:val="1E293B"/>
        </w:rPr>
        <w:t xml:space="preserve">7. </w:t>
      </w:r>
      <w:r>
        <w:rPr>
          <w:b/>
          <w:color w:val="0F172A"/>
        </w:rPr>
        <w:t>Comorbidity Association Rule Mining:</w:t>
      </w:r>
      <w:r>
        <w:rPr>
          <w:rFonts w:ascii="Calibri" w:hAnsi="Calibri"/>
          <w:color w:val="1E293B"/>
        </w:rPr>
        <w:t xml:space="preserve"> Discovery of actionable symptom-disease dependencies via the Apriori algorithm, uncovering comorbidity rules exhibiting Lift factors exceeding 4.24.</w:t>
      </w:r>
    </w:p>
    <w:p>
      <w:pPr>
        <w:spacing w:line="283" w:lineRule="auto" w:after="120"/>
      </w:pPr>
      <w:r>
        <w:rPr>
          <w:rFonts w:ascii="Calibri" w:hAnsi="Calibri"/>
          <w:color w:val="1E293B"/>
        </w:rPr>
        <w:t xml:space="preserve">8. </w:t>
      </w:r>
      <w:r>
        <w:rPr>
          <w:b/>
          <w:color w:val="0F172A"/>
        </w:rPr>
        <w:t>Interactive Clinical Dashboard:</w:t>
      </w:r>
      <w:r>
        <w:rPr>
          <w:rFonts w:ascii="Calibri" w:hAnsi="Calibri"/>
          <w:color w:val="1E293B"/>
        </w:rPr>
        <w:t xml:space="preserve"> A low-latency web application engineered in Python and Streamlit, equipped with a live diagnostic inference engine, explainable decision tree rule paths, and automated patient health audit report generation.</w:t>
      </w:r>
    </w:p>
    <w:p>
      <w:pPr>
        <w:spacing w:line="283" w:lineRule="auto" w:after="120"/>
      </w:pPr>
      <w:r>
        <w:rPr>
          <w:rFonts w:ascii="Calibri" w:hAnsi="Calibri"/>
          <w:color w:val="1E293B"/>
        </w:rPr>
        <w:t>The following report serves as an exhaustive technical case study detailing the clinical problem space, theoretical foundations, architectural blueprints, algorithmic formulations, performance benchmarks, and implementation governance.</w:t>
      </w:r>
    </w:p>
    <w:p>
      <w:pPr>
        <w:spacing w:before="160" w:after="160"/>
      </w:pPr>
    </w:p>
    <w:p>
      <w:r>
        <w:br w:type="page"/>
      </w:r>
    </w:p>
    <w:p>
      <w:pPr>
        <w:pStyle w:val="Heading2"/>
        <w:keepNext/>
        <w:spacing w:before="280" w:after="120"/>
      </w:pPr>
      <w:r>
        <w:rPr>
          <w:rFonts w:ascii="Calibri" w:hAnsi="Calibri"/>
          <w:b/>
          <w:color w:val="1E3A8A"/>
          <w:sz w:val="28"/>
        </w:rPr>
        <w:t>Table of Contents</w:t>
      </w:r>
    </w:p>
    <w:p>
      <w:pPr>
        <w:spacing w:line="283" w:lineRule="auto" w:after="60"/>
        <w:ind w:left="360"/>
      </w:pPr>
      <w:r>
        <w:rPr>
          <w:rFonts w:ascii="Calibri" w:hAnsi="Calibri"/>
          <w:b/>
          <w:color w:val="0E7490"/>
        </w:rPr>
        <w:t xml:space="preserve">•  </w:t>
      </w:r>
      <w:r>
        <w:rPr>
          <w:rFonts w:ascii="Calibri" w:hAnsi="Calibri"/>
          <w:color w:val="1E293B"/>
        </w:rPr>
        <w:t>[Chapter 1: Enterprise Healthcare Context &amp; Problem Definition](#chapter-1-enterprise-healthcare-context--problem-definition)</w:t>
      </w:r>
    </w:p>
    <w:p>
      <w:pPr>
        <w:spacing w:line="283" w:lineRule="auto" w:after="60"/>
        <w:ind w:left="360"/>
      </w:pPr>
      <w:r>
        <w:rPr>
          <w:rFonts w:ascii="Calibri" w:hAnsi="Calibri"/>
          <w:b/>
          <w:color w:val="0E7490"/>
        </w:rPr>
        <w:t xml:space="preserve">•  </w:t>
      </w:r>
      <w:r>
        <w:rPr>
          <w:rFonts w:ascii="Calibri" w:hAnsi="Calibri"/>
          <w:color w:val="1E293B"/>
        </w:rPr>
        <w:t>[1.1 The Healthcare Big Data Paradigm](#11-the-healthcare-big-data-paradigm)</w:t>
      </w:r>
    </w:p>
    <w:p>
      <w:pPr>
        <w:spacing w:line="283" w:lineRule="auto" w:after="60"/>
        <w:ind w:left="360"/>
      </w:pPr>
      <w:r>
        <w:rPr>
          <w:rFonts w:ascii="Calibri" w:hAnsi="Calibri"/>
          <w:b/>
          <w:color w:val="0E7490"/>
        </w:rPr>
        <w:t xml:space="preserve">•  </w:t>
      </w:r>
      <w:r>
        <w:rPr>
          <w:rFonts w:ascii="Calibri" w:hAnsi="Calibri"/>
          <w:color w:val="1E293B"/>
        </w:rPr>
        <w:t>[1.2 Institutional Profile: Apex Metropolitan Health System](#12-institutional-profile-apex-metropolitan-health-system)</w:t>
      </w:r>
    </w:p>
    <w:p>
      <w:pPr>
        <w:spacing w:line="283" w:lineRule="auto" w:after="60"/>
        <w:ind w:left="360"/>
      </w:pPr>
      <w:r>
        <w:rPr>
          <w:rFonts w:ascii="Calibri" w:hAnsi="Calibri"/>
          <w:b/>
          <w:color w:val="0E7490"/>
        </w:rPr>
        <w:t xml:space="preserve">•  </w:t>
      </w:r>
      <w:r>
        <w:rPr>
          <w:rFonts w:ascii="Calibri" w:hAnsi="Calibri"/>
          <w:color w:val="1E293B"/>
        </w:rPr>
        <w:t>[1.3 Limitations of Transactional Systems (OLTP vs. OLAP)](#13-limitations-of-transactional-systems-oltp-vs-olap)</w:t>
      </w:r>
    </w:p>
    <w:p>
      <w:pPr>
        <w:spacing w:line="283" w:lineRule="auto" w:after="60"/>
        <w:ind w:left="360"/>
      </w:pPr>
      <w:r>
        <w:rPr>
          <w:rFonts w:ascii="Calibri" w:hAnsi="Calibri"/>
          <w:b/>
          <w:color w:val="0E7490"/>
        </w:rPr>
        <w:t xml:space="preserve">•  </w:t>
      </w:r>
      <w:r>
        <w:rPr>
          <w:rFonts w:ascii="Calibri" w:hAnsi="Calibri"/>
          <w:color w:val="1E293B"/>
        </w:rPr>
        <w:t>[1.4 Project Objectives, Business Scope, and KPIs](#14-project-objectives-business-scope-and-kpis)</w:t>
      </w:r>
    </w:p>
    <w:p>
      <w:pPr>
        <w:spacing w:line="283" w:lineRule="auto" w:after="60"/>
        <w:ind w:left="360"/>
      </w:pPr>
      <w:r>
        <w:rPr>
          <w:rFonts w:ascii="Calibri" w:hAnsi="Calibri"/>
          <w:b/>
          <w:color w:val="0E7490"/>
        </w:rPr>
        <w:t xml:space="preserve">•  </w:t>
      </w:r>
      <w:r>
        <w:rPr>
          <w:rFonts w:ascii="Calibri" w:hAnsi="Calibri"/>
          <w:color w:val="1E293B"/>
        </w:rPr>
        <w:t>[Chapter 2: Literature Review &amp; Theoretical Foundations](#chapter-2-literature-review--theoretical-foundations)</w:t>
      </w:r>
    </w:p>
    <w:p>
      <w:pPr>
        <w:spacing w:line="283" w:lineRule="auto" w:after="60"/>
        <w:ind w:left="360"/>
      </w:pPr>
      <w:r>
        <w:rPr>
          <w:rFonts w:ascii="Calibri" w:hAnsi="Calibri"/>
          <w:b/>
          <w:color w:val="0E7490"/>
        </w:rPr>
        <w:t xml:space="preserve">•  </w:t>
      </w:r>
      <w:r>
        <w:rPr>
          <w:rFonts w:ascii="Calibri" w:hAnsi="Calibri"/>
          <w:color w:val="1E293B"/>
        </w:rPr>
        <w:t>[2.1 Dimensional Modeling: Kimball vs. Inmon in Healthcare](#21-dimensional-modeling-kimball-vs-inmon-in-healthcare)</w:t>
      </w:r>
    </w:p>
    <w:p>
      <w:pPr>
        <w:spacing w:line="283" w:lineRule="auto" w:after="60"/>
        <w:ind w:left="360"/>
      </w:pPr>
      <w:r>
        <w:rPr>
          <w:rFonts w:ascii="Calibri" w:hAnsi="Calibri"/>
          <w:b/>
          <w:color w:val="0E7490"/>
        </w:rPr>
        <w:t xml:space="preserve">•  </w:t>
      </w:r>
      <w:r>
        <w:rPr>
          <w:rFonts w:ascii="Calibri" w:hAnsi="Calibri"/>
          <w:color w:val="1E293B"/>
        </w:rPr>
        <w:t>[2.2 Data Mining Paradigms in Modern Medicine](#22-data-mining-paradigms-in-modern-medicine)</w:t>
      </w:r>
    </w:p>
    <w:p>
      <w:pPr>
        <w:spacing w:line="283" w:lineRule="auto" w:after="60"/>
        <w:ind w:left="360"/>
      </w:pPr>
      <w:r>
        <w:rPr>
          <w:rFonts w:ascii="Calibri" w:hAnsi="Calibri"/>
          <w:b/>
          <w:color w:val="0E7490"/>
        </w:rPr>
        <w:t xml:space="preserve">•  </w:t>
      </w:r>
      <w:r>
        <w:rPr>
          <w:rFonts w:ascii="Calibri" w:hAnsi="Calibri"/>
          <w:color w:val="1E293B"/>
        </w:rPr>
        <w:t>[2.3 Pathophysiological Comorbidity Dynamics](#23-pathophysiological-comorbidity-dynamics)</w:t>
      </w:r>
    </w:p>
    <w:p>
      <w:pPr>
        <w:spacing w:line="283" w:lineRule="auto" w:after="60"/>
        <w:ind w:left="360"/>
      </w:pPr>
      <w:r>
        <w:rPr>
          <w:rFonts w:ascii="Calibri" w:hAnsi="Calibri"/>
          <w:b/>
          <w:color w:val="0E7490"/>
        </w:rPr>
        <w:t xml:space="preserve">•  </w:t>
      </w:r>
      <w:r>
        <w:rPr>
          <w:rFonts w:ascii="Calibri" w:hAnsi="Calibri"/>
          <w:color w:val="1E293B"/>
        </w:rPr>
        <w:t>[2.4 Hospital Financial Dynamics &amp; Length of Stay](#24-hospital-financial-dynamics--length-of-stay)</w:t>
      </w:r>
    </w:p>
    <w:p>
      <w:pPr>
        <w:spacing w:line="283" w:lineRule="auto" w:after="60"/>
        <w:ind w:left="360"/>
      </w:pPr>
      <w:r>
        <w:rPr>
          <w:rFonts w:ascii="Calibri" w:hAnsi="Calibri"/>
          <w:b/>
          <w:color w:val="0E7490"/>
        </w:rPr>
        <w:t xml:space="preserve">•  </w:t>
      </w:r>
      <w:r>
        <w:rPr>
          <w:rFonts w:ascii="Calibri" w:hAnsi="Calibri"/>
          <w:color w:val="1E293B"/>
        </w:rPr>
        <w:t>[Chapter 3: System Architecture &amp; Dimensional Data Warehouse Design](#chapter-3-system-architecture--dimensional-data-warehouse-design)</w:t>
      </w:r>
    </w:p>
    <w:p>
      <w:pPr>
        <w:spacing w:line="283" w:lineRule="auto" w:after="60"/>
        <w:ind w:left="360"/>
      </w:pPr>
      <w:r>
        <w:rPr>
          <w:rFonts w:ascii="Calibri" w:hAnsi="Calibri"/>
          <w:b/>
          <w:color w:val="0E7490"/>
        </w:rPr>
        <w:t xml:space="preserve">•  </w:t>
      </w:r>
      <w:r>
        <w:rPr>
          <w:rFonts w:ascii="Calibri" w:hAnsi="Calibri"/>
          <w:color w:val="1E293B"/>
        </w:rPr>
        <w:t>[3.1 Multi-Tier System Topology](#31-multi-tier-system-topology)</w:t>
      </w:r>
    </w:p>
    <w:p>
      <w:pPr>
        <w:spacing w:line="283" w:lineRule="auto" w:after="60"/>
        <w:ind w:left="360"/>
      </w:pPr>
      <w:r>
        <w:rPr>
          <w:rFonts w:ascii="Calibri" w:hAnsi="Calibri"/>
          <w:b/>
          <w:color w:val="0E7490"/>
        </w:rPr>
        <w:t xml:space="preserve">•  </w:t>
      </w:r>
      <w:r>
        <w:rPr>
          <w:rFonts w:ascii="Calibri" w:hAnsi="Calibri"/>
          <w:color w:val="1E293B"/>
        </w:rPr>
        <w:t>[3.2 Star Schema Design &amp; Granularity](#32-star-schema-design--granularity)</w:t>
      </w:r>
    </w:p>
    <w:p>
      <w:pPr>
        <w:spacing w:line="283" w:lineRule="auto" w:after="60"/>
        <w:ind w:left="360"/>
      </w:pPr>
      <w:r>
        <w:rPr>
          <w:rFonts w:ascii="Calibri" w:hAnsi="Calibri"/>
          <w:b/>
          <w:color w:val="0E7490"/>
        </w:rPr>
        <w:t xml:space="preserve">•  </w:t>
      </w:r>
      <w:r>
        <w:rPr>
          <w:rFonts w:ascii="Calibri" w:hAnsi="Calibri"/>
          <w:color w:val="1E293B"/>
        </w:rPr>
        <w:t>[3.3 Comprehensive Data Dictionary](#33-comprehensive-data-dictionary)</w:t>
      </w:r>
    </w:p>
    <w:p>
      <w:pPr>
        <w:spacing w:line="283" w:lineRule="auto" w:after="60"/>
        <w:ind w:left="360"/>
      </w:pPr>
      <w:r>
        <w:rPr>
          <w:rFonts w:ascii="Calibri" w:hAnsi="Calibri"/>
          <w:b/>
          <w:color w:val="0E7490"/>
        </w:rPr>
        <w:t xml:space="preserve">•  </w:t>
      </w:r>
      <w:r>
        <w:rPr>
          <w:rFonts w:ascii="Calibri" w:hAnsi="Calibri"/>
          <w:color w:val="1E293B"/>
        </w:rPr>
        <w:t>[3.4 Surrogate Key Generation &amp; Slowly Changing Dimensions](#34-surrogate-key-generation--slowly-changing-dimensions)</w:t>
      </w:r>
    </w:p>
    <w:p>
      <w:pPr>
        <w:spacing w:line="283" w:lineRule="auto" w:after="60"/>
        <w:ind w:left="360"/>
      </w:pPr>
      <w:r>
        <w:rPr>
          <w:rFonts w:ascii="Calibri" w:hAnsi="Calibri"/>
          <w:b/>
          <w:color w:val="0E7490"/>
        </w:rPr>
        <w:t xml:space="preserve">•  </w:t>
      </w:r>
      <w:r>
        <w:rPr>
          <w:rFonts w:ascii="Calibri" w:hAnsi="Calibri"/>
          <w:color w:val="1E293B"/>
        </w:rPr>
        <w:t>[3.5 Relational Storage Engine &amp; Indexing Strategies](#35-relational-storage-engine--indexing-strategies)</w:t>
      </w:r>
    </w:p>
    <w:p>
      <w:pPr>
        <w:spacing w:line="283" w:lineRule="auto" w:after="60"/>
        <w:ind w:left="360"/>
      </w:pPr>
      <w:r>
        <w:rPr>
          <w:rFonts w:ascii="Calibri" w:hAnsi="Calibri"/>
          <w:b/>
          <w:color w:val="0E7490"/>
        </w:rPr>
        <w:t xml:space="preserve">•  </w:t>
      </w:r>
      <w:r>
        <w:rPr>
          <w:rFonts w:ascii="Calibri" w:hAnsi="Calibri"/>
          <w:color w:val="1E293B"/>
        </w:rPr>
        <w:t>[Chapter 4: The Extract, Transform, Load (ETL) Pipeline](#chapter-4-the-extract-transform-load-etl-pipeline)</w:t>
      </w:r>
    </w:p>
    <w:p>
      <w:pPr>
        <w:spacing w:line="283" w:lineRule="auto" w:after="60"/>
        <w:ind w:left="360"/>
      </w:pPr>
      <w:r>
        <w:rPr>
          <w:rFonts w:ascii="Calibri" w:hAnsi="Calibri"/>
          <w:b/>
          <w:color w:val="0E7490"/>
        </w:rPr>
        <w:t xml:space="preserve">•  </w:t>
      </w:r>
      <w:r>
        <w:rPr>
          <w:rFonts w:ascii="Calibri" w:hAnsi="Calibri"/>
          <w:color w:val="1E293B"/>
        </w:rPr>
        <w:t>[4.1 Extraction Protocols](#41-extraction-protocols)</w:t>
      </w:r>
    </w:p>
    <w:p>
      <w:pPr>
        <w:spacing w:line="283" w:lineRule="auto" w:after="60"/>
        <w:ind w:left="360"/>
      </w:pPr>
      <w:r>
        <w:rPr>
          <w:rFonts w:ascii="Calibri" w:hAnsi="Calibri"/>
          <w:b/>
          <w:color w:val="0E7490"/>
        </w:rPr>
        <w:t xml:space="preserve">•  </w:t>
      </w:r>
      <w:r>
        <w:rPr>
          <w:rFonts w:ascii="Calibri" w:hAnsi="Calibri"/>
          <w:color w:val="1E293B"/>
        </w:rPr>
        <w:t>[4.2 Data Hygiene &amp; Outlier Treatment (IQR Method)](#42-data-hygiene--outlier-treatment-iqr-method)</w:t>
      </w:r>
    </w:p>
    <w:p>
      <w:pPr>
        <w:spacing w:line="283" w:lineRule="auto" w:after="60"/>
        <w:ind w:left="360"/>
      </w:pPr>
      <w:r>
        <w:rPr>
          <w:rFonts w:ascii="Calibri" w:hAnsi="Calibri"/>
          <w:b/>
          <w:color w:val="0E7490"/>
        </w:rPr>
        <w:t xml:space="preserve">•  </w:t>
      </w:r>
      <w:r>
        <w:rPr>
          <w:rFonts w:ascii="Calibri" w:hAnsi="Calibri"/>
          <w:color w:val="1E293B"/>
        </w:rPr>
        <w:t>[4.3 Clinical Feature Engineering &amp; Discretization](#43-clinical-feature-engineering--discretization)</w:t>
      </w:r>
    </w:p>
    <w:p>
      <w:pPr>
        <w:spacing w:line="283" w:lineRule="auto" w:after="60"/>
        <w:ind w:left="360"/>
      </w:pPr>
      <w:r>
        <w:rPr>
          <w:rFonts w:ascii="Calibri" w:hAnsi="Calibri"/>
          <w:b/>
          <w:color w:val="0E7490"/>
        </w:rPr>
        <w:t xml:space="preserve">•  </w:t>
      </w:r>
      <w:r>
        <w:rPr>
          <w:rFonts w:ascii="Calibri" w:hAnsi="Calibri"/>
          <w:color w:val="1E293B"/>
        </w:rPr>
        <w:t>[4.4 Feature Normalization &amp; Standardization](#44-feature-normalization--standardization)</w:t>
      </w:r>
    </w:p>
    <w:p>
      <w:pPr>
        <w:spacing w:line="283" w:lineRule="auto" w:after="60"/>
        <w:ind w:left="360"/>
      </w:pPr>
      <w:r>
        <w:rPr>
          <w:rFonts w:ascii="Calibri" w:hAnsi="Calibri"/>
          <w:b/>
          <w:color w:val="0E7490"/>
        </w:rPr>
        <w:t xml:space="preserve">•  </w:t>
      </w:r>
      <w:r>
        <w:rPr>
          <w:rFonts w:ascii="Calibri" w:hAnsi="Calibri"/>
          <w:color w:val="1E293B"/>
        </w:rPr>
        <w:t>[4.5 Transactional Loading &amp; ACID Compliance](#45-transactional-loading--acid-compliance)</w:t>
      </w:r>
    </w:p>
    <w:p>
      <w:pPr>
        <w:spacing w:line="283" w:lineRule="auto" w:after="60"/>
        <w:ind w:left="360"/>
      </w:pPr>
      <w:r>
        <w:rPr>
          <w:rFonts w:ascii="Calibri" w:hAnsi="Calibri"/>
          <w:b/>
          <w:color w:val="0E7490"/>
        </w:rPr>
        <w:t xml:space="preserve">•  </w:t>
      </w:r>
      <w:r>
        <w:rPr>
          <w:rFonts w:ascii="Calibri" w:hAnsi="Calibri"/>
          <w:color w:val="1E293B"/>
        </w:rPr>
        <w:t>[Chapter 5: Online Analytical Processing (OLAP) Implementation](#chapter-5-online-analytical-processing-olap-implementation)</w:t>
      </w:r>
    </w:p>
    <w:p>
      <w:pPr>
        <w:spacing w:line="283" w:lineRule="auto" w:after="60"/>
        <w:ind w:left="360"/>
      </w:pPr>
      <w:r>
        <w:rPr>
          <w:rFonts w:ascii="Calibri" w:hAnsi="Calibri"/>
          <w:b/>
          <w:color w:val="0E7490"/>
        </w:rPr>
        <w:t xml:space="preserve">•  </w:t>
      </w:r>
      <w:r>
        <w:rPr>
          <w:rFonts w:ascii="Calibri" w:hAnsi="Calibri"/>
          <w:color w:val="1E293B"/>
        </w:rPr>
        <w:t>[5.1 The Healthcare OLAP Cube](#51-the-healthcare-olap-cube)</w:t>
      </w:r>
    </w:p>
    <w:p>
      <w:pPr>
        <w:spacing w:line="283" w:lineRule="auto" w:after="60"/>
        <w:ind w:left="360"/>
      </w:pPr>
      <w:r>
        <w:rPr>
          <w:rFonts w:ascii="Calibri" w:hAnsi="Calibri"/>
          <w:b/>
          <w:color w:val="0E7490"/>
        </w:rPr>
        <w:t xml:space="preserve">•  </w:t>
      </w:r>
      <w:r>
        <w:rPr>
          <w:rFonts w:ascii="Calibri" w:hAnsi="Calibri"/>
          <w:color w:val="1E293B"/>
        </w:rPr>
        <w:t>[5.2 Roll-Up Operations (Temporal Aggregations)](#52-roll-up-operations-temporal-aggregations)</w:t>
      </w:r>
    </w:p>
    <w:p>
      <w:pPr>
        <w:spacing w:line="283" w:lineRule="auto" w:after="60"/>
        <w:ind w:left="360"/>
      </w:pPr>
      <w:r>
        <w:rPr>
          <w:rFonts w:ascii="Calibri" w:hAnsi="Calibri"/>
          <w:b/>
          <w:color w:val="0E7490"/>
        </w:rPr>
        <w:t xml:space="preserve">•  </w:t>
      </w:r>
      <w:r>
        <w:rPr>
          <w:rFonts w:ascii="Calibri" w:hAnsi="Calibri"/>
          <w:color w:val="1E293B"/>
        </w:rPr>
        <w:t>[5.3 Drill-Down Operations (Hierarchical Deconstruction)](#53-drill-down-operations-hierarchical-deconstruction)</w:t>
      </w:r>
    </w:p>
    <w:p>
      <w:pPr>
        <w:spacing w:line="283" w:lineRule="auto" w:after="60"/>
        <w:ind w:left="360"/>
      </w:pPr>
      <w:r>
        <w:rPr>
          <w:rFonts w:ascii="Calibri" w:hAnsi="Calibri"/>
          <w:b/>
          <w:color w:val="0E7490"/>
        </w:rPr>
        <w:t xml:space="preserve">•  </w:t>
      </w:r>
      <w:r>
        <w:rPr>
          <w:rFonts w:ascii="Calibri" w:hAnsi="Calibri"/>
          <w:color w:val="1E293B"/>
        </w:rPr>
        <w:t>[5.4 Slice Operations (Specialty Hyperplanes)](#54-slice-operations-specialty-hyperplanes)</w:t>
      </w:r>
    </w:p>
    <w:p>
      <w:pPr>
        <w:spacing w:line="283" w:lineRule="auto" w:after="60"/>
        <w:ind w:left="360"/>
      </w:pPr>
      <w:r>
        <w:rPr>
          <w:rFonts w:ascii="Calibri" w:hAnsi="Calibri"/>
          <w:b/>
          <w:color w:val="0E7490"/>
        </w:rPr>
        <w:t xml:space="preserve">•  </w:t>
      </w:r>
      <w:r>
        <w:rPr>
          <w:rFonts w:ascii="Calibri" w:hAnsi="Calibri"/>
          <w:color w:val="1E293B"/>
        </w:rPr>
        <w:t>[5.5 Dice Operations (Multi-Dimensional Sub-Cubes)](#55-dice-operations-multi-dimensional-sub-cubes)</w:t>
      </w:r>
    </w:p>
    <w:p>
      <w:pPr>
        <w:spacing w:line="283" w:lineRule="auto" w:after="60"/>
        <w:ind w:left="360"/>
      </w:pPr>
      <w:r>
        <w:rPr>
          <w:rFonts w:ascii="Calibri" w:hAnsi="Calibri"/>
          <w:b/>
          <w:color w:val="0E7490"/>
        </w:rPr>
        <w:t xml:space="preserve">•  </w:t>
      </w:r>
      <w:r>
        <w:rPr>
          <w:rFonts w:ascii="Calibri" w:hAnsi="Calibri"/>
          <w:color w:val="1E293B"/>
        </w:rPr>
        <w:t>[5.6 Pivot Operations (Cross-Tabulated Heatmaps)](#56-pivot-operations-cross-tabulated-heatmaps)</w:t>
      </w:r>
    </w:p>
    <w:p>
      <w:pPr>
        <w:spacing w:line="283" w:lineRule="auto" w:after="60"/>
        <w:ind w:left="360"/>
      </w:pPr>
      <w:r>
        <w:rPr>
          <w:rFonts w:ascii="Calibri" w:hAnsi="Calibri"/>
          <w:b/>
          <w:color w:val="0E7490"/>
        </w:rPr>
        <w:t xml:space="preserve">•  </w:t>
      </w:r>
      <w:r>
        <w:rPr>
          <w:rFonts w:ascii="Calibri" w:hAnsi="Calibri"/>
          <w:color w:val="1E293B"/>
        </w:rPr>
        <w:t>[Chapter 6: Supervised Classification - Disease Risk Mining](#chapter-6-supervised-classification---disease-risk-mining)</w:t>
      </w:r>
    </w:p>
    <w:p>
      <w:pPr>
        <w:spacing w:line="283" w:lineRule="auto" w:after="60"/>
        <w:ind w:left="360"/>
      </w:pPr>
      <w:r>
        <w:rPr>
          <w:rFonts w:ascii="Calibri" w:hAnsi="Calibri"/>
          <w:b/>
          <w:color w:val="0E7490"/>
        </w:rPr>
        <w:t xml:space="preserve">•  </w:t>
      </w:r>
      <w:r>
        <w:rPr>
          <w:rFonts w:ascii="Calibri" w:hAnsi="Calibri"/>
          <w:color w:val="1E293B"/>
        </w:rPr>
        <w:t>[6.1 Target Clinical Conditions](#61-target-clinical-conditions)</w:t>
      </w:r>
    </w:p>
    <w:p>
      <w:pPr>
        <w:spacing w:line="283" w:lineRule="auto" w:after="60"/>
        <w:ind w:left="360"/>
      </w:pPr>
      <w:r>
        <w:rPr>
          <w:rFonts w:ascii="Calibri" w:hAnsi="Calibri"/>
          <w:b/>
          <w:color w:val="0E7490"/>
        </w:rPr>
        <w:t xml:space="preserve">•  </w:t>
      </w:r>
      <w:r>
        <w:rPr>
          <w:rFonts w:ascii="Calibri" w:hAnsi="Calibri"/>
          <w:color w:val="1E293B"/>
        </w:rPr>
        <w:t>[6.2 Mathematical Formulations of Classifiers](#62-mathematical-formulations-of-classifiers)</w:t>
      </w:r>
    </w:p>
    <w:p>
      <w:pPr>
        <w:spacing w:line="283" w:lineRule="auto" w:after="60"/>
        <w:ind w:left="360"/>
      </w:pPr>
      <w:r>
        <w:rPr>
          <w:rFonts w:ascii="Calibri" w:hAnsi="Calibri"/>
          <w:b/>
          <w:color w:val="0E7490"/>
        </w:rPr>
        <w:t xml:space="preserve">•  </w:t>
      </w:r>
      <w:r>
        <w:rPr>
          <w:rFonts w:ascii="Calibri" w:hAnsi="Calibri"/>
          <w:color w:val="1E293B"/>
        </w:rPr>
        <w:t>[6.3 Hyperparameter Tuning &amp; Cross-Validation](#63-hyperparameter-tuning--cross-validation)</w:t>
      </w:r>
    </w:p>
    <w:p>
      <w:pPr>
        <w:spacing w:line="283" w:lineRule="auto" w:after="60"/>
        <w:ind w:left="360"/>
      </w:pPr>
      <w:r>
        <w:rPr>
          <w:rFonts w:ascii="Calibri" w:hAnsi="Calibri"/>
          <w:b/>
          <w:color w:val="0E7490"/>
        </w:rPr>
        <w:t xml:space="preserve">•  </w:t>
      </w:r>
      <w:r>
        <w:rPr>
          <w:rFonts w:ascii="Calibri" w:hAnsi="Calibri"/>
          <w:color w:val="1E293B"/>
        </w:rPr>
        <w:t>[6.4 Comparative Evaluation Benchmark](#64-comparative-evaluation-benchmark)</w:t>
      </w:r>
    </w:p>
    <w:p>
      <w:pPr>
        <w:spacing w:line="283" w:lineRule="auto" w:after="60"/>
        <w:ind w:left="360"/>
      </w:pPr>
      <w:r>
        <w:rPr>
          <w:rFonts w:ascii="Calibri" w:hAnsi="Calibri"/>
          <w:b/>
          <w:color w:val="0E7490"/>
        </w:rPr>
        <w:t xml:space="preserve">•  </w:t>
      </w:r>
      <w:r>
        <w:rPr>
          <w:rFonts w:ascii="Calibri" w:hAnsi="Calibri"/>
          <w:color w:val="1E293B"/>
        </w:rPr>
        <w:t>[6.5 Confusion Matrix Analysis &amp; Asymmetric Error Cost](#65-confusion-matrix-analysis--asymmetric-error-cost)</w:t>
      </w:r>
    </w:p>
    <w:p>
      <w:pPr>
        <w:spacing w:line="283" w:lineRule="auto" w:after="60"/>
        <w:ind w:left="360"/>
      </w:pPr>
      <w:r>
        <w:rPr>
          <w:rFonts w:ascii="Calibri" w:hAnsi="Calibri"/>
          <w:b/>
          <w:color w:val="0E7490"/>
        </w:rPr>
        <w:t xml:space="preserve">•  </w:t>
      </w:r>
      <w:r>
        <w:rPr>
          <w:rFonts w:ascii="Calibri" w:hAnsi="Calibri"/>
          <w:color w:val="1E293B"/>
        </w:rPr>
        <w:t>[6.6 Model Interpretability &amp; Clinical Feature Importance](#66-model-interpretability--clinical-feature-importance)</w:t>
      </w:r>
    </w:p>
    <w:p>
      <w:pPr>
        <w:spacing w:line="283" w:lineRule="auto" w:after="60"/>
        <w:ind w:left="360"/>
      </w:pPr>
      <w:r>
        <w:rPr>
          <w:rFonts w:ascii="Calibri" w:hAnsi="Calibri"/>
          <w:b/>
          <w:color w:val="0E7490"/>
        </w:rPr>
        <w:t xml:space="preserve">•  </w:t>
      </w:r>
      <w:r>
        <w:rPr>
          <w:rFonts w:ascii="Calibri" w:hAnsi="Calibri"/>
          <w:color w:val="1E293B"/>
        </w:rPr>
        <w:t>[Chapter 7: Continuous Regression Modeling - Healthcare Expenditure](#chapter-7-continuous-regression-modeling---healthcare-expenditure)</w:t>
      </w:r>
    </w:p>
    <w:p>
      <w:pPr>
        <w:spacing w:line="283" w:lineRule="auto" w:after="60"/>
        <w:ind w:left="360"/>
      </w:pPr>
      <w:r>
        <w:rPr>
          <w:rFonts w:ascii="Calibri" w:hAnsi="Calibri"/>
          <w:b/>
          <w:color w:val="0E7490"/>
        </w:rPr>
        <w:t xml:space="preserve">•  </w:t>
      </w:r>
      <w:r>
        <w:rPr>
          <w:rFonts w:ascii="Calibri" w:hAnsi="Calibri"/>
          <w:color w:val="1E293B"/>
        </w:rPr>
        <w:t>[7.1 The Economics of Inpatient Care](#71-the-economics-of-inpatient-care)</w:t>
      </w:r>
    </w:p>
    <w:p>
      <w:pPr>
        <w:spacing w:line="283" w:lineRule="auto" w:after="60"/>
        <w:ind w:left="360"/>
      </w:pPr>
      <w:r>
        <w:rPr>
          <w:rFonts w:ascii="Calibri" w:hAnsi="Calibri"/>
          <w:b/>
          <w:color w:val="0E7490"/>
        </w:rPr>
        <w:t xml:space="preserve">•  </w:t>
      </w:r>
      <w:r>
        <w:rPr>
          <w:rFonts w:ascii="Calibri" w:hAnsi="Calibri"/>
          <w:color w:val="1E293B"/>
        </w:rPr>
        <w:t>[7.2 Mathematical Formulations of Regressors](#72-mathematical-formulations-of-regressors)</w:t>
      </w:r>
    </w:p>
    <w:p>
      <w:pPr>
        <w:spacing w:line="283" w:lineRule="auto" w:after="60"/>
        <w:ind w:left="360"/>
      </w:pPr>
      <w:r>
        <w:rPr>
          <w:rFonts w:ascii="Calibri" w:hAnsi="Calibri"/>
          <w:b/>
          <w:color w:val="0E7490"/>
        </w:rPr>
        <w:t xml:space="preserve">•  </w:t>
      </w:r>
      <w:r>
        <w:rPr>
          <w:rFonts w:ascii="Calibri" w:hAnsi="Calibri"/>
          <w:color w:val="1E293B"/>
        </w:rPr>
        <w:t>[7.3 Regression Performance Benchmark](#73-regression-performance-benchmark)</w:t>
      </w:r>
    </w:p>
    <w:p>
      <w:pPr>
        <w:spacing w:line="283" w:lineRule="auto" w:after="60"/>
        <w:ind w:left="360"/>
      </w:pPr>
      <w:r>
        <w:rPr>
          <w:rFonts w:ascii="Calibri" w:hAnsi="Calibri"/>
          <w:b/>
          <w:color w:val="0E7490"/>
        </w:rPr>
        <w:t xml:space="preserve">•  </w:t>
      </w:r>
      <w:r>
        <w:rPr>
          <w:rFonts w:ascii="Calibri" w:hAnsi="Calibri"/>
          <w:color w:val="1E293B"/>
        </w:rPr>
        <w:t>[7.4 Residual Analysis &amp; Cost Driver Identification](#74-residual-analysis--cost-driver-identification)</w:t>
      </w:r>
    </w:p>
    <w:p>
      <w:pPr>
        <w:spacing w:line="283" w:lineRule="auto" w:after="60"/>
        <w:ind w:left="360"/>
      </w:pPr>
      <w:r>
        <w:rPr>
          <w:rFonts w:ascii="Calibri" w:hAnsi="Calibri"/>
          <w:b/>
          <w:color w:val="0E7490"/>
        </w:rPr>
        <w:t xml:space="preserve">•  </w:t>
      </w:r>
      <w:r>
        <w:rPr>
          <w:rFonts w:ascii="Calibri" w:hAnsi="Calibri"/>
          <w:color w:val="1E293B"/>
        </w:rPr>
        <w:t>[Chapter 8: Unsupervised Machine Learning - Patient Cohort Clustering](#chapter-8-unsupervised-machine-learning---patient-cohort-clustering)</w:t>
      </w:r>
    </w:p>
    <w:p>
      <w:pPr>
        <w:spacing w:line="283" w:lineRule="auto" w:after="60"/>
        <w:ind w:left="360"/>
      </w:pPr>
      <w:r>
        <w:rPr>
          <w:rFonts w:ascii="Calibri" w:hAnsi="Calibri"/>
          <w:b/>
          <w:color w:val="0E7490"/>
        </w:rPr>
        <w:t xml:space="preserve">•  </w:t>
      </w:r>
      <w:r>
        <w:rPr>
          <w:rFonts w:ascii="Calibri" w:hAnsi="Calibri"/>
          <w:color w:val="1E293B"/>
        </w:rPr>
        <w:t>[8.1 Rationale for Patient Stratification](#81-rationale-for-patient-stratification)</w:t>
      </w:r>
    </w:p>
    <w:p>
      <w:pPr>
        <w:spacing w:line="283" w:lineRule="auto" w:after="60"/>
        <w:ind w:left="360"/>
      </w:pPr>
      <w:r>
        <w:rPr>
          <w:rFonts w:ascii="Calibri" w:hAnsi="Calibri"/>
          <w:b/>
          <w:color w:val="0E7490"/>
        </w:rPr>
        <w:t xml:space="preserve">•  </w:t>
      </w:r>
      <w:r>
        <w:rPr>
          <w:rFonts w:ascii="Calibri" w:hAnsi="Calibri"/>
          <w:color w:val="1E293B"/>
        </w:rPr>
        <w:t>[8.2 K-Means Formulation &amp; Distance Metrics](#82-k-means-formulation--distance-metrics)</w:t>
      </w:r>
    </w:p>
    <w:p>
      <w:pPr>
        <w:spacing w:line="283" w:lineRule="auto" w:after="60"/>
        <w:ind w:left="360"/>
      </w:pPr>
      <w:r>
        <w:rPr>
          <w:rFonts w:ascii="Calibri" w:hAnsi="Calibri"/>
          <w:b/>
          <w:color w:val="0E7490"/>
        </w:rPr>
        <w:t xml:space="preserve">•  </w:t>
      </w:r>
      <w:r>
        <w:rPr>
          <w:rFonts w:ascii="Calibri" w:hAnsi="Calibri"/>
          <w:color w:val="1E293B"/>
        </w:rPr>
        <w:t>[8.3 Cluster Validation: Elbow Method &amp; Silhouette Analysis](#83-cluster-validation-elbow-method--silhouette-analysis)</w:t>
      </w:r>
    </w:p>
    <w:p>
      <w:pPr>
        <w:spacing w:line="283" w:lineRule="auto" w:after="60"/>
        <w:ind w:left="360"/>
      </w:pPr>
      <w:r>
        <w:rPr>
          <w:rFonts w:ascii="Calibri" w:hAnsi="Calibri"/>
          <w:b/>
          <w:color w:val="0E7490"/>
        </w:rPr>
        <w:t xml:space="preserve">•  </w:t>
      </w:r>
      <w:r>
        <w:rPr>
          <w:rFonts w:ascii="Calibri" w:hAnsi="Calibri"/>
          <w:color w:val="1E293B"/>
        </w:rPr>
        <w:t>[8.4 Principal Component Analysis (2D &amp; 3D Projections)](#84-principal-component-analysis-2d--3d-projections)</w:t>
      </w:r>
    </w:p>
    <w:p>
      <w:pPr>
        <w:spacing w:line="283" w:lineRule="auto" w:after="60"/>
        <w:ind w:left="360"/>
      </w:pPr>
      <w:r>
        <w:rPr>
          <w:rFonts w:ascii="Calibri" w:hAnsi="Calibri"/>
          <w:b/>
          <w:color w:val="0E7490"/>
        </w:rPr>
        <w:t xml:space="preserve">•  </w:t>
      </w:r>
      <w:r>
        <w:rPr>
          <w:rFonts w:ascii="Calibri" w:hAnsi="Calibri"/>
          <w:color w:val="1E293B"/>
        </w:rPr>
        <w:t>[8.5 In-Depth Clinical Cohort Profiling](#85-in-depth-clinical-cohort-profiling)</w:t>
      </w:r>
    </w:p>
    <w:p>
      <w:pPr>
        <w:spacing w:line="283" w:lineRule="auto" w:after="60"/>
        <w:ind w:left="360"/>
      </w:pPr>
      <w:r>
        <w:rPr>
          <w:rFonts w:ascii="Calibri" w:hAnsi="Calibri"/>
          <w:b/>
          <w:color w:val="0E7490"/>
        </w:rPr>
        <w:t xml:space="preserve">•  </w:t>
      </w:r>
      <w:r>
        <w:rPr>
          <w:rFonts w:ascii="Calibri" w:hAnsi="Calibri"/>
          <w:color w:val="1E293B"/>
        </w:rPr>
        <w:t>[Chapter 9: Association Rule Mining - Comorbidity Discovery](#chapter-9-association-rule-mining---comorbidity-discovery)</w:t>
      </w:r>
    </w:p>
    <w:p>
      <w:pPr>
        <w:spacing w:line="283" w:lineRule="auto" w:after="60"/>
        <w:ind w:left="360"/>
      </w:pPr>
      <w:r>
        <w:rPr>
          <w:rFonts w:ascii="Calibri" w:hAnsi="Calibri"/>
          <w:b/>
          <w:color w:val="0E7490"/>
        </w:rPr>
        <w:t xml:space="preserve">•  </w:t>
      </w:r>
      <w:r>
        <w:rPr>
          <w:rFonts w:ascii="Calibri" w:hAnsi="Calibri"/>
          <w:color w:val="1E293B"/>
        </w:rPr>
        <w:t>[9.1 Comorbidity Dynamics in Chronic Disease Management](#91-comorbidity-dynamics-in-chronic-disease-management)</w:t>
      </w:r>
    </w:p>
    <w:p>
      <w:pPr>
        <w:spacing w:line="283" w:lineRule="auto" w:after="60"/>
        <w:ind w:left="360"/>
      </w:pPr>
      <w:r>
        <w:rPr>
          <w:rFonts w:ascii="Calibri" w:hAnsi="Calibri"/>
          <w:b/>
          <w:color w:val="0E7490"/>
        </w:rPr>
        <w:t xml:space="preserve">•  </w:t>
      </w:r>
      <w:r>
        <w:rPr>
          <w:rFonts w:ascii="Calibri" w:hAnsi="Calibri"/>
          <w:color w:val="1E293B"/>
        </w:rPr>
        <w:t>[9.2 The Apriori Algorithm &amp; Downward-Closure Property](#92-the-apriori-algorithm--downward-closure-property)</w:t>
      </w:r>
    </w:p>
    <w:p>
      <w:pPr>
        <w:spacing w:line="283" w:lineRule="auto" w:after="60"/>
        <w:ind w:left="360"/>
      </w:pPr>
      <w:r>
        <w:rPr>
          <w:rFonts w:ascii="Calibri" w:hAnsi="Calibri"/>
          <w:b/>
          <w:color w:val="0E7490"/>
        </w:rPr>
        <w:t xml:space="preserve">•  </w:t>
      </w:r>
      <w:r>
        <w:rPr>
          <w:rFonts w:ascii="Calibri" w:hAnsi="Calibri"/>
          <w:color w:val="1E293B"/>
        </w:rPr>
        <w:t>[9.3 Mathematical Formulations: Support, Confidence, Lift](#93-mathematical-formulations-support-confidence-lift)</w:t>
      </w:r>
    </w:p>
    <w:p>
      <w:pPr>
        <w:spacing w:line="283" w:lineRule="auto" w:after="60"/>
        <w:ind w:left="360"/>
      </w:pPr>
      <w:r>
        <w:rPr>
          <w:rFonts w:ascii="Calibri" w:hAnsi="Calibri"/>
          <w:b/>
          <w:color w:val="0E7490"/>
        </w:rPr>
        <w:t xml:space="preserve">•  </w:t>
      </w:r>
      <w:r>
        <w:rPr>
          <w:rFonts w:ascii="Calibri" w:hAnsi="Calibri"/>
          <w:color w:val="1E293B"/>
        </w:rPr>
        <w:t>[9.4 Analysis of High-Lift Comorbidity Rules](#94-analysis-of-high-lift-comorbidity-rules)</w:t>
      </w:r>
    </w:p>
    <w:p>
      <w:pPr>
        <w:spacing w:line="283" w:lineRule="auto" w:after="60"/>
        <w:ind w:left="360"/>
      </w:pPr>
      <w:r>
        <w:rPr>
          <w:rFonts w:ascii="Calibri" w:hAnsi="Calibri"/>
          <w:b/>
          <w:color w:val="0E7490"/>
        </w:rPr>
        <w:t xml:space="preserve">•  </w:t>
      </w:r>
      <w:r>
        <w:rPr>
          <w:rFonts w:ascii="Calibri" w:hAnsi="Calibri"/>
          <w:color w:val="1E293B"/>
        </w:rPr>
        <w:t>[9.5 Clinical Pathway Recommendations](#95-clinical-pathway-recommendations)</w:t>
      </w:r>
    </w:p>
    <w:p>
      <w:pPr>
        <w:spacing w:line="283" w:lineRule="auto" w:after="60"/>
        <w:ind w:left="360"/>
      </w:pPr>
      <w:r>
        <w:rPr>
          <w:rFonts w:ascii="Calibri" w:hAnsi="Calibri"/>
          <w:b/>
          <w:color w:val="0E7490"/>
        </w:rPr>
        <w:t xml:space="preserve">•  </w:t>
      </w:r>
      <w:r>
        <w:rPr>
          <w:rFonts w:ascii="Calibri" w:hAnsi="Calibri"/>
          <w:color w:val="1E293B"/>
        </w:rPr>
        <w:t>[Chapter 10: Interactive Clinical Decision Support System (Streamlit UI)](#chapter-10-interactive-clinical-decision-support-system-streamlit-ui)</w:t>
      </w:r>
    </w:p>
    <w:p>
      <w:pPr>
        <w:spacing w:line="283" w:lineRule="auto" w:after="60"/>
        <w:ind w:left="360"/>
      </w:pPr>
      <w:r>
        <w:rPr>
          <w:rFonts w:ascii="Calibri" w:hAnsi="Calibri"/>
          <w:b/>
          <w:color w:val="0E7490"/>
        </w:rPr>
        <w:t xml:space="preserve">•  </w:t>
      </w:r>
      <w:r>
        <w:rPr>
          <w:rFonts w:ascii="Calibri" w:hAnsi="Calibri"/>
          <w:color w:val="1E293B"/>
        </w:rPr>
        <w:t>[10.1 UI/UX Architecture for High-Stress Clinical Environments](#101-uiux-architecture-for-high-stress-clinical-environments)</w:t>
      </w:r>
    </w:p>
    <w:p>
      <w:pPr>
        <w:spacing w:line="283" w:lineRule="auto" w:after="60"/>
        <w:ind w:left="360"/>
      </w:pPr>
      <w:r>
        <w:rPr>
          <w:rFonts w:ascii="Calibri" w:hAnsi="Calibri"/>
          <w:b/>
          <w:color w:val="0E7490"/>
        </w:rPr>
        <w:t xml:space="preserve">•  </w:t>
      </w:r>
      <w:r>
        <w:rPr>
          <w:rFonts w:ascii="Calibri" w:hAnsi="Calibri"/>
          <w:color w:val="1E293B"/>
        </w:rPr>
        <w:t>[10.2 Detailed Module-by-Module Walkthrough](#102-detailed-module-by-module-walkthrough)</w:t>
      </w:r>
    </w:p>
    <w:p>
      <w:pPr>
        <w:spacing w:line="283" w:lineRule="auto" w:after="60"/>
        <w:ind w:left="360"/>
      </w:pPr>
      <w:r>
        <w:rPr>
          <w:rFonts w:ascii="Calibri" w:hAnsi="Calibri"/>
          <w:b/>
          <w:color w:val="0E7490"/>
        </w:rPr>
        <w:t xml:space="preserve">•  </w:t>
      </w:r>
      <w:r>
        <w:rPr>
          <w:rFonts w:ascii="Calibri" w:hAnsi="Calibri"/>
          <w:color w:val="1E293B"/>
        </w:rPr>
        <w:t>[10.3 Real-Time Patient Risk Inference Engine](#103-real-time-patient-risk-inference-engine)</w:t>
      </w:r>
    </w:p>
    <w:p>
      <w:pPr>
        <w:spacing w:line="283" w:lineRule="auto" w:after="60"/>
        <w:ind w:left="360"/>
      </w:pPr>
      <w:r>
        <w:rPr>
          <w:rFonts w:ascii="Calibri" w:hAnsi="Calibri"/>
          <w:b/>
          <w:color w:val="0E7490"/>
        </w:rPr>
        <w:t xml:space="preserve">•  </w:t>
      </w:r>
      <w:r>
        <w:rPr>
          <w:rFonts w:ascii="Calibri" w:hAnsi="Calibri"/>
          <w:color w:val="1E293B"/>
        </w:rPr>
        <w:t>[10.4 Clinical Audit Report Generation &amp; Export](#104-clinical-audit-report-generation--export)</w:t>
      </w:r>
    </w:p>
    <w:p>
      <w:pPr>
        <w:spacing w:line="283" w:lineRule="auto" w:after="60"/>
        <w:ind w:left="360"/>
      </w:pPr>
      <w:r>
        <w:rPr>
          <w:rFonts w:ascii="Calibri" w:hAnsi="Calibri"/>
          <w:b/>
          <w:color w:val="0E7490"/>
        </w:rPr>
        <w:t xml:space="preserve">•  </w:t>
      </w:r>
      <w:r>
        <w:rPr>
          <w:rFonts w:ascii="Calibri" w:hAnsi="Calibri"/>
          <w:color w:val="1E293B"/>
        </w:rPr>
        <w:t>[Chapter 11: Enterprise Deployment, Governance &amp; Security](#chapter-11-enterprise-deployment-governance--security)</w:t>
      </w:r>
    </w:p>
    <w:p>
      <w:pPr>
        <w:spacing w:line="283" w:lineRule="auto" w:after="60"/>
        <w:ind w:left="360"/>
      </w:pPr>
      <w:r>
        <w:rPr>
          <w:rFonts w:ascii="Calibri" w:hAnsi="Calibri"/>
          <w:b/>
          <w:color w:val="0E7490"/>
        </w:rPr>
        <w:t xml:space="preserve">•  </w:t>
      </w:r>
      <w:r>
        <w:rPr>
          <w:rFonts w:ascii="Calibri" w:hAnsi="Calibri"/>
          <w:color w:val="1E293B"/>
        </w:rPr>
        <w:t>[11.1 Deployment Topology &amp; Virtualized Execution](#111-deployment-topology--virtualized-execution)</w:t>
      </w:r>
    </w:p>
    <w:p>
      <w:pPr>
        <w:spacing w:line="283" w:lineRule="auto" w:after="60"/>
        <w:ind w:left="360"/>
      </w:pPr>
      <w:r>
        <w:rPr>
          <w:rFonts w:ascii="Calibri" w:hAnsi="Calibri"/>
          <w:b/>
          <w:color w:val="0E7490"/>
        </w:rPr>
        <w:t xml:space="preserve">•  </w:t>
      </w:r>
      <w:r>
        <w:rPr>
          <w:rFonts w:ascii="Calibri" w:hAnsi="Calibri"/>
          <w:color w:val="1E293B"/>
        </w:rPr>
        <w:t>[11.2 Healthcare Data Privacy, HIPAA &amp; De-Identification](#112-healthcare-data-privacy-hipaa--de-identification)</w:t>
      </w:r>
    </w:p>
    <w:p>
      <w:pPr>
        <w:spacing w:line="283" w:lineRule="auto" w:after="60"/>
        <w:ind w:left="360"/>
      </w:pPr>
      <w:r>
        <w:rPr>
          <w:rFonts w:ascii="Calibri" w:hAnsi="Calibri"/>
          <w:b/>
          <w:color w:val="0E7490"/>
        </w:rPr>
        <w:t xml:space="preserve">•  </w:t>
      </w:r>
      <w:r>
        <w:rPr>
          <w:rFonts w:ascii="Calibri" w:hAnsi="Calibri"/>
          <w:color w:val="1E293B"/>
        </w:rPr>
        <w:t>[11.3 Enterprise Scalability: Migration to Distributed Warehouses](#113-enterprise-scalability-migration-to-distributed-warehouses)</w:t>
      </w:r>
    </w:p>
    <w:p>
      <w:pPr>
        <w:spacing w:line="283" w:lineRule="auto" w:after="60"/>
        <w:ind w:left="360"/>
      </w:pPr>
      <w:r>
        <w:rPr>
          <w:rFonts w:ascii="Calibri" w:hAnsi="Calibri"/>
          <w:b/>
          <w:color w:val="0E7490"/>
        </w:rPr>
        <w:t xml:space="preserve">•  </w:t>
      </w:r>
      <w:r>
        <w:rPr>
          <w:rFonts w:ascii="Calibri" w:hAnsi="Calibri"/>
          <w:color w:val="1E293B"/>
        </w:rPr>
        <w:t>[Chapter 12: Business Impact, Lessons Learned &amp; Strategic Roadmap](#chapter-12-business-impact-lessons-learned--strategic-roadmap)</w:t>
      </w:r>
    </w:p>
    <w:p>
      <w:pPr>
        <w:spacing w:line="283" w:lineRule="auto" w:after="60"/>
        <w:ind w:left="360"/>
      </w:pPr>
      <w:r>
        <w:rPr>
          <w:rFonts w:ascii="Calibri" w:hAnsi="Calibri"/>
          <w:b/>
          <w:color w:val="0E7490"/>
        </w:rPr>
        <w:t xml:space="preserve">•  </w:t>
      </w:r>
      <w:r>
        <w:rPr>
          <w:rFonts w:ascii="Calibri" w:hAnsi="Calibri"/>
          <w:color w:val="1E293B"/>
        </w:rPr>
        <w:t>[12.1 Quantified Hospital Return on Investment (ROI)](#121-quantified-hospital-return-on-investment-roi)</w:t>
      </w:r>
    </w:p>
    <w:p>
      <w:pPr>
        <w:spacing w:line="283" w:lineRule="auto" w:after="60"/>
        <w:ind w:left="360"/>
      </w:pPr>
      <w:r>
        <w:rPr>
          <w:rFonts w:ascii="Calibri" w:hAnsi="Calibri"/>
          <w:b/>
          <w:color w:val="0E7490"/>
        </w:rPr>
        <w:t xml:space="preserve">•  </w:t>
      </w:r>
      <w:r>
        <w:rPr>
          <w:rFonts w:ascii="Calibri" w:hAnsi="Calibri"/>
          <w:color w:val="1E293B"/>
        </w:rPr>
        <w:t>[12.2 Implementation Challenges &amp; Technical Solutions](#122-implementation-challenges--technical-solutions)</w:t>
      </w:r>
    </w:p>
    <w:p>
      <w:pPr>
        <w:spacing w:line="283" w:lineRule="auto" w:after="60"/>
        <w:ind w:left="360"/>
      </w:pPr>
      <w:r>
        <w:rPr>
          <w:rFonts w:ascii="Calibri" w:hAnsi="Calibri"/>
          <w:b/>
          <w:color w:val="0E7490"/>
        </w:rPr>
        <w:t xml:space="preserve">•  </w:t>
      </w:r>
      <w:r>
        <w:rPr>
          <w:rFonts w:ascii="Calibri" w:hAnsi="Calibri"/>
          <w:color w:val="1E293B"/>
        </w:rPr>
        <w:t>[12.3 Strategic Multi-Year Roadmap](#123-strategic-multi-year-roadmap)</w:t>
      </w:r>
    </w:p>
    <w:p>
      <w:pPr>
        <w:spacing w:line="283" w:lineRule="auto" w:after="60"/>
        <w:ind w:left="360"/>
      </w:pPr>
      <w:r>
        <w:rPr>
          <w:rFonts w:ascii="Calibri" w:hAnsi="Calibri"/>
          <w:b/>
          <w:color w:val="0E7490"/>
        </w:rPr>
        <w:t xml:space="preserve">•  </w:t>
      </w:r>
      <w:r>
        <w:rPr>
          <w:rFonts w:ascii="Calibri" w:hAnsi="Calibri"/>
          <w:color w:val="1E293B"/>
        </w:rPr>
        <w:t>[References](#references)</w:t>
      </w:r>
    </w:p>
    <w:p>
      <w:pPr>
        <w:spacing w:before="160" w:after="160"/>
      </w:pPr>
    </w:p>
    <w:p>
      <w:r>
        <w:br w:type="page"/>
      </w:r>
    </w:p>
    <w:p>
      <w:pPr>
        <w:pStyle w:val="Heading2"/>
        <w:keepNext/>
        <w:spacing w:before="280" w:after="120"/>
      </w:pPr>
      <w:r>
        <w:rPr>
          <w:rFonts w:ascii="Calibri" w:hAnsi="Calibri"/>
          <w:b/>
          <w:color w:val="1E3A8A"/>
          <w:sz w:val="28"/>
        </w:rPr>
        <w:t>Chapter 1: Enterprise Healthcare Context &amp; Problem Definition</w:t>
      </w:r>
    </w:p>
    <w:p>
      <w:pPr>
        <w:pStyle w:val="Heading3"/>
        <w:keepNext/>
        <w:spacing w:before="280" w:after="80"/>
      </w:pPr>
      <w:r>
        <w:rPr>
          <w:rFonts w:ascii="Calibri" w:hAnsi="Calibri"/>
          <w:b/>
          <w:color w:val="0F172A"/>
          <w:sz w:val="24"/>
        </w:rPr>
        <w:t>1.1 The Healthcare Big Data Paradigm</w:t>
      </w:r>
    </w:p>
    <w:p>
      <w:pPr>
        <w:spacing w:line="283" w:lineRule="auto" w:after="120"/>
      </w:pPr>
      <w:r>
        <w:rPr>
          <w:rFonts w:ascii="Calibri" w:hAnsi="Calibri"/>
          <w:color w:val="1E293B"/>
        </w:rPr>
        <w:t>Healthcare delivery is undergoing an exponential shift driven by digital diagnostics, computerized physician order entry (CPOE), laboratory information management systems (LIMS), and continuous physiological monitoring. While these systems successfully capture operational details, they introduce distinct challenges:</w:t>
      </w:r>
    </w:p>
    <w:p>
      <w:pPr>
        <w:spacing w:line="283" w:lineRule="auto" w:after="60"/>
        <w:ind w:left="360"/>
      </w:pPr>
      <w:r>
        <w:rPr>
          <w:rFonts w:ascii="Calibri" w:hAnsi="Calibri"/>
          <w:b/>
          <w:color w:val="0E7490"/>
        </w:rPr>
        <w:t xml:space="preserve">•  </w:t>
      </w:r>
      <w:r>
        <w:rPr>
          <w:b/>
          <w:color w:val="0F172A"/>
        </w:rPr>
        <w:t>High Dimensionality:</w:t>
      </w:r>
      <w:r>
        <w:rPr>
          <w:rFonts w:ascii="Calibri" w:hAnsi="Calibri"/>
          <w:color w:val="1E293B"/>
        </w:rPr>
        <w:t xml:space="preserve"> Each patient encounter generates dozens of discrete biochemical markers, hemodynamic measurements, ICD diagnosis codes, and demographic tags.</w:t>
      </w:r>
    </w:p>
    <w:p>
      <w:pPr>
        <w:spacing w:line="283" w:lineRule="auto" w:after="60"/>
        <w:ind w:left="360"/>
      </w:pPr>
      <w:r>
        <w:rPr>
          <w:rFonts w:ascii="Calibri" w:hAnsi="Calibri"/>
          <w:b/>
          <w:color w:val="0E7490"/>
        </w:rPr>
        <w:t xml:space="preserve">•  </w:t>
      </w:r>
      <w:r>
        <w:rPr>
          <w:b/>
          <w:color w:val="0F172A"/>
        </w:rPr>
        <w:t>Extreme Class Asymmetry:</w:t>
      </w:r>
      <w:r>
        <w:rPr>
          <w:rFonts w:ascii="Calibri" w:hAnsi="Calibri"/>
          <w:color w:val="1E293B"/>
        </w:rPr>
        <w:t xml:space="preserve"> Severe clinical events (such as acute kidney injury, malignant hypertensive crisis, or sudden cardiovascular events) occur in a minority of clinical visits, complicating conventional machine learning convergence.</w:t>
      </w:r>
    </w:p>
    <w:p>
      <w:pPr>
        <w:spacing w:line="283" w:lineRule="auto" w:after="60"/>
        <w:ind w:left="360"/>
      </w:pPr>
      <w:r>
        <w:rPr>
          <w:rFonts w:ascii="Calibri" w:hAnsi="Calibri"/>
          <w:b/>
          <w:color w:val="0E7490"/>
        </w:rPr>
        <w:t xml:space="preserve">•  </w:t>
      </w:r>
      <w:r>
        <w:rPr>
          <w:b/>
          <w:color w:val="0F172A"/>
        </w:rPr>
        <w:t>High Cost of Predictive Errors:</w:t>
      </w:r>
      <w:r>
        <w:rPr>
          <w:rFonts w:ascii="Calibri" w:hAnsi="Calibri"/>
          <w:color w:val="1E293B"/>
        </w:rPr>
        <w:t xml:space="preserve"> In clinical settings, a False Negative error (failing to diagnose a deteriorating hypertensive patient) carries vastly more severe consequences than a False Positive error (which merely prompts confirmatory diagnostics).</w:t>
      </w:r>
    </w:p>
    <w:p>
      <w:pPr>
        <w:spacing w:line="283" w:lineRule="auto" w:after="60"/>
        <w:ind w:left="360"/>
      </w:pPr>
      <w:r>
        <w:rPr>
          <w:rFonts w:ascii="Calibri" w:hAnsi="Calibri"/>
          <w:b/>
          <w:color w:val="0E7490"/>
        </w:rPr>
        <w:t xml:space="preserve">•  </w:t>
      </w:r>
      <w:r>
        <w:rPr>
          <w:b/>
          <w:color w:val="0F172A"/>
        </w:rPr>
        <w:t>Siloed Legacy Architecture:</w:t>
      </w:r>
      <w:r>
        <w:rPr>
          <w:rFonts w:ascii="Calibri" w:hAnsi="Calibri"/>
          <w:color w:val="1E293B"/>
        </w:rPr>
        <w:t xml:space="preserve"> Hospital data is typically partitioned across disparate departmental silos (e.g., Cardiology, Endocrinology, Nephrology, Billing, and Bed Management), inhibiting longitudinal and holistic patient assessment.</w:t>
      </w:r>
    </w:p>
    <w:p>
      <w:pPr>
        <w:pStyle w:val="Heading3"/>
        <w:keepNext/>
        <w:spacing w:before="280" w:after="80"/>
      </w:pPr>
      <w:r>
        <w:rPr>
          <w:rFonts w:ascii="Calibri" w:hAnsi="Calibri"/>
          <w:b/>
          <w:color w:val="0F172A"/>
          <w:sz w:val="24"/>
        </w:rPr>
        <w:t>1.2 Institutional Profile: Apex Metropolitan Health System</w:t>
      </w:r>
    </w:p>
    <w:p>
      <w:pPr>
        <w:spacing w:line="283" w:lineRule="auto" w:after="120"/>
      </w:pPr>
      <w:r>
        <w:rPr>
          <w:rFonts w:ascii="Calibri" w:hAnsi="Calibri"/>
          <w:color w:val="1E293B"/>
        </w:rPr>
        <w:t xml:space="preserve">To ground this project in a realistic enterprise environment, HealthPulse was developed and validated against a simulated operational profile representing </w:t>
      </w:r>
      <w:r>
        <w:rPr>
          <w:b/>
          <w:color w:val="0F172A"/>
        </w:rPr>
        <w:t>Apex Metropolitan Health System</w:t>
      </w:r>
      <w:r>
        <w:rPr>
          <w:rFonts w:ascii="Calibri" w:hAnsi="Calibri"/>
          <w:color w:val="1E293B"/>
        </w:rPr>
        <w:t>, a regional tertiary hospital facility comprising:</w:t>
      </w:r>
    </w:p>
    <w:p>
      <w:pPr>
        <w:spacing w:line="283" w:lineRule="auto" w:after="60"/>
        <w:ind w:left="360"/>
      </w:pPr>
      <w:r>
        <w:rPr>
          <w:rFonts w:ascii="Calibri" w:hAnsi="Calibri"/>
          <w:b/>
          <w:color w:val="0E7490"/>
        </w:rPr>
        <w:t xml:space="preserve">•  </w:t>
      </w:r>
      <w:r>
        <w:rPr>
          <w:b/>
          <w:color w:val="0F172A"/>
        </w:rPr>
        <w:t>Bed Capacity:</w:t>
      </w:r>
      <w:r>
        <w:rPr>
          <w:rFonts w:ascii="Calibri" w:hAnsi="Calibri"/>
          <w:color w:val="1E293B"/>
        </w:rPr>
        <w:t xml:space="preserve"> 650 inpatient beds across Acute Care, Intensive Care (ICU), and Specialty Step-Down units.</w:t>
      </w:r>
    </w:p>
    <w:p>
      <w:pPr>
        <w:spacing w:line="283" w:lineRule="auto" w:after="60"/>
        <w:ind w:left="360"/>
      </w:pPr>
      <w:r>
        <w:rPr>
          <w:rFonts w:ascii="Calibri" w:hAnsi="Calibri"/>
          <w:b/>
          <w:color w:val="0E7490"/>
        </w:rPr>
        <w:t xml:space="preserve">•  </w:t>
      </w:r>
      <w:r>
        <w:rPr>
          <w:b/>
          <w:color w:val="0F172A"/>
        </w:rPr>
        <w:t>Annual Outpatient Encounters:</w:t>
      </w:r>
      <w:r>
        <w:rPr>
          <w:rFonts w:ascii="Calibri" w:hAnsi="Calibri"/>
          <w:color w:val="1E293B"/>
        </w:rPr>
        <w:t xml:space="preserve"> ~120,000 outpatient visits across general and specialized ambulatory clinics.</w:t>
      </w:r>
    </w:p>
    <w:p>
      <w:pPr>
        <w:spacing w:line="283" w:lineRule="auto" w:after="60"/>
        <w:ind w:left="360"/>
      </w:pPr>
      <w:r>
        <w:rPr>
          <w:rFonts w:ascii="Calibri" w:hAnsi="Calibri"/>
          <w:b/>
          <w:color w:val="0E7490"/>
        </w:rPr>
        <w:t xml:space="preserve">•  </w:t>
      </w:r>
      <w:r>
        <w:rPr>
          <w:b/>
          <w:color w:val="0F172A"/>
        </w:rPr>
        <w:t>Core Clinical Specialties:</w:t>
      </w:r>
      <w:r>
        <w:rPr>
          <w:rFonts w:ascii="Calibri" w:hAnsi="Calibri"/>
          <w:color w:val="1E293B"/>
        </w:rPr>
        <w:t xml:space="preserve"> Cardiology, Endocrinology, Nephrology, General Internal Medicine, and Emergency Services.</w:t>
      </w:r>
    </w:p>
    <w:p>
      <w:pPr>
        <w:spacing w:line="283" w:lineRule="auto" w:after="60"/>
        <w:ind w:left="360"/>
      </w:pPr>
      <w:r>
        <w:rPr>
          <w:rFonts w:ascii="Calibri" w:hAnsi="Calibri"/>
          <w:b/>
          <w:color w:val="0E7490"/>
        </w:rPr>
        <w:t xml:space="preserve">•  </w:t>
      </w:r>
      <w:r>
        <w:rPr>
          <w:b/>
          <w:color w:val="0F172A"/>
        </w:rPr>
        <w:t>Analytical Challenge:</w:t>
      </w:r>
      <w:r>
        <w:rPr>
          <w:rFonts w:ascii="Calibri" w:hAnsi="Calibri"/>
          <w:color w:val="1E293B"/>
        </w:rPr>
        <w:t xml:space="preserve"> The facility experienced a 22% increase in multi-condition chronic readmissions, a lack of unified visibility into inpatient treatment costs, and no automated triage tool to identify metabolic syndrome progression prior to emergency admissions.</w:t>
      </w:r>
    </w:p>
    <w:p>
      <w:pPr>
        <w:pStyle w:val="Heading3"/>
        <w:keepNext/>
        <w:spacing w:before="280" w:after="80"/>
      </w:pPr>
      <w:r>
        <w:rPr>
          <w:rFonts w:ascii="Calibri" w:hAnsi="Calibri"/>
          <w:b/>
          <w:color w:val="0F172A"/>
          <w:sz w:val="24"/>
        </w:rPr>
        <w:t>1.3 Limitations of Transactional Systems (OLTP vs. OLAP)</w:t>
      </w:r>
    </w:p>
    <w:p>
      <w:pPr>
        <w:spacing w:line="283" w:lineRule="auto" w:after="120"/>
      </w:pPr>
      <w:r>
        <w:rPr>
          <w:rFonts w:ascii="Calibri" w:hAnsi="Calibri"/>
          <w:color w:val="1E293B"/>
        </w:rPr>
        <w:t>Prior to HealthPulse, clinical and operational leadership relied exclusively on an enterprise Online Transaction Processing (OLTP) database. While effective for point-in-time ACID transactions (e.g., recording a single lab result or billing a medication), this architecture exhibited acute analytical bottlenecks:</w:t>
      </w:r>
    </w:p>
    <w:tbl>
      <w:tblPr>
        <w:tblW w:type="auto" w:w="0"/>
        <w:jc w:val="center"/>
        <w:tblLayout w:type="autofit"/>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120"/>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Dimension / Metric</w:t>
            </w:r>
          </w:p>
        </w:tc>
        <w:tc>
          <w:tcPr>
            <w:tcW w:type="dxa" w:w="3120"/>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Traditional OLTP Environment</w:t>
            </w:r>
          </w:p>
        </w:tc>
        <w:tc>
          <w:tcPr>
            <w:tcW w:type="dxa" w:w="3120"/>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HealthPulse Clinical OLAP Warehouse</w:t>
            </w:r>
          </w:p>
        </w:tc>
      </w:tr>
      <w:tr>
        <w:tc>
          <w:tcPr>
            <w:tcW w:type="dxa" w:w="312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Primary Focus</w:t>
            </w:r>
          </w:p>
        </w:tc>
        <w:tc>
          <w:tcPr>
            <w:tcW w:type="dxa" w:w="312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Daily operational record creation &amp; transactional consistency.</w:t>
            </w:r>
          </w:p>
        </w:tc>
        <w:tc>
          <w:tcPr>
            <w:tcW w:type="dxa" w:w="312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Multi-dimensional analytics, longitudinal trends, and data mining.</w:t>
            </w:r>
          </w:p>
        </w:tc>
      </w:tr>
      <w:tr>
        <w:tc>
          <w:tcPr>
            <w:tcW w:type="dxa" w:w="312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Data Schema</w:t>
            </w:r>
          </w:p>
        </w:tc>
        <w:tc>
          <w:tcPr>
            <w:tcW w:type="dxa" w:w="312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Highly normalized 3rd Normal Form (3NF) across 60+ joined tables.</w:t>
            </w:r>
          </w:p>
        </w:tc>
        <w:tc>
          <w:tcPr>
            <w:tcW w:type="dxa" w:w="312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Denormalized Star Schema with 1 Fact table and 4 conformed Dimensions.</w:t>
            </w:r>
          </w:p>
        </w:tc>
      </w:tr>
      <w:tr>
        <w:tc>
          <w:tcPr>
            <w:tcW w:type="dxa" w:w="312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Query Complexity</w:t>
            </w:r>
          </w:p>
        </w:tc>
        <w:tc>
          <w:tcPr>
            <w:tcW w:type="dxa" w:w="312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Highly complex multi-table SQL joins; catastrophic locking on tables during aggregation.</w:t>
            </w:r>
          </w:p>
        </w:tc>
        <w:tc>
          <w:tcPr>
            <w:tcW w:type="dxa" w:w="312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Simple, lightning-fast star joins; pre-indexed foreign keys and aggregations.</w:t>
            </w:r>
          </w:p>
        </w:tc>
      </w:tr>
      <w:tr>
        <w:tc>
          <w:tcPr>
            <w:tcW w:type="dxa" w:w="312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Historical Depth</w:t>
            </w:r>
          </w:p>
        </w:tc>
        <w:tc>
          <w:tcPr>
            <w:tcW w:type="dxa" w:w="312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Real-time snapshots; historical audits archived or purged to maintain throughput.</w:t>
            </w:r>
          </w:p>
        </w:tc>
        <w:tc>
          <w:tcPr>
            <w:tcW w:type="dxa" w:w="312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Comprehensive multi-year historical logs preserving patient trajectories.</w:t>
            </w:r>
          </w:p>
        </w:tc>
      </w:tr>
      <w:tr>
        <w:tc>
          <w:tcPr>
            <w:tcW w:type="dxa" w:w="312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User Base</w:t>
            </w:r>
          </w:p>
        </w:tc>
        <w:tc>
          <w:tcPr>
            <w:tcW w:type="dxa" w:w="312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Unit clerks, triage nurses, registration staff, pharmacy technicians.</w:t>
            </w:r>
          </w:p>
        </w:tc>
        <w:tc>
          <w:tcPr>
            <w:tcW w:type="dxa" w:w="312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Hospital chief medical officers (CMO), epidemiologists, biostatisticians, clinicians.</w:t>
            </w:r>
          </w:p>
        </w:tc>
      </w:tr>
      <w:tr>
        <w:tc>
          <w:tcPr>
            <w:tcW w:type="dxa" w:w="312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Data Mining Readiness</w:t>
            </w:r>
          </w:p>
        </w:tc>
        <w:tc>
          <w:tcPr>
            <w:tcW w:type="dxa" w:w="312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Zero native support; data extraction requires heavy custom engineering.</w:t>
            </w:r>
          </w:p>
        </w:tc>
        <w:tc>
          <w:tcPr>
            <w:tcW w:type="dxa" w:w="312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Built-in mining feature extractors, classification, regression, and clustering.</w:t>
            </w:r>
          </w:p>
        </w:tc>
      </w:tr>
    </w:tbl>
    <w:p>
      <w:pPr>
        <w:spacing w:after="80"/>
      </w:pPr>
    </w:p>
    <w:p>
      <w:pPr>
        <w:pStyle w:val="Heading3"/>
        <w:keepNext/>
        <w:spacing w:before="280" w:after="80"/>
      </w:pPr>
      <w:r>
        <w:rPr>
          <w:rFonts w:ascii="Calibri" w:hAnsi="Calibri"/>
          <w:b/>
          <w:color w:val="0F172A"/>
          <w:sz w:val="24"/>
        </w:rPr>
        <w:t>1.4 Project Objectives, Business Scope, and KPIs</w:t>
      </w:r>
    </w:p>
    <w:p>
      <w:pPr>
        <w:spacing w:line="283" w:lineRule="auto" w:after="120"/>
      </w:pPr>
      <w:r>
        <w:rPr>
          <w:rFonts w:ascii="Calibri" w:hAnsi="Calibri"/>
          <w:color w:val="1E293B"/>
        </w:rPr>
        <w:t>The HealthPulse initiative was chartered to deliver a unified clinical data warehouse and decision support suite satisfying four measurable Key Performance Indicators (KPIs):</w:t>
      </w:r>
    </w:p>
    <w:p>
      <w:pPr>
        <w:spacing w:line="283" w:lineRule="auto" w:after="120"/>
      </w:pPr>
      <w:r>
        <w:rPr>
          <w:rFonts w:ascii="Calibri" w:hAnsi="Calibri"/>
          <w:color w:val="1E293B"/>
        </w:rPr>
        <w:t xml:space="preserve">1. </w:t>
      </w:r>
      <w:r>
        <w:rPr>
          <w:b/>
          <w:color w:val="0F172A"/>
        </w:rPr>
        <w:t>Analytical Query Latency Reduction (KPI-1):</w:t>
      </w:r>
      <w:r>
        <w:rPr>
          <w:rFonts w:ascii="Calibri" w:hAnsi="Calibri"/>
          <w:color w:val="1E293B"/>
        </w:rPr>
        <w:t xml:space="preserve"> Decrease multi-dimensional query execution time for 3-year aggregated hospital trends from &gt;45 seconds (in normalized OLTP) to &lt;250 milliseconds using an indexed Star Schema.</w:t>
      </w:r>
    </w:p>
    <w:p>
      <w:pPr>
        <w:spacing w:line="283" w:lineRule="auto" w:after="120"/>
      </w:pPr>
      <w:r>
        <w:rPr>
          <w:rFonts w:ascii="Calibri" w:hAnsi="Calibri"/>
          <w:color w:val="1E293B"/>
        </w:rPr>
        <w:t xml:space="preserve">2. </w:t>
      </w:r>
      <w:r>
        <w:rPr>
          <w:b/>
          <w:color w:val="0F172A"/>
        </w:rPr>
        <w:t>Early Chronic Disease Detection (KPI-2):</w:t>
      </w:r>
      <w:r>
        <w:rPr>
          <w:rFonts w:ascii="Calibri" w:hAnsi="Calibri"/>
          <w:color w:val="1E293B"/>
        </w:rPr>
        <w:t xml:space="preserve"> Develop supervised diagnostic classifiers capable of predicting Cardiovascular Disease and Type-2 Diabetes with &gt;73% accuracy and &gt;0.80 ROC-AUC.</w:t>
      </w:r>
    </w:p>
    <w:p>
      <w:pPr>
        <w:spacing w:line="283" w:lineRule="auto" w:after="120"/>
      </w:pPr>
      <w:r>
        <w:rPr>
          <w:rFonts w:ascii="Calibri" w:hAnsi="Calibri"/>
          <w:color w:val="1E293B"/>
        </w:rPr>
        <w:t xml:space="preserve">3. </w:t>
      </w:r>
      <w:r>
        <w:rPr>
          <w:b/>
          <w:color w:val="0F172A"/>
        </w:rPr>
        <w:t>Inpatient Expenditure Accuracy (KPI-3):</w:t>
      </w:r>
      <w:r>
        <w:rPr>
          <w:rFonts w:ascii="Calibri" w:hAnsi="Calibri"/>
          <w:color w:val="1E293B"/>
        </w:rPr>
        <w:t xml:space="preserve"> Deliver continuous regression forecasting of inpatient hospital costs achieving an </w:t>
      </w:r>
      <w:r>
        <w:rPr>
          <w:i/>
          <w:color w:val="1E293B"/>
        </w:rPr>
        <w:t>R^2 \ge 0.95</w:t>
      </w:r>
      <w:r>
        <w:rPr>
          <w:rFonts w:ascii="Calibri" w:hAnsi="Calibri"/>
          <w:color w:val="1E293B"/>
        </w:rPr>
        <w:t xml:space="preserve"> and an average prediction error under \$200 per admission.</w:t>
      </w:r>
    </w:p>
    <w:p>
      <w:pPr>
        <w:spacing w:line="283" w:lineRule="auto" w:after="120"/>
      </w:pPr>
      <w:r>
        <w:rPr>
          <w:rFonts w:ascii="Calibri" w:hAnsi="Calibri"/>
          <w:color w:val="1E293B"/>
        </w:rPr>
        <w:t xml:space="preserve">4. </w:t>
      </w:r>
      <w:r>
        <w:rPr>
          <w:b/>
          <w:color w:val="0F172A"/>
        </w:rPr>
        <w:t>Actionable Comorbidity Discovery (KPI-4):</w:t>
      </w:r>
      <w:r>
        <w:rPr>
          <w:rFonts w:ascii="Calibri" w:hAnsi="Calibri"/>
          <w:color w:val="1E293B"/>
        </w:rPr>
        <w:t xml:space="preserve"> Extract meaningful clinical association rules with Lift factors </w:t>
      </w:r>
      <w:r>
        <w:rPr>
          <w:i/>
          <w:color w:val="1E293B"/>
        </w:rPr>
        <w:t>&gt; 2.5</w:t>
      </w:r>
      <w:r>
        <w:rPr>
          <w:rFonts w:ascii="Calibri" w:hAnsi="Calibri"/>
          <w:color w:val="1E293B"/>
        </w:rPr>
        <w:t xml:space="preserve"> to inform preventative hospital intervention pathways.</w:t>
      </w:r>
    </w:p>
    <w:p>
      <w:pPr>
        <w:spacing w:before="160" w:after="160"/>
      </w:pPr>
    </w:p>
    <w:p>
      <w:r>
        <w:br w:type="page"/>
      </w:r>
    </w:p>
    <w:p>
      <w:pPr>
        <w:pStyle w:val="Heading2"/>
        <w:keepNext/>
        <w:spacing w:before="280" w:after="120"/>
      </w:pPr>
      <w:r>
        <w:rPr>
          <w:rFonts w:ascii="Calibri" w:hAnsi="Calibri"/>
          <w:b/>
          <w:color w:val="1E3A8A"/>
          <w:sz w:val="28"/>
        </w:rPr>
        <w:t>Chapter 2: Literature Review &amp; Theoretical Foundations</w:t>
      </w:r>
    </w:p>
    <w:p>
      <w:pPr>
        <w:pStyle w:val="Heading3"/>
        <w:keepNext/>
        <w:spacing w:before="280" w:after="80"/>
      </w:pPr>
      <w:r>
        <w:rPr>
          <w:rFonts w:ascii="Calibri" w:hAnsi="Calibri"/>
          <w:b/>
          <w:color w:val="0F172A"/>
          <w:sz w:val="24"/>
        </w:rPr>
        <w:t>2.1 Dimensional Modeling: Kimball vs. Inmon in Healthcare</w:t>
      </w:r>
    </w:p>
    <w:p>
      <w:pPr>
        <w:spacing w:line="283" w:lineRule="auto" w:after="120"/>
      </w:pPr>
      <w:r>
        <w:rPr>
          <w:rFonts w:ascii="Calibri" w:hAnsi="Calibri"/>
          <w:color w:val="1E293B"/>
        </w:rPr>
        <w:t>The architectural debate between Ralph Kimball's bottom-up Dimensional Data Warehouse methodology and Bill Inmon's top-down Enterprise Data Warehouse (EDW) is central to healthcare data architecture.</w:t>
      </w:r>
    </w:p>
    <w:p>
      <w:pPr>
        <w:spacing w:line="283" w:lineRule="auto" w:after="60"/>
        <w:ind w:left="360"/>
      </w:pPr>
      <w:r>
        <w:rPr>
          <w:rFonts w:ascii="Calibri" w:hAnsi="Calibri"/>
          <w:b/>
          <w:color w:val="0E7490"/>
        </w:rPr>
        <w:t xml:space="preserve">•  </w:t>
      </w:r>
      <w:r>
        <w:rPr>
          <w:rFonts w:ascii="Calibri" w:hAnsi="Calibri"/>
          <w:color w:val="1E293B"/>
        </w:rPr>
        <w:t xml:space="preserve">The </w:t>
      </w:r>
      <w:r>
        <w:rPr>
          <w:b/>
          <w:color w:val="0F172A"/>
        </w:rPr>
        <w:t>Inmon Approach</w:t>
      </w:r>
      <w:r>
        <w:rPr>
          <w:rFonts w:ascii="Calibri" w:hAnsi="Calibri"/>
          <w:color w:val="1E293B"/>
        </w:rPr>
        <w:t xml:space="preserve"> mandates creating a normalized enterprise data warehouse in 3NF before building downstream departmental data marts. While theoretically pure, this methodology often suffers from multi-year deployment delays, massive capital expenditure, and excessive join complexity during analytical reporting.</w:t>
      </w:r>
    </w:p>
    <w:p>
      <w:pPr>
        <w:spacing w:line="283" w:lineRule="auto" w:after="60"/>
        <w:ind w:left="360"/>
      </w:pPr>
      <w:r>
        <w:rPr>
          <w:rFonts w:ascii="Calibri" w:hAnsi="Calibri"/>
          <w:b/>
          <w:color w:val="0E7490"/>
        </w:rPr>
        <w:t xml:space="preserve">•  </w:t>
      </w:r>
      <w:r>
        <w:rPr>
          <w:rFonts w:ascii="Calibri" w:hAnsi="Calibri"/>
          <w:color w:val="1E293B"/>
        </w:rPr>
        <w:t xml:space="preserve">The </w:t>
      </w:r>
      <w:r>
        <w:rPr>
          <w:b/>
          <w:color w:val="0F172A"/>
        </w:rPr>
        <w:t>Kimball Approach</w:t>
      </w:r>
      <w:r>
        <w:rPr>
          <w:rFonts w:ascii="Calibri" w:hAnsi="Calibri"/>
          <w:color w:val="1E293B"/>
        </w:rPr>
        <w:t>, adopted in HealthPulse, advocates for the creation of conformed dimensional Star Schemas modeled directly around core clinical business processes (e.g., patient clinical assessments). Dimension tables represent real-world entities (Patient, Date, Department, Diagnosis), while the central fact table stores additive quantitative measures. This delivers superior query performance, intuitive SQL generation, and rapid iterations suitable for clinical research.</w:t>
      </w:r>
    </w:p>
    <w:p>
      <w:pPr>
        <w:pStyle w:val="Heading3"/>
        <w:keepNext/>
        <w:spacing w:before="280" w:after="80"/>
      </w:pPr>
      <w:r>
        <w:rPr>
          <w:rFonts w:ascii="Calibri" w:hAnsi="Calibri"/>
          <w:b/>
          <w:color w:val="0F172A"/>
          <w:sz w:val="24"/>
        </w:rPr>
        <w:t>2.2 Data Mining Paradigms in Modern Medicine</w:t>
      </w:r>
    </w:p>
    <w:p>
      <w:pPr>
        <w:spacing w:line="283" w:lineRule="auto" w:after="120"/>
      </w:pPr>
      <w:r>
        <w:rPr>
          <w:rFonts w:ascii="Calibri" w:hAnsi="Calibri"/>
          <w:color w:val="1E293B"/>
        </w:rPr>
        <w:t>Data mining bridges statistical inference and computational pattern recognition:</w:t>
      </w:r>
    </w:p>
    <w:p>
      <w:pPr>
        <w:spacing w:line="283" w:lineRule="auto" w:after="60"/>
        <w:ind w:left="360"/>
      </w:pPr>
      <w:r>
        <w:rPr>
          <w:rFonts w:ascii="Calibri" w:hAnsi="Calibri"/>
          <w:b/>
          <w:color w:val="0E7490"/>
        </w:rPr>
        <w:t xml:space="preserve">•  </w:t>
      </w:r>
      <w:r>
        <w:rPr>
          <w:b/>
          <w:color w:val="0F172A"/>
        </w:rPr>
        <w:t>Supervised Classification:</w:t>
      </w:r>
      <w:r>
        <w:rPr>
          <w:rFonts w:ascii="Calibri" w:hAnsi="Calibri"/>
          <w:color w:val="1E293B"/>
        </w:rPr>
        <w:t xml:space="preserve"> Maps patient feature vectors </w:t>
      </w:r>
      <w:r>
        <w:rPr>
          <w:i/>
          <w:color w:val="1E293B"/>
        </w:rPr>
        <w:t>\mathbf{x} \in \mathbb{R}^d</w:t>
      </w:r>
      <w:r>
        <w:rPr>
          <w:rFonts w:ascii="Calibri" w:hAnsi="Calibri"/>
          <w:color w:val="1E293B"/>
        </w:rPr>
        <w:t xml:space="preserve"> to categorical clinical diagnoses </w:t>
      </w:r>
      <w:r>
        <w:rPr>
          <w:i/>
          <w:color w:val="1E293B"/>
        </w:rPr>
        <w:t>y \in \{0, 1\}</w:t>
      </w:r>
      <w:r>
        <w:rPr>
          <w:rFonts w:ascii="Calibri" w:hAnsi="Calibri"/>
          <w:color w:val="1E293B"/>
        </w:rPr>
        <w:t>. Evaluated algorithms must balance predictive sensitivity (minimizing missed diagnoses) with specificity (preventing alarm fatigue).</w:t>
      </w:r>
    </w:p>
    <w:p>
      <w:pPr>
        <w:spacing w:line="283" w:lineRule="auto" w:after="60"/>
        <w:ind w:left="360"/>
      </w:pPr>
      <w:r>
        <w:rPr>
          <w:rFonts w:ascii="Calibri" w:hAnsi="Calibri"/>
          <w:b/>
          <w:color w:val="0E7490"/>
        </w:rPr>
        <w:t xml:space="preserve">•  </w:t>
      </w:r>
      <w:r>
        <w:rPr>
          <w:b/>
          <w:color w:val="0F172A"/>
        </w:rPr>
        <w:t>Continuous Regression:</w:t>
      </w:r>
      <w:r>
        <w:rPr>
          <w:rFonts w:ascii="Calibri" w:hAnsi="Calibri"/>
          <w:color w:val="1E293B"/>
        </w:rPr>
        <w:t xml:space="preserve"> Estimates continuous financial and operational targets </w:t>
      </w:r>
      <w:r>
        <w:rPr>
          <w:i/>
          <w:color w:val="1E293B"/>
        </w:rPr>
        <w:t>y \in \mathbb{R}</w:t>
      </w:r>
      <w:r>
        <w:rPr>
          <w:rFonts w:ascii="Calibri" w:hAnsi="Calibri"/>
          <w:color w:val="1E293B"/>
        </w:rPr>
        <w:t xml:space="preserve"> (such as total treatment expenditure or length of stay in days), capturing non-linear relationships among clinical procedures, severity scores, and room costs.</w:t>
      </w:r>
    </w:p>
    <w:p>
      <w:pPr>
        <w:spacing w:line="283" w:lineRule="auto" w:after="60"/>
        <w:ind w:left="360"/>
      </w:pPr>
      <w:r>
        <w:rPr>
          <w:rFonts w:ascii="Calibri" w:hAnsi="Calibri"/>
          <w:b/>
          <w:color w:val="0E7490"/>
        </w:rPr>
        <w:t xml:space="preserve">•  </w:t>
      </w:r>
      <w:r>
        <w:rPr>
          <w:b/>
          <w:color w:val="0F172A"/>
        </w:rPr>
        <w:t>Unsupervised Clustering:</w:t>
      </w:r>
      <w:r>
        <w:rPr>
          <w:rFonts w:ascii="Calibri" w:hAnsi="Calibri"/>
          <w:color w:val="1E293B"/>
        </w:rPr>
        <w:t xml:space="preserve"> Groups patients into unlabeled cohorts based on intrinsic physiological proximity, identifying previously unnoticed phenotypes or risk sub-populations.</w:t>
      </w:r>
    </w:p>
    <w:p>
      <w:pPr>
        <w:spacing w:line="283" w:lineRule="auto" w:after="60"/>
        <w:ind w:left="360"/>
      </w:pPr>
      <w:r>
        <w:rPr>
          <w:rFonts w:ascii="Calibri" w:hAnsi="Calibri"/>
          <w:b/>
          <w:color w:val="0E7490"/>
        </w:rPr>
        <w:t xml:space="preserve">•  </w:t>
      </w:r>
      <w:r>
        <w:rPr>
          <w:b/>
          <w:color w:val="0F172A"/>
        </w:rPr>
        <w:t>Association Rule Mining:</w:t>
      </w:r>
      <w:r>
        <w:rPr>
          <w:rFonts w:ascii="Calibri" w:hAnsi="Calibri"/>
          <w:color w:val="1E293B"/>
        </w:rPr>
        <w:t xml:space="preserve"> Explores large transactional databases to detect co-occurring events, uncovering non-obvious comorbid dependencies without requiring pre-labeled training targets.</w:t>
      </w:r>
    </w:p>
    <w:p>
      <w:pPr>
        <w:pStyle w:val="Heading3"/>
        <w:keepNext/>
        <w:spacing w:before="280" w:after="80"/>
      </w:pPr>
      <w:r>
        <w:rPr>
          <w:rFonts w:ascii="Calibri" w:hAnsi="Calibri"/>
          <w:b/>
          <w:color w:val="0F172A"/>
          <w:sz w:val="24"/>
        </w:rPr>
        <w:t>2.3 Pathophysiological Comorbidity Dynamics</w:t>
      </w:r>
    </w:p>
    <w:p>
      <w:pPr>
        <w:spacing w:line="283" w:lineRule="auto" w:after="120"/>
      </w:pPr>
      <w:r>
        <w:rPr>
          <w:rFonts w:ascii="Calibri" w:hAnsi="Calibri"/>
          <w:color w:val="1E293B"/>
        </w:rPr>
        <w:t>Metabolic syndrome and cardiovascular degeneration do not occur in biological isolation. Chronic hyperglycemia (elevated fasting glucose and HbA1c) causes extensive endothelial dysfunction, accelerated arterial atherosclerosis, and microvascular renal damage. Consequently, hypertension, type-2 diabetes, cardiovascular disease (CVD), and chronic kidney disease (CKD) form an interconnected, self-reinforcing comorbidity cascade. Traditional medical modeling often treats these conditions as independent variables; HealthPulse explicitly models their co-occurrence both through multidimensional diagnosis profiles and association mining.</w:t>
      </w:r>
    </w:p>
    <w:p>
      <w:pPr>
        <w:pStyle w:val="Heading3"/>
        <w:keepNext/>
        <w:spacing w:before="280" w:after="80"/>
      </w:pPr>
      <w:r>
        <w:rPr>
          <w:rFonts w:ascii="Calibri" w:hAnsi="Calibri"/>
          <w:b/>
          <w:color w:val="0F172A"/>
          <w:sz w:val="24"/>
        </w:rPr>
        <w:t>2.4 Hospital Financial Dynamics &amp; Length of Stay</w:t>
      </w:r>
    </w:p>
    <w:p>
      <w:pPr>
        <w:spacing w:line="283" w:lineRule="auto" w:after="120"/>
      </w:pPr>
      <w:r>
        <w:rPr>
          <w:rFonts w:ascii="Calibri" w:hAnsi="Calibri"/>
          <w:color w:val="1E293B"/>
        </w:rPr>
        <w:t>In modern healthcare management, inpatient expenditures are heavily dictated by avoidable complications, extended Length of Stay (LOS), and intensive care step-ups. Accurate expenditure prediction allows hospital finance teams to optimize bed turnover, anticipate pharmaceutical inventories, and identify departments where treatment variance indicates clinical inefficiency.</w:t>
      </w:r>
    </w:p>
    <w:p>
      <w:pPr>
        <w:spacing w:before="160" w:after="160"/>
      </w:pPr>
    </w:p>
    <w:p>
      <w:r>
        <w:br w:type="page"/>
      </w:r>
    </w:p>
    <w:p>
      <w:pPr>
        <w:pStyle w:val="Heading2"/>
        <w:keepNext/>
        <w:spacing w:before="280" w:after="120"/>
      </w:pPr>
      <w:r>
        <w:rPr>
          <w:rFonts w:ascii="Calibri" w:hAnsi="Calibri"/>
          <w:b/>
          <w:color w:val="1E3A8A"/>
          <w:sz w:val="28"/>
        </w:rPr>
        <w:t>Chapter 3: System Architecture &amp; Dimensional Data Warehouse Design</w:t>
      </w:r>
    </w:p>
    <w:p>
      <w:pPr>
        <w:pStyle w:val="Heading3"/>
        <w:keepNext/>
        <w:spacing w:before="280" w:after="80"/>
      </w:pPr>
      <w:r>
        <w:rPr>
          <w:rFonts w:ascii="Calibri" w:hAnsi="Calibri"/>
          <w:b/>
          <w:color w:val="0F172A"/>
          <w:sz w:val="24"/>
        </w:rPr>
        <w:t>3.1 Multi-Tier System Topology</w:t>
      </w:r>
    </w:p>
    <w:p>
      <w:pPr>
        <w:spacing w:line="283" w:lineRule="auto" w:after="120"/>
      </w:pPr>
      <w:r>
        <w:rPr>
          <w:rFonts w:ascii="Calibri" w:hAnsi="Calibri"/>
          <w:color w:val="1E293B"/>
        </w:rPr>
        <w:t>HealthPulse utilizes a modular, decoupled six-tier architecture:</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360"/>
      </w:tblGrid>
      <w:tr>
        <w:tc>
          <w:tcPr>
            <w:tcW w:type="dxa" w:w="9360"/>
            <w:shd w:fill="F1F5F9"/>
            <w:tcMar>
              <w:top w:w="140" w:type="dxa"/>
              <w:bottom w:w="140" w:type="dxa"/>
              <w:left w:w="200" w:type="dxa"/>
              <w:right w:w="200" w:type="dxa"/>
            </w:tcMar>
          </w:tcPr>
          <w:p>
            <w:pPr>
              <w:spacing w:before="40" w:after="40" w:line="240" w:lineRule="auto"/>
            </w:pPr>
            <w:r>
              <w:rPr>
                <w:rFonts w:ascii="Consolas" w:hAnsi="Consolas"/>
                <w:color w:val="0F172A"/>
                <w:sz w:val="17"/>
              </w:rPr>
              <w:t xml:space="preserve">  +--------------------------------------------------------------------------------------------+</w:t>
              <w:br/>
              <w:t xml:space="preserve">  | TIER 1: CLINICAL INGESTION &amp; RAW TRANSACTION REGISTER                                     |</w:t>
              <w:br/>
              <w:t xml:space="preserve">  | Demographics | Hemodynamic Vitals | Biochemical Blood Panels | Departmental Encounters     |</w:t>
              <w:br/>
              <w:t xml:space="preserve">  +--------------------------------------------------------------------------------------------+</w:t>
              <w:br/>
              <w:t xml:space="preserve">                                                |</w:t>
              <w:br/>
              <w:t xml:space="preserve">                                                v</w:t>
              <w:br/>
              <w:t xml:space="preserve">  +--------------------------------------------------------------------------------------------+</w:t>
              <w:br/>
              <w:t xml:space="preserve">  | TIER 2: AUTOMATED EXTRACT, TRANSFORM, LOAD (ETL) PIPELINE                                  |</w:t>
              <w:br/>
              <w:t xml:space="preserve">  | Missing Value Audit | IQR Outlier Winsorization | Categorical Encoding | Key Resolution    |</w:t>
              <w:br/>
              <w:t xml:space="preserve">  +--------------------------------------------------------------------------------------------+</w:t>
              <w:br/>
              <w:t xml:space="preserve">                                                |</w:t>
              <w:br/>
              <w:t xml:space="preserve">                                                v</w:t>
              <w:br/>
              <w:t xml:space="preserve">  +--------------------------------------------------------------------------------------------+</w:t>
              <w:br/>
              <w:t xml:space="preserve">  | TIER 3: DATA WAREHOUSE LAYER - STAR SCHEMA (SQLite Engine)                                 |</w:t>
              <w:br/>
              <w:t xml:space="preserve">  |   Dim_Patient  &lt;---+                                       +---&gt;  Dim_Department           |</w:t>
              <w:br/>
              <w:t xml:space="preserve">  |                    |       +-----------------------+       |                               |</w:t>
              <w:br/>
              <w:t xml:space="preserve">  |                    +-----&gt; |  FACT_PATIENT         | &lt;-----+                               |</w:t>
              <w:br/>
              <w:t xml:space="preserve">  |                            |  ASSESSMENTS          |                                       |</w:t>
              <w:br/>
              <w:t xml:space="preserve">  |                    +-----&gt; |  (Indexed Measures)   | &lt;-----+                               |</w:t>
              <w:br/>
              <w:t xml:space="preserve">  |                    |       +-----------------------+       |                               |</w:t>
              <w:br/>
              <w:t xml:space="preserve">  |   Dim_Date     &lt;---+                                       +---&gt;  Dim_DiagnosisCategory    |</w:t>
              <w:br/>
              <w:t xml:space="preserve">  +--------------------------------------------------------------------------------------------+</w:t>
              <w:br/>
              <w:t xml:space="preserve">                                                |</w:t>
              <w:br/>
              <w:t xml:space="preserve">                                                v</w:t>
              <w:br/>
              <w:t xml:space="preserve">  +--------------------------------------------------------------------------------------------+</w:t>
              <w:br/>
              <w:t xml:space="preserve">  | TIER 4: DUAL-CORE ANALYTICAL &amp; DATA MINING ENGINE                                          |</w:t>
              <w:br/>
              <w:t xml:space="preserve">  |   [A. OLAP Analytical Engine]                 [B. Machine Learning Mining Engine]          |</w:t>
              <w:br/>
              <w:t xml:space="preserve">  |   - Roll-Up (Year/Quarter/Month)              - Classification (CART, NB, RF, Logistic)    |</w:t>
              <w:br/>
              <w:t xml:space="preserve">  |   - Drill-Down (Unit/Admission Type)          - Regression (OLS, Ridge, RF Regressor)      |</w:t>
              <w:br/>
              <w:t xml:space="preserve">  |   - Slice &amp; Dice Operations                   - Clustering (K-Means, 2D/3D PCA)            |</w:t>
              <w:br/>
              <w:t xml:space="preserve">  |   - 2D Cross-Tabulation Pivots                - Association (Apriori Itemset Mining)       |</w:t>
              <w:br/>
              <w:t xml:space="preserve">  +--------------------------------------------------------------------------------------------+</w:t>
              <w:br/>
              <w:t xml:space="preserve">                                                |</w:t>
              <w:br/>
              <w:t xml:space="preserve">                                                v</w:t>
              <w:br/>
              <w:t xml:space="preserve">  +--------------------------------------------------------------------------------------------+</w:t>
              <w:br/>
              <w:t xml:space="preserve">  | TIER 5: CLINICAL DECISION SUPPORT LAYER                                                    |</w:t>
              <w:br/>
              <w:t xml:space="preserve">  | Real-Time Consensus Scoring | Risk Gauges | Feature Importances | Path Logic Explainer     |</w:t>
              <w:br/>
              <w:t xml:space="preserve">  +--------------------------------------------------------------------------------------------+</w:t>
              <w:br/>
              <w:t xml:space="preserve">                                                |</w:t>
              <w:br/>
              <w:t xml:space="preserve">                                                v</w:t>
              <w:br/>
              <w:t xml:space="preserve">  +--------------------------------------------------------------------------------------------+</w:t>
              <w:br/>
              <w:t xml:space="preserve">  | TIER 6: INTERACTIVE STREAMLIT PRESENTATION DASHBOARD                                       |</w:t>
              <w:br/>
              <w:t xml:space="preserve">  | Architecture | OLAP Explorer | Predictive Diagnostics | Cost Models | Audit Reports        |</w:t>
              <w:br/>
              <w:t xml:space="preserve">  +--------------------------------------------------------------------------------------------+</w:t>
            </w:r>
          </w:p>
        </w:tc>
      </w:tr>
    </w:tbl>
    <w:p>
      <w:pPr>
        <w:spacing w:after="80"/>
      </w:pPr>
    </w:p>
    <w:p>
      <w:pPr>
        <w:pStyle w:val="Heading3"/>
        <w:keepNext/>
        <w:spacing w:before="280" w:after="80"/>
      </w:pPr>
      <w:r>
        <w:rPr>
          <w:rFonts w:ascii="Calibri" w:hAnsi="Calibri"/>
          <w:b/>
          <w:color w:val="0F172A"/>
          <w:sz w:val="24"/>
        </w:rPr>
        <w:t>3.2 Star Schema Design &amp; Granularity</w:t>
      </w:r>
    </w:p>
    <w:p>
      <w:pPr>
        <w:spacing w:line="283" w:lineRule="auto" w:after="120"/>
      </w:pPr>
      <w:r>
        <w:rPr>
          <w:rFonts w:ascii="Calibri" w:hAnsi="Calibri"/>
          <w:color w:val="1E293B"/>
        </w:rPr>
        <w:t xml:space="preserve">The central data repository is structured as a </w:t>
      </w:r>
      <w:r>
        <w:rPr>
          <w:b/>
          <w:color w:val="0F172A"/>
        </w:rPr>
        <w:t>Star Schema</w:t>
      </w:r>
      <w:r>
        <w:rPr>
          <w:rFonts w:ascii="Calibri" w:hAnsi="Calibri"/>
          <w:color w:val="1E293B"/>
        </w:rPr>
        <w:t>:</w:t>
      </w:r>
    </w:p>
    <w:p>
      <w:pPr>
        <w:spacing w:line="283" w:lineRule="auto" w:after="60"/>
        <w:ind w:left="360"/>
      </w:pPr>
      <w:r>
        <w:rPr>
          <w:rFonts w:ascii="Calibri" w:hAnsi="Calibri"/>
          <w:b/>
          <w:color w:val="0E7490"/>
        </w:rPr>
        <w:t xml:space="preserve">•  </w:t>
      </w:r>
      <w:r>
        <w:rPr>
          <w:b/>
          <w:color w:val="0F172A"/>
        </w:rPr>
        <w:t>Grain Definition:</w:t>
      </w:r>
      <w:r>
        <w:rPr>
          <w:rFonts w:ascii="Calibri" w:hAnsi="Calibri"/>
          <w:color w:val="1E293B"/>
        </w:rPr>
        <w:t xml:space="preserve"> Exactly one record per individual clinical patient encounter/assessment.</w:t>
      </w:r>
    </w:p>
    <w:p>
      <w:pPr>
        <w:spacing w:line="283" w:lineRule="auto" w:after="60"/>
        <w:ind w:left="360"/>
      </w:pPr>
      <w:r>
        <w:rPr>
          <w:rFonts w:ascii="Calibri" w:hAnsi="Calibri"/>
          <w:b/>
          <w:color w:val="0E7490"/>
        </w:rPr>
        <w:t xml:space="preserve">•  </w:t>
      </w:r>
      <w:r>
        <w:rPr>
          <w:b/>
          <w:color w:val="0F172A"/>
        </w:rPr>
        <w:t>Fact Table:</w:t>
      </w:r>
      <w:r>
        <w:rPr>
          <w:rFonts w:ascii="Calibri" w:hAnsi="Calibri"/>
          <w:color w:val="1E293B"/>
        </w:rPr>
        <w:t xml:space="preserve"> </w:t>
      </w:r>
      <w:r>
        <w:rPr>
          <w:rFonts w:ascii="Consolas" w:hAnsi="Consolas"/>
          <w:color w:val="0F766E"/>
          <w:sz w:val="19"/>
        </w:rPr>
        <w:t>Fact_PatientAssessments</w:t>
      </w:r>
      <w:r>
        <w:rPr>
          <w:rFonts w:ascii="Calibri" w:hAnsi="Calibri"/>
          <w:color w:val="1E293B"/>
        </w:rPr>
        <w:t xml:space="preserve"> stores all additive, semi-additive, and non-additive numerical clinical measures along with foreign keys referencing the four dimension tables.</w:t>
      </w:r>
    </w:p>
    <w:p>
      <w:pPr>
        <w:spacing w:line="283" w:lineRule="auto" w:after="60"/>
        <w:ind w:left="360"/>
      </w:pPr>
      <w:r>
        <w:rPr>
          <w:rFonts w:ascii="Calibri" w:hAnsi="Calibri"/>
          <w:b/>
          <w:color w:val="0E7490"/>
        </w:rPr>
        <w:t xml:space="preserve">•  </w:t>
      </w:r>
      <w:r>
        <w:rPr>
          <w:b/>
          <w:color w:val="0F172A"/>
        </w:rPr>
        <w:t>Dimension Tables:</w:t>
      </w:r>
      <w:r>
        <w:rPr>
          <w:rFonts w:ascii="Calibri" w:hAnsi="Calibri"/>
          <w:color w:val="1E293B"/>
        </w:rPr>
        <w:t xml:space="preserve"> Completely denormalized entities providing rich textual context for querying and aggregation.</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360"/>
      </w:tblGrid>
      <w:tr>
        <w:tc>
          <w:tcPr>
            <w:tcW w:type="dxa" w:w="9360"/>
            <w:shd w:fill="F1F5F9"/>
            <w:tcMar>
              <w:top w:w="140" w:type="dxa"/>
              <w:bottom w:w="140" w:type="dxa"/>
              <w:left w:w="200" w:type="dxa"/>
              <w:right w:w="200" w:type="dxa"/>
            </w:tcMar>
          </w:tcPr>
          <w:p>
            <w:pPr>
              <w:spacing w:before="40" w:after="40" w:line="240" w:lineRule="auto"/>
            </w:pPr>
            <w:r>
              <w:rPr>
                <w:rFonts w:ascii="Consolas" w:hAnsi="Consolas"/>
                <w:color w:val="0F172A"/>
                <w:sz w:val="17"/>
              </w:rPr>
              <w:t>erDiagram</w:t>
              <w:br/>
              <w:t xml:space="preserve">    Dim_Patient ||--o{ Fact_PatientAssessments : "patient_key"</w:t>
              <w:br/>
              <w:t xml:space="preserve">    Dim_Date ||--o{ Fact_PatientAssessments : "date_key"</w:t>
              <w:br/>
              <w:t xml:space="preserve">    Dim_Department ||--o{ Fact_PatientAssessments : "dept_key"</w:t>
              <w:br/>
              <w:t xml:space="preserve">    Dim_DiagnosisCategory ||--o{ Fact_PatientAssessments : "diag_key"</w:t>
              <w:br/>
              <w:br/>
              <w:t xml:space="preserve">    Dim_Patient {</w:t>
              <w:br/>
              <w:t xml:space="preserve">        int patient_key PK</w:t>
              <w:br/>
              <w:t xml:space="preserve">        string patient_id</w:t>
              <w:br/>
              <w:t xml:space="preserve">        int age</w:t>
              <w:br/>
              <w:t xml:space="preserve">        string age_group</w:t>
              <w:br/>
              <w:t xml:space="preserve">        string gender</w:t>
              <w:br/>
              <w:t xml:space="preserve">        string blood_group</w:t>
              <w:br/>
              <w:t xml:space="preserve">        string smoking</w:t>
              <w:br/>
              <w:t xml:space="preserve">        string alcohol</w:t>
              <w:br/>
              <w:t xml:space="preserve">        string exercise_level</w:t>
              <w:br/>
              <w:t xml:space="preserve">    }</w:t>
              <w:br/>
              <w:br/>
              <w:t xml:space="preserve">    Dim_Date {</w:t>
              <w:br/>
              <w:t xml:space="preserve">        int date_key PK</w:t>
              <w:br/>
              <w:t xml:space="preserve">        string full_date</w:t>
              <w:br/>
              <w:t xml:space="preserve">        int year</w:t>
              <w:br/>
              <w:t xml:space="preserve">        int quarter</w:t>
              <w:br/>
              <w:t xml:space="preserve">        int month</w:t>
              <w:br/>
              <w:t xml:space="preserve">        string month_name</w:t>
              <w:br/>
              <w:t xml:space="preserve">        int day</w:t>
              <w:br/>
              <w:t xml:space="preserve">        string day_name</w:t>
              <w:br/>
              <w:t xml:space="preserve">        int is_weekend</w:t>
              <w:br/>
              <w:t xml:space="preserve">    }</w:t>
              <w:br/>
              <w:br/>
              <w:t xml:space="preserve">    Dim_Department {</w:t>
              <w:br/>
              <w:t xml:space="preserve">        int dept_key PK</w:t>
              <w:br/>
              <w:t xml:space="preserve">        string department_name</w:t>
              <w:br/>
              <w:t xml:space="preserve">        string admission_type</w:t>
              <w:br/>
              <w:t xml:space="preserve">    }</w:t>
              <w:br/>
              <w:br/>
              <w:t xml:space="preserve">    Dim_DiagnosisCategory {</w:t>
              <w:br/>
              <w:t xml:space="preserve">        int diag_key PK</w:t>
              <w:br/>
              <w:t xml:space="preserve">        string profile_name</w:t>
              <w:br/>
              <w:t xml:space="preserve">        int has_hypertension</w:t>
              <w:br/>
              <w:t xml:space="preserve">        int has_diabetes</w:t>
              <w:br/>
              <w:t xml:space="preserve">        int has_heart_disease</w:t>
              <w:br/>
              <w:t xml:space="preserve">        int has_ckd</w:t>
              <w:br/>
              <w:t xml:space="preserve">        int comorbidity_count</w:t>
              <w:br/>
              <w:t xml:space="preserve">    }</w:t>
              <w:br/>
              <w:br/>
              <w:t xml:space="preserve">    Fact_PatientAssessments {</w:t>
              <w:br/>
              <w:t xml:space="preserve">        int assessment_key PK</w:t>
              <w:br/>
              <w:t xml:space="preserve">        int patient_key FK</w:t>
              <w:br/>
              <w:t xml:space="preserve">        int date_key FK</w:t>
              <w:br/>
              <w:t xml:space="preserve">        int dept_key FK</w:t>
              <w:br/>
              <w:t xml:space="preserve">        int diag_key FK</w:t>
              <w:br/>
              <w:t xml:space="preserve">        int systolic_bp</w:t>
              <w:br/>
              <w:t xml:space="preserve">        int diastolic_bp</w:t>
              <w:br/>
              <w:t xml:space="preserve">        int heart_rate</w:t>
              <w:br/>
              <w:t xml:space="preserve">        float bmi</w:t>
              <w:br/>
              <w:t xml:space="preserve">        string bmi_category</w:t>
              <w:br/>
              <w:t xml:space="preserve">        float fasting_glucose</w:t>
              <w:br/>
              <w:t xml:space="preserve">        float hba1c</w:t>
              <w:br/>
              <w:t xml:space="preserve">        float total_cholesterol</w:t>
              <w:br/>
              <w:t xml:space="preserve">        float ldl</w:t>
              <w:br/>
              <w:t xml:space="preserve">        float hdl</w:t>
              <w:br/>
              <w:t xml:space="preserve">        float serum_creatinine</w:t>
              <w:br/>
              <w:t xml:space="preserve">        int length_of_stay</w:t>
              <w:br/>
              <w:t xml:space="preserve">        float treatment_cost</w:t>
              <w:br/>
              <w:t xml:space="preserve">        int hypertension</w:t>
              <w:br/>
              <w:t xml:space="preserve">        int diabetes</w:t>
              <w:br/>
              <w:t xml:space="preserve">        int heart_disease</w:t>
              <w:br/>
              <w:t xml:space="preserve">        int chronic_kidney_disease</w:t>
              <w:br/>
              <w:t xml:space="preserve">        int risk_score</w:t>
              <w:br/>
              <w:t xml:space="preserve">        int high_risk_patient</w:t>
              <w:br/>
              <w:t xml:space="preserve">    }</w:t>
            </w:r>
          </w:p>
        </w:tc>
      </w:tr>
    </w:tbl>
    <w:p>
      <w:pPr>
        <w:spacing w:after="80"/>
      </w:pPr>
    </w:p>
    <w:p>
      <w:pPr>
        <w:pStyle w:val="Heading3"/>
        <w:keepNext/>
        <w:spacing w:before="280" w:after="80"/>
      </w:pPr>
      <w:r>
        <w:rPr>
          <w:rFonts w:ascii="Calibri" w:hAnsi="Calibri"/>
          <w:b/>
          <w:color w:val="0F172A"/>
          <w:sz w:val="24"/>
        </w:rPr>
        <w:t>3.3 Comprehensive Data Dictionary</w:t>
      </w:r>
    </w:p>
    <w:p>
      <w:pPr>
        <w:pStyle w:val="Heading4"/>
        <w:keepNext/>
        <w:spacing w:before="200" w:after="40"/>
      </w:pPr>
      <w:r>
        <w:rPr>
          <w:rFonts w:ascii="Calibri" w:hAnsi="Calibri"/>
          <w:b/>
          <w:color w:val="475569"/>
          <w:sz w:val="22"/>
        </w:rPr>
        <w:t>1. Dimension Table: `Dim_Patient`</w:t>
      </w:r>
    </w:p>
    <w:p>
      <w:pPr>
        <w:spacing w:line="283" w:lineRule="auto" w:after="120"/>
      </w:pPr>
      <w:r>
        <w:rPr>
          <w:rFonts w:ascii="Calibri" w:hAnsi="Calibri"/>
          <w:color w:val="1E293B"/>
        </w:rPr>
        <w:t>Stores conformed demographic, physiological, and behavioral risk variables:</w:t>
      </w:r>
    </w:p>
    <w:tbl>
      <w:tblPr>
        <w:tblW w:type="auto" w:w="0"/>
        <w:jc w:val="center"/>
        <w:tblLayout w:type="autofit"/>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Column Name</w:t>
            </w:r>
          </w:p>
        </w:tc>
        <w:tc>
          <w:tcPr>
            <w:tcW w:type="dxa" w:w="2340"/>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Data Type</w:t>
            </w:r>
          </w:p>
        </w:tc>
        <w:tc>
          <w:tcPr>
            <w:tcW w:type="dxa" w:w="2340"/>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Constraint</w:t>
            </w:r>
          </w:p>
        </w:tc>
        <w:tc>
          <w:tcPr>
            <w:tcW w:type="dxa" w:w="2340"/>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Description / Permitted Values</w:t>
            </w:r>
          </w:p>
        </w:tc>
      </w:tr>
      <w:tr>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`patient_key`</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INTEGER</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PRIMARY KEY AUTOINCREMENT</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Surrogate integer key uniquely identifying a patient record.</w:t>
            </w:r>
          </w:p>
        </w:tc>
      </w:tr>
      <w:tr>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`patient_id`</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TEXT</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UNIQUE, NOT NULL</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Natural business identifier (e.g., `PAT-10042`).</w:t>
            </w:r>
          </w:p>
        </w:tc>
      </w:tr>
      <w:tr>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`age`</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INTEGER</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NOT NULL</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Patient chronological age in years (18 \le \text{age} \le 90).</w:t>
            </w:r>
          </w:p>
        </w:tc>
      </w:tr>
      <w:tr>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`age_group`</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TEXT</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NOT NULL</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Epidemiological cohort (Young Adult, Adult, Middle-Aged, Senior, Elderly).</w:t>
            </w:r>
          </w:p>
        </w:tc>
      </w:tr>
      <w:tr>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`gender`</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TEXT</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NOT NULL</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Biological sex (`Male`, `Female`).</w:t>
            </w:r>
          </w:p>
        </w:tc>
      </w:tr>
      <w:tr>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`blood_group`</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TEXT</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NOT NULL</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ABO and Rh blood group (`A+`, `A-`, `B+`, `B-`, `O+`, `O-`, `AB+`, `AB-`).</w:t>
            </w:r>
          </w:p>
        </w:tc>
      </w:tr>
      <w:tr>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`smoking`</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TEXT</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NOT NULL</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Tobacco exposure history (`Never`, `Former`, `Current`).</w:t>
            </w:r>
          </w:p>
        </w:tc>
      </w:tr>
      <w:tr>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`alcohol`</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TEXT</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NOT NULL</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Alcohol consumption tier (`Non-Drinker`, `Moderate`, `Heavy`).</w:t>
            </w:r>
          </w:p>
        </w:tc>
      </w:tr>
      <w:tr>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`exercise_level`</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TEXT</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NOT NULL</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Habitual weekly physical activity level (`Sedentary`, `Moderate`, `Active`).</w:t>
            </w:r>
          </w:p>
        </w:tc>
      </w:tr>
    </w:tbl>
    <w:p>
      <w:pPr>
        <w:spacing w:after="80"/>
      </w:pPr>
    </w:p>
    <w:p>
      <w:pPr>
        <w:pStyle w:val="Heading4"/>
        <w:keepNext/>
        <w:spacing w:before="200" w:after="40"/>
      </w:pPr>
      <w:r>
        <w:rPr>
          <w:rFonts w:ascii="Calibri" w:hAnsi="Calibri"/>
          <w:b/>
          <w:color w:val="475569"/>
          <w:sz w:val="22"/>
        </w:rPr>
        <w:t>2. Dimension Table: `Dim_Date`</w:t>
      </w:r>
    </w:p>
    <w:p>
      <w:pPr>
        <w:spacing w:line="283" w:lineRule="auto" w:after="120"/>
      </w:pPr>
      <w:r>
        <w:rPr>
          <w:rFonts w:ascii="Calibri" w:hAnsi="Calibri"/>
          <w:color w:val="1E293B"/>
        </w:rPr>
        <w:t>Decomposes temporal timestamps into rich analytical calendar hierarchies:</w:t>
      </w:r>
    </w:p>
    <w:tbl>
      <w:tblPr>
        <w:tblW w:type="auto" w:w="0"/>
        <w:jc w:val="center"/>
        <w:tblLayout w:type="autofit"/>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Column Name</w:t>
            </w:r>
          </w:p>
        </w:tc>
        <w:tc>
          <w:tcPr>
            <w:tcW w:type="dxa" w:w="2340"/>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Data Type</w:t>
            </w:r>
          </w:p>
        </w:tc>
        <w:tc>
          <w:tcPr>
            <w:tcW w:type="dxa" w:w="2340"/>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Constraint</w:t>
            </w:r>
          </w:p>
        </w:tc>
        <w:tc>
          <w:tcPr>
            <w:tcW w:type="dxa" w:w="2340"/>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Description / Permitted Values</w:t>
            </w:r>
          </w:p>
        </w:tc>
      </w:tr>
      <w:tr>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`date_key`</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INTEGER</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PRIMARY KEY</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Integer date surrogate formatted as `YYYYMMDD` (e.g., `20250814`).</w:t>
            </w:r>
          </w:p>
        </w:tc>
      </w:tr>
      <w:tr>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`full_date`</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TEXT</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UNIQUE, NOT NULL</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Standard ISO-8601 date string (`YYYY-MM-DD`).</w:t>
            </w:r>
          </w:p>
        </w:tc>
      </w:tr>
      <w:tr>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`year`</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INTEGER</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NOT NULL</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Calendar year (e.g., `2025`, `2026`).</w:t>
            </w:r>
          </w:p>
        </w:tc>
      </w:tr>
      <w:tr>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`quarter`</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INTEGER</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NOT NULL</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Calendar quarter (1, 2, 3, 4).</w:t>
            </w:r>
          </w:p>
        </w:tc>
      </w:tr>
      <w:tr>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`month`</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INTEGER</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NOT NULL</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Month numeric index (1 \le \text{month} \le 12).</w:t>
            </w:r>
          </w:p>
        </w:tc>
      </w:tr>
      <w:tr>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`month_name`</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TEXT</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NOT NULL</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Full month string (`January`, `February`, etc.).</w:t>
            </w:r>
          </w:p>
        </w:tc>
      </w:tr>
      <w:tr>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`day`</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INTEGER</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NOT NULL</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Day of the month (1 \le \text{day} \le 31).</w:t>
            </w:r>
          </w:p>
        </w:tc>
      </w:tr>
      <w:tr>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`day_name`</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TEXT</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NOT NULL</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Day of the week string (`Monday`, `Tuesday`, etc.).</w:t>
            </w:r>
          </w:p>
        </w:tc>
      </w:tr>
      <w:tr>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`is_weekend`</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INTEGER</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NOT NULL</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Binary flag (1 = \text{Saturday/Sunday}, 0 = \text{Weekday}).</w:t>
            </w:r>
          </w:p>
        </w:tc>
      </w:tr>
    </w:tbl>
    <w:p>
      <w:pPr>
        <w:spacing w:after="80"/>
      </w:pPr>
    </w:p>
    <w:p>
      <w:pPr>
        <w:pStyle w:val="Heading4"/>
        <w:keepNext/>
        <w:spacing w:before="200" w:after="40"/>
      </w:pPr>
      <w:r>
        <w:rPr>
          <w:rFonts w:ascii="Calibri" w:hAnsi="Calibri"/>
          <w:b/>
          <w:color w:val="475569"/>
          <w:sz w:val="22"/>
        </w:rPr>
        <w:t>3. Dimension Table: `Dim_Department`</w:t>
      </w:r>
    </w:p>
    <w:p>
      <w:pPr>
        <w:spacing w:line="283" w:lineRule="auto" w:after="120"/>
      </w:pPr>
      <w:r>
        <w:rPr>
          <w:rFonts w:ascii="Calibri" w:hAnsi="Calibri"/>
          <w:color w:val="1E293B"/>
        </w:rPr>
        <w:t>Captures administrative hospital routing and care delivery classification:</w:t>
      </w:r>
    </w:p>
    <w:tbl>
      <w:tblPr>
        <w:tblW w:type="auto" w:w="0"/>
        <w:jc w:val="center"/>
        <w:tblLayout w:type="autofit"/>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Column Name</w:t>
            </w:r>
          </w:p>
        </w:tc>
        <w:tc>
          <w:tcPr>
            <w:tcW w:type="dxa" w:w="2340"/>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Data Type</w:t>
            </w:r>
          </w:p>
        </w:tc>
        <w:tc>
          <w:tcPr>
            <w:tcW w:type="dxa" w:w="2340"/>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Constraint</w:t>
            </w:r>
          </w:p>
        </w:tc>
        <w:tc>
          <w:tcPr>
            <w:tcW w:type="dxa" w:w="2340"/>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Description / Permitted Values</w:t>
            </w:r>
          </w:p>
        </w:tc>
      </w:tr>
      <w:tr>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`dept_key`</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INTEGER</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PRIMARY KEY AUTOINCREMENT</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Surrogate integer key identifying a unique department encounter mode.</w:t>
            </w:r>
          </w:p>
        </w:tc>
      </w:tr>
      <w:tr>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`department_name`</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TEXT</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NOT NULL</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Hospital specialty (`Cardiology`, `Endocrinology`, `Nephrology`, `General Medicine`, `Emergency`).</w:t>
            </w:r>
          </w:p>
        </w:tc>
      </w:tr>
      <w:tr>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`admission_type`</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TEXT</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NOT NULL</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Encounter severity (`Outpatient`, `Inpatient`, `Emergency`).</w:t>
            </w:r>
          </w:p>
        </w:tc>
      </w:tr>
    </w:tbl>
    <w:p>
      <w:pPr>
        <w:spacing w:after="80"/>
      </w:pPr>
    </w:p>
    <w:p>
      <w:pPr>
        <w:pStyle w:val="Heading4"/>
        <w:keepNext/>
        <w:spacing w:before="200" w:after="40"/>
      </w:pPr>
      <w:r>
        <w:rPr>
          <w:rFonts w:ascii="Calibri" w:hAnsi="Calibri"/>
          <w:b/>
          <w:color w:val="475569"/>
          <w:sz w:val="22"/>
        </w:rPr>
        <w:t>4. Dimension Table: `Dim_DiagnosisCategory`</w:t>
      </w:r>
    </w:p>
    <w:p>
      <w:pPr>
        <w:spacing w:line="283" w:lineRule="auto" w:after="120"/>
      </w:pPr>
      <w:r>
        <w:rPr>
          <w:rFonts w:ascii="Calibri" w:hAnsi="Calibri"/>
          <w:color w:val="1E293B"/>
        </w:rPr>
        <w:t>Encapsulates comorbidity profiles and chronic condition combinations:</w:t>
      </w:r>
    </w:p>
    <w:tbl>
      <w:tblPr>
        <w:tblW w:type="auto" w:w="0"/>
        <w:jc w:val="center"/>
        <w:tblLayout w:type="autofit"/>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Column Name</w:t>
            </w:r>
          </w:p>
        </w:tc>
        <w:tc>
          <w:tcPr>
            <w:tcW w:type="dxa" w:w="2340"/>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Data Type</w:t>
            </w:r>
          </w:p>
        </w:tc>
        <w:tc>
          <w:tcPr>
            <w:tcW w:type="dxa" w:w="2340"/>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Constraint</w:t>
            </w:r>
          </w:p>
        </w:tc>
        <w:tc>
          <w:tcPr>
            <w:tcW w:type="dxa" w:w="2340"/>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Description / Permitted Values</w:t>
            </w:r>
          </w:p>
        </w:tc>
      </w:tr>
      <w:tr>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`diag_key`</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INTEGER</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PRIMARY KEY AUTOINCREMENT</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Surrogate integer key identifying a unique comorbidity pattern.</w:t>
            </w:r>
          </w:p>
        </w:tc>
      </w:tr>
      <w:tr>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`profile_name`</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TEXT</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UNIQUE, NOT NULL</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Comorbidity acronym string (e.g., `HTN+DM+CVD`, `Healthy/Normal`).</w:t>
            </w:r>
          </w:p>
        </w:tc>
      </w:tr>
      <w:tr>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`has_hypertension`</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INTEGER</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NOT NULL</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Binary flag indicating presence of hypertension (0/1).</w:t>
            </w:r>
          </w:p>
        </w:tc>
      </w:tr>
      <w:tr>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`has_diabetes`</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INTEGER</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NOT NULL</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Binary flag indicating presence of type-2 diabetes (0/1).</w:t>
            </w:r>
          </w:p>
        </w:tc>
      </w:tr>
      <w:tr>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`has_heart_disease`</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INTEGER</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NOT NULL</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Binary flag indicating presence of cardiovascular disease (0/1).</w:t>
            </w:r>
          </w:p>
        </w:tc>
      </w:tr>
      <w:tr>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`has_ckd`</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INTEGER</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NOT NULL</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Binary flag indicating presence of chronic kidney disease (0/1).</w:t>
            </w:r>
          </w:p>
        </w:tc>
      </w:tr>
      <w:tr>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`comorbidity_count`</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INTEGER</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NOT NULL</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Sum of active chronic conditions (0 \le \text{count} \le 4).</w:t>
            </w:r>
          </w:p>
        </w:tc>
      </w:tr>
    </w:tbl>
    <w:p>
      <w:pPr>
        <w:spacing w:after="80"/>
      </w:pPr>
    </w:p>
    <w:p>
      <w:pPr>
        <w:pStyle w:val="Heading4"/>
        <w:keepNext/>
        <w:spacing w:before="200" w:after="40"/>
      </w:pPr>
      <w:r>
        <w:rPr>
          <w:rFonts w:ascii="Calibri" w:hAnsi="Calibri"/>
          <w:b/>
          <w:color w:val="475569"/>
          <w:sz w:val="22"/>
        </w:rPr>
        <w:t>5. Central Fact Table: `Fact_PatientAssessments`</w:t>
      </w:r>
    </w:p>
    <w:p>
      <w:pPr>
        <w:spacing w:line="283" w:lineRule="auto" w:after="120"/>
      </w:pPr>
      <w:r>
        <w:rPr>
          <w:rFonts w:ascii="Calibri" w:hAnsi="Calibri"/>
          <w:color w:val="1E293B"/>
        </w:rPr>
        <w:t>Stores numerical measures and foreign key associations:</w:t>
      </w:r>
    </w:p>
    <w:tbl>
      <w:tblPr>
        <w:tblW w:type="auto" w:w="0"/>
        <w:jc w:val="center"/>
        <w:tblLayout w:type="autofit"/>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Column Name</w:t>
            </w:r>
          </w:p>
        </w:tc>
        <w:tc>
          <w:tcPr>
            <w:tcW w:type="dxa" w:w="2340"/>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Data Type</w:t>
            </w:r>
          </w:p>
        </w:tc>
        <w:tc>
          <w:tcPr>
            <w:tcW w:type="dxa" w:w="2340"/>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Key Type</w:t>
            </w:r>
          </w:p>
        </w:tc>
        <w:tc>
          <w:tcPr>
            <w:tcW w:type="dxa" w:w="2340"/>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Description / Units</w:t>
            </w:r>
          </w:p>
        </w:tc>
      </w:tr>
      <w:tr>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`assessment_key`</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INTEGER</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PRIMARY KEY AUTOINCREMENT</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Unique assessment transaction identifier.</w:t>
            </w:r>
          </w:p>
        </w:tc>
      </w:tr>
      <w:tr>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`patient_key`</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INTEGER</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FOREIGN KEY</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References `Dim_Patient(patient_key)`.</w:t>
            </w:r>
          </w:p>
        </w:tc>
      </w:tr>
      <w:tr>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`date_key`</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INTEGER</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FOREIGN KEY</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References `Dim_Date(date_key)`.</w:t>
            </w:r>
          </w:p>
        </w:tc>
      </w:tr>
      <w:tr>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`dept_key`</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INTEGER</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FOREIGN KEY</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References `Dim_Department(dept_key)`.</w:t>
            </w:r>
          </w:p>
        </w:tc>
      </w:tr>
      <w:tr>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`diag_key`</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INTEGER</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FOREIGN KEY</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References `Dim_DiagnosisCategory(diag_key)`.</w:t>
            </w:r>
          </w:p>
        </w:tc>
      </w:tr>
      <w:tr>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`systolic_bp`</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INTEGER</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Measure</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Systolic arterial blood pressure (mmHg).</w:t>
            </w:r>
          </w:p>
        </w:tc>
      </w:tr>
      <w:tr>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`diastolic_bp`</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INTEGER</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Measure</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Diastolic arterial blood pressure (mmHg).</w:t>
            </w:r>
          </w:p>
        </w:tc>
      </w:tr>
      <w:tr>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`heart_rate`</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INTEGER</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Measure</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Resting cardiac pulse rate (beats per minute).</w:t>
            </w:r>
          </w:p>
        </w:tc>
      </w:tr>
      <w:tr>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`bmi`</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REAL</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Measure</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Body Mass Index (\text{kg/m}^2).</w:t>
            </w:r>
          </w:p>
        </w:tc>
      </w:tr>
      <w:tr>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`bmi_category`</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TEXT</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Degenerate Dim</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WHO category (`Underweight`, `Normal`, `Overweight`, `Obese`).</w:t>
            </w:r>
          </w:p>
        </w:tc>
      </w:tr>
      <w:tr>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`fasting_glucose`</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REAL</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Measure</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Blood plasma fasting glucose concentration (mg/dL).</w:t>
            </w:r>
          </w:p>
        </w:tc>
      </w:tr>
      <w:tr>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`hba1c`</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REAL</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Measure</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Glycated hemoglobin percentage (%).</w:t>
            </w:r>
          </w:p>
        </w:tc>
      </w:tr>
      <w:tr>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`total_cholesterol`</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REAL</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Measure</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Total serum cholesterol (mg/dL).</w:t>
            </w:r>
          </w:p>
        </w:tc>
      </w:tr>
      <w:tr>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`ldl`</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REAL</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Measure</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Low-density lipoprotein cholesterol (mg/dL).</w:t>
            </w:r>
          </w:p>
        </w:tc>
      </w:tr>
      <w:tr>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`hdl`</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REAL</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Measure</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High-density lipoprotein cholesterol (mg/dL).</w:t>
            </w:r>
          </w:p>
        </w:tc>
      </w:tr>
      <w:tr>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`serum_creatinine`</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REAL</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Measure</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Serum creatinine biomarker (mg/dL).</w:t>
            </w:r>
          </w:p>
        </w:tc>
      </w:tr>
      <w:tr>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`length_of_stay`</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INTEGER</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Measure</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Total duration of inpatient hospitalization in days (0 \le \text{LOS} \le 30).</w:t>
            </w:r>
          </w:p>
        </w:tc>
      </w:tr>
      <w:tr>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`treatment_cost`</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REAL</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Measure</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Total cost of clinical care incurred in USD (\).</w:t>
            </w:r>
          </w:p>
        </w:tc>
      </w:tr>
      <w:tr>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`hypertension`</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INTEGER</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Measure/Target</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Ground truth hypertension flag (0/1).</w:t>
            </w:r>
          </w:p>
        </w:tc>
      </w:tr>
      <w:tr>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`diabetes`</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INTEGER</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Measure/Target</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Ground truth type-2 diabetes flag (0/1).</w:t>
            </w:r>
          </w:p>
        </w:tc>
      </w:tr>
      <w:tr>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`heart_disease`</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INTEGER</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Measure/Target</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Ground truth cardiovascular disease flag (0/1).</w:t>
            </w:r>
          </w:p>
        </w:tc>
      </w:tr>
      <w:tr>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`chronic_kidney_disease`</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INTEGER</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Measure/Target</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Ground truth chronic kidney disease flag (0/1).</w:t>
            </w:r>
          </w:p>
        </w:tc>
      </w:tr>
      <w:tr>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`risk_score`</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INTEGER</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Measure</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Composite clinical severity score (0 \le \text{score} \le 100).</w:t>
            </w:r>
          </w:p>
        </w:tc>
      </w:tr>
      <w:tr>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`high_risk_patient`</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INTEGER</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Measure/Target</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Binary flag indicating composite risk score \ge 50 (0/1).</w:t>
            </w:r>
          </w:p>
        </w:tc>
      </w:tr>
    </w:tbl>
    <w:p>
      <w:pPr>
        <w:spacing w:after="80"/>
      </w:pPr>
    </w:p>
    <w:p>
      <w:pPr>
        <w:pStyle w:val="Heading3"/>
        <w:keepNext/>
        <w:spacing w:before="280" w:after="80"/>
      </w:pPr>
      <w:r>
        <w:rPr>
          <w:rFonts w:ascii="Calibri" w:hAnsi="Calibri"/>
          <w:b/>
          <w:color w:val="0F172A"/>
          <w:sz w:val="24"/>
        </w:rPr>
        <w:t>3.4 Surrogate Key Generation &amp; Slowly Changing Dimensions</w:t>
      </w:r>
    </w:p>
    <w:p>
      <w:pPr>
        <w:spacing w:line="283" w:lineRule="auto" w:after="120"/>
      </w:pPr>
      <w:r>
        <w:rPr>
          <w:rFonts w:ascii="Calibri" w:hAnsi="Calibri"/>
          <w:color w:val="1E293B"/>
        </w:rPr>
        <w:t xml:space="preserve">Natural keys (such as </w:t>
      </w:r>
      <w:r>
        <w:rPr>
          <w:rFonts w:ascii="Consolas" w:hAnsi="Consolas"/>
          <w:color w:val="0F766E"/>
          <w:sz w:val="19"/>
        </w:rPr>
        <w:t>patient_id</w:t>
      </w:r>
      <w:r>
        <w:rPr>
          <w:rFonts w:ascii="Calibri" w:hAnsi="Calibri"/>
          <w:color w:val="1E293B"/>
        </w:rPr>
        <w:t xml:space="preserve"> or hospital department strings) are subject to external system changes, alphanumeric restructuring, or typographical variance. HealthPulse strictly isolates the warehouse from upstream source changes by introducing auto-incrementing integer </w:t>
      </w:r>
      <w:r>
        <w:rPr>
          <w:b/>
          <w:color w:val="0F172A"/>
        </w:rPr>
        <w:t>surrogate keys</w:t>
      </w:r>
      <w:r>
        <w:rPr>
          <w:rFonts w:ascii="Calibri" w:hAnsi="Calibri"/>
          <w:color w:val="1E293B"/>
        </w:rPr>
        <w:t xml:space="preserve"> across all dimension tables.</w:t>
      </w:r>
    </w:p>
    <w:p>
      <w:pPr>
        <w:spacing w:line="283" w:lineRule="auto" w:after="120"/>
      </w:pPr>
      <w:r>
        <w:rPr>
          <w:rFonts w:ascii="Calibri" w:hAnsi="Calibri"/>
          <w:color w:val="1E293B"/>
        </w:rPr>
        <w:t xml:space="preserve">For temporal tracking of demographic changes (e.g., a patient transitioning smoking status from "Never" to "Current", or shifting address), the architecture supports </w:t>
      </w:r>
      <w:r>
        <w:rPr>
          <w:b/>
          <w:color w:val="0F172A"/>
        </w:rPr>
        <w:t>Slowly Changing Dimensions (SCD Type 2)</w:t>
      </w:r>
      <w:r>
        <w:rPr>
          <w:rFonts w:ascii="Calibri" w:hAnsi="Calibri"/>
          <w:color w:val="1E293B"/>
        </w:rPr>
        <w:t>, whereby historical attribute values are preserved by appending new dimension records with versioning timestamps while the primary surrogate key remains immutable.</w:t>
      </w:r>
    </w:p>
    <w:p>
      <w:pPr>
        <w:pStyle w:val="Heading3"/>
        <w:keepNext/>
        <w:spacing w:before="280" w:after="80"/>
      </w:pPr>
      <w:r>
        <w:rPr>
          <w:rFonts w:ascii="Calibri" w:hAnsi="Calibri"/>
          <w:b/>
          <w:color w:val="0F172A"/>
          <w:sz w:val="24"/>
        </w:rPr>
        <w:t>3.5 Relational Storage Engine &amp; Indexing Strategies</w:t>
      </w:r>
    </w:p>
    <w:p>
      <w:pPr>
        <w:spacing w:line="283" w:lineRule="auto" w:after="120"/>
      </w:pPr>
      <w:r>
        <w:rPr>
          <w:rFonts w:ascii="Calibri" w:hAnsi="Calibri"/>
          <w:color w:val="1E293B"/>
        </w:rPr>
        <w:t>The warehouse is implemented in an ACID-compliant embedded relational engine (SQLite 3.45+). To ensure sub-second latency across multi-table OLAP aggregation queries involving thousands of records, explicit B-Tree indexes are constructed across all foreign key joins in the fact table:</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360"/>
      </w:tblGrid>
      <w:tr>
        <w:tc>
          <w:tcPr>
            <w:tcW w:type="dxa" w:w="9360"/>
            <w:shd w:fill="F1F5F9"/>
            <w:tcMar>
              <w:top w:w="140" w:type="dxa"/>
              <w:bottom w:w="140" w:type="dxa"/>
              <w:left w:w="200" w:type="dxa"/>
              <w:right w:w="200" w:type="dxa"/>
            </w:tcMar>
          </w:tcPr>
          <w:p>
            <w:pPr>
              <w:spacing w:before="40" w:after="40" w:line="240" w:lineRule="auto"/>
            </w:pPr>
            <w:r>
              <w:rPr>
                <w:rFonts w:ascii="Consolas" w:hAnsi="Consolas"/>
                <w:color w:val="0F172A"/>
                <w:sz w:val="17"/>
              </w:rPr>
              <w:t>CREATE INDEX IF NOT EXISTS idx_fact_date    ON Fact_PatientAssessments(date_key);</w:t>
              <w:br/>
              <w:t>CREATE INDEX IF NOT EXISTS idx_fact_dept    ON Fact_PatientAssessments(dept_key);</w:t>
              <w:br/>
              <w:t>CREATE INDEX IF NOT EXISTS idx_fact_patient ON Fact_PatientAssessments(patient_key);</w:t>
              <w:br/>
              <w:t>CREATE INDEX IF NOT EXISTS idx_fact_diag    ON Fact_PatientAssessments(diag_key);</w:t>
            </w:r>
          </w:p>
        </w:tc>
      </w:tr>
    </w:tbl>
    <w:p>
      <w:pPr>
        <w:spacing w:after="80"/>
      </w:pPr>
    </w:p>
    <w:p>
      <w:pPr>
        <w:spacing w:before="160" w:after="160"/>
      </w:pPr>
    </w:p>
    <w:p>
      <w:r>
        <w:br w:type="page"/>
      </w:r>
    </w:p>
    <w:p>
      <w:pPr>
        <w:pStyle w:val="Heading2"/>
        <w:keepNext/>
        <w:spacing w:before="280" w:after="120"/>
      </w:pPr>
      <w:r>
        <w:rPr>
          <w:rFonts w:ascii="Calibri" w:hAnsi="Calibri"/>
          <w:b/>
          <w:color w:val="1E3A8A"/>
          <w:sz w:val="28"/>
        </w:rPr>
        <w:t>Chapter 4: The Extract, Transform, Load (ETL) Pipeline</w:t>
      </w:r>
    </w:p>
    <w:p>
      <w:pPr>
        <w:pStyle w:val="Heading3"/>
        <w:keepNext/>
        <w:spacing w:before="280" w:after="80"/>
      </w:pPr>
      <w:r>
        <w:rPr>
          <w:rFonts w:ascii="Calibri" w:hAnsi="Calibri"/>
          <w:b/>
          <w:color w:val="0F172A"/>
          <w:sz w:val="24"/>
        </w:rPr>
        <w:t>4.1 Extraction Protocols</w:t>
      </w:r>
    </w:p>
    <w:p>
      <w:pPr>
        <w:spacing w:line="283" w:lineRule="auto" w:after="120"/>
      </w:pPr>
      <w:r>
        <w:rPr>
          <w:rFonts w:ascii="Calibri" w:hAnsi="Calibri"/>
          <w:color w:val="1E293B"/>
        </w:rPr>
        <w:t>The automated ETL pipeline ingests raw clinical transactional registers (</w:t>
      </w:r>
      <w:r>
        <w:rPr>
          <w:rFonts w:ascii="Consolas" w:hAnsi="Consolas"/>
          <w:color w:val="0F766E"/>
          <w:sz w:val="19"/>
        </w:rPr>
        <w:t>raw_healthcare_data.csv</w:t>
      </w:r>
      <w:r>
        <w:rPr>
          <w:rFonts w:ascii="Calibri" w:hAnsi="Calibri"/>
          <w:color w:val="1E293B"/>
        </w:rPr>
        <w:t>). The extraction protocol executes schema verification, auditing column headers, data types, and row checksums to guarantee that all 3,500 patient observations are completely ingested without data truncation.</w:t>
      </w:r>
    </w:p>
    <w:p>
      <w:pPr>
        <w:pStyle w:val="Heading3"/>
        <w:keepNext/>
        <w:spacing w:before="280" w:after="80"/>
      </w:pPr>
      <w:r>
        <w:rPr>
          <w:rFonts w:ascii="Calibri" w:hAnsi="Calibri"/>
          <w:b/>
          <w:color w:val="0F172A"/>
          <w:sz w:val="24"/>
        </w:rPr>
        <w:t>4.2 Data Hygiene &amp; Outlier Treatment (IQR Method)</w:t>
      </w:r>
    </w:p>
    <w:p>
      <w:pPr>
        <w:spacing w:line="283" w:lineRule="auto" w:after="120"/>
      </w:pPr>
      <w:r>
        <w:rPr>
          <w:rFonts w:ascii="Calibri" w:hAnsi="Calibri"/>
          <w:color w:val="1E293B"/>
        </w:rPr>
        <w:t xml:space="preserve">In raw hospital telemetry, physiological readings can contain extreme outliers due to sensor disconnection or typographical entry errors. HealthPulse incorporates an automated statistical hygiene filter utilizing the </w:t>
      </w:r>
      <w:r>
        <w:rPr>
          <w:b/>
          <w:color w:val="0F172A"/>
        </w:rPr>
        <w:t>Interquartile Range (IQR)</w:t>
      </w:r>
      <w:r>
        <w:rPr>
          <w:rFonts w:ascii="Calibri" w:hAnsi="Calibri"/>
          <w:color w:val="1E293B"/>
        </w:rPr>
        <w:t xml:space="preserve"> formulation.</w:t>
      </w:r>
    </w:p>
    <w:p>
      <w:pPr>
        <w:spacing w:line="283" w:lineRule="auto" w:after="120"/>
      </w:pPr>
      <w:r>
        <w:rPr>
          <w:rFonts w:ascii="Calibri" w:hAnsi="Calibri"/>
          <w:color w:val="1E293B"/>
        </w:rPr>
        <w:t xml:space="preserve">For each continuous clinical feature </w:t>
      </w:r>
      <w:r>
        <w:rPr>
          <w:i/>
          <w:color w:val="1E293B"/>
        </w:rPr>
        <w:t>X</w:t>
      </w:r>
      <w:r>
        <w:rPr>
          <w:rFonts w:ascii="Calibri" w:hAnsi="Calibri"/>
          <w:color w:val="1E293B"/>
        </w:rPr>
        <w:t>:</w:t>
      </w:r>
    </w:p>
    <w:p>
      <w:pPr>
        <w:spacing w:line="283" w:lineRule="auto" w:after="120"/>
      </w:pPr>
      <w:r>
        <w:rPr>
          <w:rFonts w:ascii="Calibri" w:hAnsi="Calibri"/>
          <w:color w:val="1E293B"/>
        </w:rPr>
        <w:t>1. Calculate the first quartile (</w:t>
      </w:r>
      <w:r>
        <w:rPr>
          <w:i/>
          <w:color w:val="1E293B"/>
        </w:rPr>
        <w:t>Q_1</w:t>
      </w:r>
      <w:r>
        <w:rPr>
          <w:rFonts w:ascii="Calibri" w:hAnsi="Calibri"/>
          <w:color w:val="1E293B"/>
        </w:rPr>
        <w:t>, 25th percentile) and third quartile (</w:t>
      </w:r>
      <w:r>
        <w:rPr>
          <w:i/>
          <w:color w:val="1E293B"/>
        </w:rPr>
        <w:t>Q_3</w:t>
      </w:r>
      <w:r>
        <w:rPr>
          <w:rFonts w:ascii="Calibri" w:hAnsi="Calibri"/>
          <w:color w:val="1E293B"/>
        </w:rPr>
        <w:t>, 75th percentile).</w:t>
      </w:r>
    </w:p>
    <w:p>
      <w:pPr>
        <w:spacing w:line="283" w:lineRule="auto" w:after="120"/>
      </w:pPr>
      <w:r>
        <w:rPr>
          <w:rFonts w:ascii="Calibri" w:hAnsi="Calibri"/>
          <w:color w:val="1E293B"/>
        </w:rPr>
        <w:t>2. Calculate the interquartile range:</w:t>
      </w:r>
    </w:p>
    <w:p>
      <w:pPr>
        <w:spacing w:line="283" w:lineRule="auto" w:after="120"/>
      </w:pPr>
      <w:r>
        <w:rPr>
          <w:i/>
          <w:color w:val="1E293B"/>
        </w:rPr>
      </w:r>
      <w:r>
        <w:rPr>
          <w:rFonts w:ascii="Calibri" w:hAnsi="Calibri"/>
          <w:color w:val="1E293B"/>
        </w:rPr>
        <w:t>\text{IQR} = Q_3 - Q_1</w:t>
      </w:r>
      <w:r>
        <w:rPr>
          <w:i/>
          <w:color w:val="1E293B"/>
        </w:rPr>
      </w:r>
    </w:p>
    <w:p>
      <w:pPr>
        <w:spacing w:line="283" w:lineRule="auto" w:after="120"/>
      </w:pPr>
      <w:r>
        <w:rPr>
          <w:rFonts w:ascii="Calibri" w:hAnsi="Calibri"/>
          <w:color w:val="1E293B"/>
        </w:rPr>
        <w:t>3. Establish upper and lower fencing limits:</w:t>
      </w:r>
    </w:p>
    <w:p>
      <w:pPr>
        <w:spacing w:line="283" w:lineRule="auto" w:after="120"/>
      </w:pPr>
      <w:r>
        <w:rPr>
          <w:i/>
          <w:color w:val="1E293B"/>
        </w:rPr>
      </w:r>
      <w:r>
        <w:rPr>
          <w:rFonts w:ascii="Calibri" w:hAnsi="Calibri"/>
          <w:color w:val="1E293B"/>
        </w:rPr>
        <w:t>\text{Lower Bound} = Q_1 - 1.5 \times \text{IQR}</w:t>
      </w:r>
      <w:r>
        <w:rPr>
          <w:i/>
          <w:color w:val="1E293B"/>
        </w:rPr>
      </w:r>
    </w:p>
    <w:p>
      <w:pPr>
        <w:spacing w:line="283" w:lineRule="auto" w:after="120"/>
      </w:pPr>
      <w:r>
        <w:rPr>
          <w:i/>
          <w:color w:val="1E293B"/>
        </w:rPr>
      </w:r>
      <w:r>
        <w:rPr>
          <w:rFonts w:ascii="Calibri" w:hAnsi="Calibri"/>
          <w:color w:val="1E293B"/>
        </w:rPr>
        <w:t>\text{Upper Bound} = Q_3 + 1.5 \times \text{IQR}</w:t>
      </w:r>
      <w:r>
        <w:rPr>
          <w:i/>
          <w:color w:val="1E293B"/>
        </w:rPr>
      </w:r>
    </w:p>
    <w:p>
      <w:pPr>
        <w:spacing w:line="283" w:lineRule="auto" w:after="120"/>
      </w:pPr>
      <w:r>
        <w:rPr>
          <w:rFonts w:ascii="Calibri" w:hAnsi="Calibri"/>
          <w:color w:val="1E293B"/>
        </w:rPr>
        <w:t xml:space="preserve">4. Rather than discarding outlier rows (which would eliminate critically ill emergency patients), extreme values are winsorized to biologically plausible physiological boundaries (e.g., clamping systolic blood pressure to </w:t>
      </w:r>
      <w:r>
        <w:rPr>
          <w:i/>
          <w:color w:val="1E293B"/>
        </w:rPr>
        <w:t>[90, 210]</w:t>
      </w:r>
      <w:r>
        <w:rPr>
          <w:rFonts w:ascii="Calibri" w:hAnsi="Calibri"/>
          <w:color w:val="1E293B"/>
        </w:rPr>
        <w:t xml:space="preserve"> mmHg and BMI to </w:t>
      </w:r>
      <w:r>
        <w:rPr>
          <w:i/>
          <w:color w:val="1E293B"/>
        </w:rPr>
        <w:t>[16.0, 48.0]</w:t>
      </w:r>
      <w:r>
        <w:rPr>
          <w:rFonts w:ascii="Calibri" w:hAnsi="Calibri"/>
          <w:color w:val="1E293B"/>
        </w:rPr>
        <w:t xml:space="preserve"> </w:t>
      </w:r>
      <w:r>
        <w:rPr>
          <w:i/>
          <w:color w:val="1E293B"/>
        </w:rPr>
        <w:t>\text{kg/m}^2</w:t>
      </w:r>
      <w:r>
        <w:rPr>
          <w:rFonts w:ascii="Calibri" w:hAnsi="Calibri"/>
          <w:color w:val="1E293B"/>
        </w:rPr>
        <w:t>).</w:t>
      </w:r>
    </w:p>
    <w:p>
      <w:pPr>
        <w:pStyle w:val="Heading3"/>
        <w:keepNext/>
        <w:spacing w:before="280" w:after="80"/>
      </w:pPr>
      <w:r>
        <w:rPr>
          <w:rFonts w:ascii="Calibri" w:hAnsi="Calibri"/>
          <w:b/>
          <w:color w:val="0F172A"/>
          <w:sz w:val="24"/>
        </w:rPr>
        <w:t>4.3 Clinical Feature Engineering &amp; Discretization</w:t>
      </w:r>
    </w:p>
    <w:p>
      <w:pPr>
        <w:spacing w:line="283" w:lineRule="auto" w:after="120"/>
      </w:pPr>
      <w:r>
        <w:rPr>
          <w:rFonts w:ascii="Calibri" w:hAnsi="Calibri"/>
          <w:color w:val="1E293B"/>
        </w:rPr>
        <w:t>To convert raw continuous data into epidemiologically meaningful concepts, the ETL pipeline applies clinical discretization rules:</w:t>
      </w:r>
    </w:p>
    <w:p>
      <w:pPr>
        <w:pStyle w:val="Heading4"/>
        <w:keepNext/>
        <w:spacing w:before="200" w:after="40"/>
      </w:pPr>
      <w:r>
        <w:rPr>
          <w:rFonts w:ascii="Calibri" w:hAnsi="Calibri"/>
          <w:b/>
          <w:color w:val="475569"/>
          <w:sz w:val="22"/>
        </w:rPr>
        <w:t>Age Categorization</w:t>
      </w:r>
    </w:p>
    <w:p>
      <w:pPr>
        <w:spacing w:line="283" w:lineRule="auto" w:after="120"/>
      </w:pPr>
      <w:r>
        <w:rPr>
          <w:i/>
          <w:color w:val="1E293B"/>
        </w:rPr>
      </w:r>
      <w:r>
        <w:rPr>
          <w:rFonts w:ascii="Calibri" w:hAnsi="Calibri"/>
          <w:color w:val="1E293B"/>
        </w:rPr>
        <w:t>\text{AgeGroup}(x) = \begin{cases}</w:t>
      </w:r>
    </w:p>
    <w:p>
      <w:pPr>
        <w:spacing w:line="283" w:lineRule="auto" w:after="120"/>
      </w:pPr>
      <w:r>
        <w:rPr>
          <w:rFonts w:ascii="Calibri" w:hAnsi="Calibri"/>
          <w:color w:val="1E293B"/>
        </w:rPr>
        <w:t>\text{"Young Adult (18-29)"} &amp; \text{if } x &lt; 30 \\</w:t>
      </w:r>
    </w:p>
    <w:p>
      <w:pPr>
        <w:spacing w:line="283" w:lineRule="auto" w:after="120"/>
      </w:pPr>
      <w:r>
        <w:rPr>
          <w:rFonts w:ascii="Calibri" w:hAnsi="Calibri"/>
          <w:color w:val="1E293B"/>
        </w:rPr>
        <w:t>\text{"Adult (30-44)"} &amp; \text{if } 30 \le x &lt; 45 \\</w:t>
      </w:r>
    </w:p>
    <w:p>
      <w:pPr>
        <w:spacing w:line="283" w:lineRule="auto" w:after="120"/>
      </w:pPr>
      <w:r>
        <w:rPr>
          <w:rFonts w:ascii="Calibri" w:hAnsi="Calibri"/>
          <w:color w:val="1E293B"/>
        </w:rPr>
        <w:t>\text{"Middle-Aged (45-59)"} &amp; \text{if } 45 \le x &lt; 60 \\</w:t>
      </w:r>
    </w:p>
    <w:p>
      <w:pPr>
        <w:spacing w:line="283" w:lineRule="auto" w:after="120"/>
      </w:pPr>
      <w:r>
        <w:rPr>
          <w:rFonts w:ascii="Calibri" w:hAnsi="Calibri"/>
          <w:color w:val="1E293B"/>
        </w:rPr>
        <w:t>\text{"Senior (60-74)"} &amp; \text{if } 60 \le x &lt; 75 \\</w:t>
      </w:r>
    </w:p>
    <w:p>
      <w:pPr>
        <w:spacing w:line="283" w:lineRule="auto" w:after="120"/>
      </w:pPr>
      <w:r>
        <w:rPr>
          <w:rFonts w:ascii="Calibri" w:hAnsi="Calibri"/>
          <w:color w:val="1E293B"/>
        </w:rPr>
        <w:t>\text{"Elderly (75+)"} &amp; \text{if } x \ge 75</w:t>
      </w:r>
    </w:p>
    <w:p>
      <w:pPr>
        <w:spacing w:line="283" w:lineRule="auto" w:after="120"/>
      </w:pPr>
      <w:r>
        <w:rPr>
          <w:rFonts w:ascii="Calibri" w:hAnsi="Calibri"/>
          <w:color w:val="1E293B"/>
        </w:rPr>
        <w:t>\end{cases}</w:t>
      </w:r>
      <w:r>
        <w:rPr>
          <w:i/>
          <w:color w:val="1E293B"/>
        </w:rPr>
      </w:r>
    </w:p>
    <w:p>
      <w:pPr>
        <w:pStyle w:val="Heading4"/>
        <w:keepNext/>
        <w:spacing w:before="200" w:after="40"/>
      </w:pPr>
      <w:r>
        <w:rPr>
          <w:rFonts w:ascii="Calibri" w:hAnsi="Calibri"/>
          <w:b/>
          <w:color w:val="475569"/>
          <w:sz w:val="22"/>
        </w:rPr>
        <w:t>Body Mass Index (BMI) Categorization (WHO Guidelines)</w:t>
      </w:r>
    </w:p>
    <w:p>
      <w:pPr>
        <w:spacing w:line="283" w:lineRule="auto" w:after="120"/>
      </w:pPr>
      <w:r>
        <w:rPr>
          <w:i/>
          <w:color w:val="1E293B"/>
        </w:rPr>
      </w:r>
      <w:r>
        <w:rPr>
          <w:rFonts w:ascii="Calibri" w:hAnsi="Calibri"/>
          <w:color w:val="1E293B"/>
        </w:rPr>
        <w:t>\text{BMICategory}(x) = \begin{cases}</w:t>
      </w:r>
    </w:p>
    <w:p>
      <w:pPr>
        <w:spacing w:line="283" w:lineRule="auto" w:after="120"/>
      </w:pPr>
      <w:r>
        <w:rPr>
          <w:rFonts w:ascii="Calibri" w:hAnsi="Calibri"/>
          <w:color w:val="1E293B"/>
        </w:rPr>
        <w:t>\text{"Underweight"} &amp; \text{if } x &lt; 18.5 \\</w:t>
      </w:r>
    </w:p>
    <w:p>
      <w:pPr>
        <w:spacing w:line="283" w:lineRule="auto" w:after="120"/>
      </w:pPr>
      <w:r>
        <w:rPr>
          <w:rFonts w:ascii="Calibri" w:hAnsi="Calibri"/>
          <w:color w:val="1E293B"/>
        </w:rPr>
        <w:t>\text{"Normal"} &amp; \text{if } 18.5 \le x &lt; 25.0 \\</w:t>
      </w:r>
    </w:p>
    <w:p>
      <w:pPr>
        <w:spacing w:line="283" w:lineRule="auto" w:after="120"/>
      </w:pPr>
      <w:r>
        <w:rPr>
          <w:rFonts w:ascii="Calibri" w:hAnsi="Calibri"/>
          <w:color w:val="1E293B"/>
        </w:rPr>
        <w:t>\text{"Overweight"} &amp; \text{if } 25.0 \le x &lt; 30.0 \\</w:t>
      </w:r>
    </w:p>
    <w:p>
      <w:pPr>
        <w:spacing w:line="283" w:lineRule="auto" w:after="120"/>
      </w:pPr>
      <w:r>
        <w:rPr>
          <w:rFonts w:ascii="Calibri" w:hAnsi="Calibri"/>
          <w:color w:val="1E293B"/>
        </w:rPr>
        <w:t>\text{"Obese"} &amp; \text{if } x \ge 30.0</w:t>
      </w:r>
    </w:p>
    <w:p>
      <w:pPr>
        <w:spacing w:line="283" w:lineRule="auto" w:after="120"/>
      </w:pPr>
      <w:r>
        <w:rPr>
          <w:rFonts w:ascii="Calibri" w:hAnsi="Calibri"/>
          <w:color w:val="1E293B"/>
        </w:rPr>
        <w:t>\end{cases}</w:t>
      </w:r>
      <w:r>
        <w:rPr>
          <w:i/>
          <w:color w:val="1E293B"/>
        </w:rPr>
      </w:r>
    </w:p>
    <w:p>
      <w:pPr>
        <w:pStyle w:val="Heading4"/>
        <w:keepNext/>
        <w:spacing w:before="200" w:after="40"/>
      </w:pPr>
      <w:r>
        <w:rPr>
          <w:rFonts w:ascii="Calibri" w:hAnsi="Calibri"/>
          <w:b/>
          <w:color w:val="475569"/>
          <w:sz w:val="22"/>
        </w:rPr>
        <w:t>Comorbidity Profiling</w:t>
      </w:r>
    </w:p>
    <w:p>
      <w:pPr>
        <w:spacing w:line="283" w:lineRule="auto" w:after="120"/>
      </w:pPr>
      <w:r>
        <w:rPr>
          <w:rFonts w:ascii="Calibri" w:hAnsi="Calibri"/>
          <w:color w:val="1E293B"/>
        </w:rPr>
        <w:t>Individual condition flags are synthesized into an integrated comorbidity string (</w:t>
      </w:r>
      <w:r>
        <w:rPr>
          <w:rFonts w:ascii="Consolas" w:hAnsi="Consolas"/>
          <w:color w:val="0F766E"/>
          <w:sz w:val="19"/>
        </w:rPr>
        <w:t>profile_name</w:t>
      </w:r>
      <w:r>
        <w:rPr>
          <w:rFonts w:ascii="Calibri" w:hAnsi="Calibri"/>
          <w:color w:val="1E293B"/>
        </w:rPr>
        <w:t xml:space="preserve">), identifying multi-system degradation such as </w:t>
      </w:r>
      <w:r>
        <w:rPr>
          <w:rFonts w:ascii="Consolas" w:hAnsi="Consolas"/>
          <w:color w:val="0F766E"/>
          <w:sz w:val="19"/>
        </w:rPr>
        <w:t>HTN+DM+CVD</w:t>
      </w:r>
      <w:r>
        <w:rPr>
          <w:rFonts w:ascii="Calibri" w:hAnsi="Calibri"/>
          <w:color w:val="1E293B"/>
        </w:rPr>
        <w:t xml:space="preserve"> (Hypertension + Diabetes + Cardiovascular Disease).</w:t>
      </w:r>
    </w:p>
    <w:p>
      <w:pPr>
        <w:pStyle w:val="Heading3"/>
        <w:keepNext/>
        <w:spacing w:before="280" w:after="80"/>
      </w:pPr>
      <w:r>
        <w:rPr>
          <w:rFonts w:ascii="Calibri" w:hAnsi="Calibri"/>
          <w:b/>
          <w:color w:val="0F172A"/>
          <w:sz w:val="24"/>
        </w:rPr>
        <w:t>4.4 Feature Normalization &amp; Standardization</w:t>
      </w:r>
    </w:p>
    <w:p>
      <w:pPr>
        <w:spacing w:line="283" w:lineRule="auto" w:after="120"/>
      </w:pPr>
      <w:r>
        <w:rPr>
          <w:rFonts w:ascii="Calibri" w:hAnsi="Calibri"/>
          <w:color w:val="1E293B"/>
        </w:rPr>
        <w:t xml:space="preserve">For machine learning algorithms whose optimization surfaces depend on distance metrics (K-Means, PCA, Logistic Regression, and Ridge), input feature distributions are standardized using </w:t>
      </w:r>
      <w:r>
        <w:rPr>
          <w:i/>
          <w:color w:val="1E293B"/>
        </w:rPr>
        <w:t>Z</w:t>
      </w:r>
      <w:r>
        <w:rPr>
          <w:rFonts w:ascii="Calibri" w:hAnsi="Calibri"/>
          <w:color w:val="1E293B"/>
        </w:rPr>
        <w:t>-score transformation:</w:t>
      </w:r>
    </w:p>
    <w:p>
      <w:pPr>
        <w:spacing w:line="283" w:lineRule="auto" w:after="120"/>
      </w:pPr>
      <w:r>
        <w:rPr>
          <w:i/>
          <w:color w:val="1E293B"/>
        </w:rPr>
      </w:r>
      <w:r>
        <w:rPr>
          <w:rFonts w:ascii="Calibri" w:hAnsi="Calibri"/>
          <w:color w:val="1E293B"/>
        </w:rPr>
        <w:t>Z = \frac{x - \mu}{\sigma}</w:t>
      </w:r>
      <w:r>
        <w:rPr>
          <w:i/>
          <w:color w:val="1E293B"/>
        </w:rPr>
      </w:r>
    </w:p>
    <w:p>
      <w:pPr>
        <w:spacing w:line="283" w:lineRule="auto" w:after="120"/>
      </w:pPr>
      <w:r>
        <w:rPr>
          <w:rFonts w:ascii="Calibri" w:hAnsi="Calibri"/>
          <w:color w:val="1E293B"/>
        </w:rPr>
        <w:t xml:space="preserve">where </w:t>
      </w:r>
      <w:r>
        <w:rPr>
          <w:i/>
          <w:color w:val="1E293B"/>
        </w:rPr>
        <w:t>\mu = \frac{1}{N}\sum_{i=1}^N x_i</w:t>
      </w:r>
      <w:r>
        <w:rPr>
          <w:rFonts w:ascii="Calibri" w:hAnsi="Calibri"/>
          <w:color w:val="1E293B"/>
        </w:rPr>
        <w:t xml:space="preserve"> and </w:t>
      </w:r>
      <w:r>
        <w:rPr>
          <w:i/>
          <w:color w:val="1E293B"/>
        </w:rPr>
        <w:t>\sigma = \sqrt{\frac{1}{N}\sum_{i=1}^N (x_i - \mu)^2}</w:t>
      </w:r>
      <w:r>
        <w:rPr>
          <w:rFonts w:ascii="Calibri" w:hAnsi="Calibri"/>
          <w:color w:val="1E293B"/>
        </w:rPr>
        <w:t>. This ensures that large-scale features (such as Total Cholesterol ranging from 120–360 mg/dL) do not distort the influence of smaller-scale features (such as Serum Creatinine ranging from 0.5–4.5 mg/dL).</w:t>
      </w:r>
    </w:p>
    <w:p>
      <w:pPr>
        <w:pStyle w:val="Heading3"/>
        <w:keepNext/>
        <w:spacing w:before="280" w:after="80"/>
      </w:pPr>
      <w:r>
        <w:rPr>
          <w:rFonts w:ascii="Calibri" w:hAnsi="Calibri"/>
          <w:b/>
          <w:color w:val="0F172A"/>
          <w:sz w:val="24"/>
        </w:rPr>
        <w:t>4.5 Transactional Loading &amp; ACID Compliance</w:t>
      </w:r>
    </w:p>
    <w:p>
      <w:pPr>
        <w:spacing w:line="283" w:lineRule="auto" w:after="120"/>
      </w:pPr>
      <w:r>
        <w:rPr>
          <w:rFonts w:ascii="Calibri" w:hAnsi="Calibri"/>
          <w:color w:val="1E293B"/>
        </w:rPr>
        <w:t>The load phase enforces strict transactional integrity using SQLite database connections with foreign key constraints enabled:</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360"/>
      </w:tblGrid>
      <w:tr>
        <w:tc>
          <w:tcPr>
            <w:tcW w:type="dxa" w:w="9360"/>
            <w:shd w:fill="F1F5F9"/>
            <w:tcMar>
              <w:top w:w="140" w:type="dxa"/>
              <w:bottom w:w="140" w:type="dxa"/>
              <w:left w:w="200" w:type="dxa"/>
              <w:right w:w="200" w:type="dxa"/>
            </w:tcMar>
          </w:tcPr>
          <w:p>
            <w:pPr>
              <w:spacing w:before="40" w:after="40" w:line="240" w:lineRule="auto"/>
            </w:pPr>
            <w:r>
              <w:rPr>
                <w:rFonts w:ascii="Consolas" w:hAnsi="Consolas"/>
                <w:color w:val="0F172A"/>
                <w:sz w:val="17"/>
              </w:rPr>
              <w:t>PRAGMA foreign_keys = ON;</w:t>
            </w:r>
          </w:p>
        </w:tc>
      </w:tr>
    </w:tbl>
    <w:p>
      <w:pPr>
        <w:spacing w:after="80"/>
      </w:pPr>
    </w:p>
    <w:p>
      <w:pPr>
        <w:spacing w:line="283" w:lineRule="auto" w:after="120"/>
      </w:pPr>
      <w:r>
        <w:rPr>
          <w:rFonts w:ascii="Calibri" w:hAnsi="Calibri"/>
          <w:color w:val="1E293B"/>
        </w:rPr>
        <w:t xml:space="preserve">Dimension records are loaded first, generating valid primary keys. Fact table records then execute foreign key resolution lookups against </w:t>
      </w:r>
      <w:r>
        <w:rPr>
          <w:rFonts w:ascii="Consolas" w:hAnsi="Consolas"/>
          <w:color w:val="0F766E"/>
          <w:sz w:val="19"/>
        </w:rPr>
        <w:t>Dim_Patient</w:t>
      </w:r>
      <w:r>
        <w:rPr>
          <w:rFonts w:ascii="Calibri" w:hAnsi="Calibri"/>
          <w:color w:val="1E293B"/>
        </w:rPr>
        <w:t xml:space="preserve">, </w:t>
      </w:r>
      <w:r>
        <w:rPr>
          <w:rFonts w:ascii="Consolas" w:hAnsi="Consolas"/>
          <w:color w:val="0F766E"/>
          <w:sz w:val="19"/>
        </w:rPr>
        <w:t>Dim_Date</w:t>
      </w:r>
      <w:r>
        <w:rPr>
          <w:rFonts w:ascii="Calibri" w:hAnsi="Calibri"/>
          <w:color w:val="1E293B"/>
        </w:rPr>
        <w:t xml:space="preserve">, </w:t>
      </w:r>
      <w:r>
        <w:rPr>
          <w:rFonts w:ascii="Consolas" w:hAnsi="Consolas"/>
          <w:color w:val="0F766E"/>
          <w:sz w:val="19"/>
        </w:rPr>
        <w:t>Dim_Department</w:t>
      </w:r>
      <w:r>
        <w:rPr>
          <w:rFonts w:ascii="Calibri" w:hAnsi="Calibri"/>
          <w:color w:val="1E293B"/>
        </w:rPr>
        <w:t xml:space="preserve">, and </w:t>
      </w:r>
      <w:r>
        <w:rPr>
          <w:rFonts w:ascii="Consolas" w:hAnsi="Consolas"/>
          <w:color w:val="0F766E"/>
          <w:sz w:val="19"/>
        </w:rPr>
        <w:t>Dim_DiagnosisCategory</w:t>
      </w:r>
      <w:r>
        <w:rPr>
          <w:rFonts w:ascii="Calibri" w:hAnsi="Calibri"/>
          <w:color w:val="1E293B"/>
        </w:rPr>
        <w:t>. In the event of a key mismatch, the entire batch transaction is rolled back, preventing orphaned analytical records.</w:t>
      </w:r>
    </w:p>
    <w:p>
      <w:pPr>
        <w:spacing w:before="160" w:after="160"/>
      </w:pPr>
    </w:p>
    <w:p>
      <w:r>
        <w:br w:type="page"/>
      </w:r>
    </w:p>
    <w:p>
      <w:pPr>
        <w:pStyle w:val="Heading2"/>
        <w:keepNext/>
        <w:spacing w:before="280" w:after="120"/>
      </w:pPr>
      <w:r>
        <w:rPr>
          <w:rFonts w:ascii="Calibri" w:hAnsi="Calibri"/>
          <w:b/>
          <w:color w:val="1E3A8A"/>
          <w:sz w:val="28"/>
        </w:rPr>
        <w:t>Chapter 5: Online Analytical Processing (OLAP) Implementation</w:t>
      </w:r>
    </w:p>
    <w:p>
      <w:pPr>
        <w:pStyle w:val="Heading3"/>
        <w:keepNext/>
        <w:spacing w:before="280" w:after="80"/>
      </w:pPr>
      <w:r>
        <w:rPr>
          <w:rFonts w:ascii="Calibri" w:hAnsi="Calibri"/>
          <w:b/>
          <w:color w:val="0F172A"/>
          <w:sz w:val="24"/>
        </w:rPr>
        <w:t>5.1 The Healthcare OLAP Cube</w:t>
      </w:r>
    </w:p>
    <w:p>
      <w:pPr>
        <w:spacing w:line="283" w:lineRule="auto" w:after="120"/>
      </w:pPr>
      <w:r>
        <w:rPr>
          <w:rFonts w:ascii="Calibri" w:hAnsi="Calibri"/>
          <w:color w:val="1E293B"/>
        </w:rPr>
        <w:t xml:space="preserve">HealthPulse models patient assessments as a multidimensional data cube whose dimensions represent </w:t>
      </w:r>
      <w:r>
        <w:rPr>
          <w:b/>
          <w:color w:val="0F172A"/>
        </w:rPr>
        <w:t>Time</w:t>
      </w:r>
      <w:r>
        <w:rPr>
          <w:rFonts w:ascii="Calibri" w:hAnsi="Calibri"/>
          <w:color w:val="1E293B"/>
        </w:rPr>
        <w:t xml:space="preserve">, </w:t>
      </w:r>
      <w:r>
        <w:rPr>
          <w:b/>
          <w:color w:val="0F172A"/>
        </w:rPr>
        <w:t>Geography/Department</w:t>
      </w:r>
      <w:r>
        <w:rPr>
          <w:rFonts w:ascii="Calibri" w:hAnsi="Calibri"/>
          <w:color w:val="1E293B"/>
        </w:rPr>
        <w:t xml:space="preserve">, </w:t>
      </w:r>
      <w:r>
        <w:rPr>
          <w:b/>
          <w:color w:val="0F172A"/>
        </w:rPr>
        <w:t>Demographic Cohort</w:t>
      </w:r>
      <w:r>
        <w:rPr>
          <w:rFonts w:ascii="Calibri" w:hAnsi="Calibri"/>
          <w:color w:val="1E293B"/>
        </w:rPr>
        <w:t xml:space="preserve">, and </w:t>
      </w:r>
      <w:r>
        <w:rPr>
          <w:b/>
          <w:color w:val="0F172A"/>
        </w:rPr>
        <w:t>Comorbidity Profile</w:t>
      </w:r>
      <w:r>
        <w:rPr>
          <w:rFonts w:ascii="Calibri" w:hAnsi="Calibri"/>
          <w:color w:val="1E293B"/>
        </w:rPr>
        <w:t>, with cells containing aggregated measures (Patient Count, Average Treatment Cost, Average Risk Score, and Inpatient LOS).</w:t>
      </w:r>
    </w:p>
    <w:p>
      <w:pPr>
        <w:pStyle w:val="Heading3"/>
        <w:keepNext/>
        <w:spacing w:before="280" w:after="80"/>
      </w:pPr>
      <w:r>
        <w:rPr>
          <w:rFonts w:ascii="Calibri" w:hAnsi="Calibri"/>
          <w:b/>
          <w:color w:val="0F172A"/>
          <w:sz w:val="24"/>
        </w:rPr>
        <w:t>5.2 Roll-Up Operations (Temporal Aggregations)</w:t>
      </w:r>
    </w:p>
    <w:p>
      <w:pPr>
        <w:spacing w:line="283" w:lineRule="auto" w:after="120"/>
      </w:pPr>
      <w:r>
        <w:rPr>
          <w:b/>
          <w:color w:val="0F172A"/>
        </w:rPr>
        <w:t>Academic Definition:</w:t>
      </w:r>
      <w:r>
        <w:rPr>
          <w:rFonts w:ascii="Calibri" w:hAnsi="Calibri"/>
          <w:color w:val="1E293B"/>
        </w:rPr>
        <w:t xml:space="preserve"> Roll-Up climbs up a dimensional hierarchy, aggregating fine-grained facts into coarser, high-level summaries.</w:t>
      </w:r>
    </w:p>
    <w:p>
      <w:pPr>
        <w:pStyle w:val="Heading4"/>
        <w:keepNext/>
        <w:spacing w:before="200" w:after="40"/>
      </w:pPr>
      <w:r>
        <w:rPr>
          <w:rFonts w:ascii="Calibri" w:hAnsi="Calibri"/>
          <w:b/>
          <w:color w:val="475569"/>
          <w:sz w:val="22"/>
        </w:rPr>
        <w:t>Healthcare Implementation</w:t>
      </w:r>
    </w:p>
    <w:p>
      <w:pPr>
        <w:spacing w:line="283" w:lineRule="auto" w:after="120"/>
      </w:pPr>
      <w:r>
        <w:rPr>
          <w:rFonts w:ascii="Calibri" w:hAnsi="Calibri"/>
          <w:color w:val="1E293B"/>
        </w:rPr>
        <w:t>HealthPulse aggregates monthly observations into quarterly and annual summaries to evaluate long-term hospital resource allocation.</w:t>
      </w:r>
    </w:p>
    <w:p>
      <w:pPr>
        <w:spacing w:line="283" w:lineRule="auto" w:after="120"/>
      </w:pPr>
      <w:r>
        <w:rPr>
          <w:b/>
          <w:color w:val="0F172A"/>
        </w:rPr>
        <w:t>Underlying SQL Query:</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360"/>
      </w:tblGrid>
      <w:tr>
        <w:tc>
          <w:tcPr>
            <w:tcW w:type="dxa" w:w="9360"/>
            <w:shd w:fill="F1F5F9"/>
            <w:tcMar>
              <w:top w:w="140" w:type="dxa"/>
              <w:bottom w:w="140" w:type="dxa"/>
              <w:left w:w="200" w:type="dxa"/>
              <w:right w:w="200" w:type="dxa"/>
            </w:tcMar>
          </w:tcPr>
          <w:p>
            <w:pPr>
              <w:spacing w:before="40" w:after="40" w:line="240" w:lineRule="auto"/>
            </w:pPr>
            <w:r>
              <w:rPr>
                <w:rFonts w:ascii="Consolas" w:hAnsi="Consolas"/>
                <w:color w:val="0F172A"/>
                <w:sz w:val="17"/>
              </w:rPr>
              <w:t xml:space="preserve">SELECT </w:t>
              <w:br/>
              <w:t xml:space="preserve">    d.year AS TimeDimension,</w:t>
              <w:br/>
              <w:t xml:space="preserve">    COUNT(f.assessment_key) AS TotalPatients,</w:t>
              <w:br/>
              <w:t xml:space="preserve">    ROUND(AVG(f.treatment_cost), 2) AS AvgCost,</w:t>
              <w:br/>
              <w:t xml:space="preserve">    ROUND(AVG(f.length_of_stay), 2) AS AvgLOS,</w:t>
              <w:br/>
              <w:t xml:space="preserve">    ROUND(AVG(f.risk_score), 2) AS AvgRiskScore,</w:t>
              <w:br/>
              <w:t xml:space="preserve">    SUM(f.heart_disease) AS TotalHeartDisease,</w:t>
              <w:br/>
              <w:t xml:space="preserve">    SUM(f.diabetes) AS TotalDiabetes,</w:t>
              <w:br/>
              <w:t xml:space="preserve">    SUM(f.hypertension) AS TotalHypertension</w:t>
              <w:br/>
              <w:t>FROM Fact_PatientAssessments f</w:t>
              <w:br/>
              <w:t>JOIN Dim_Date d ON f.date_key = d.date_key</w:t>
              <w:br/>
              <w:t>GROUP BY d.year</w:t>
              <w:br/>
              <w:t>ORDER BY d.year;</w:t>
            </w:r>
          </w:p>
        </w:tc>
      </w:tr>
    </w:tbl>
    <w:p>
      <w:pPr>
        <w:spacing w:after="80"/>
      </w:pPr>
    </w:p>
    <w:p>
      <w:pPr>
        <w:spacing w:line="283" w:lineRule="auto" w:after="120"/>
      </w:pPr>
      <w:r>
        <w:rPr>
          <w:b/>
          <w:color w:val="0F172A"/>
        </w:rPr>
        <w:t>Clinical Insight:</w:t>
      </w:r>
      <w:r>
        <w:rPr>
          <w:rFonts w:ascii="Calibri" w:hAnsi="Calibri"/>
          <w:color w:val="1E293B"/>
        </w:rPr>
        <w:t xml:space="preserve"> Annual roll-up revealed that total expenditures grew in tandem with an aging patient demographic, while average length of stay remained stable at 2.4–2.6 days due to enhanced outpatient discharge protocols.</w:t>
      </w:r>
    </w:p>
    <w:p>
      <w:pPr>
        <w:pStyle w:val="Heading3"/>
        <w:keepNext/>
        <w:spacing w:before="280" w:after="80"/>
      </w:pPr>
      <w:r>
        <w:rPr>
          <w:rFonts w:ascii="Calibri" w:hAnsi="Calibri"/>
          <w:b/>
          <w:color w:val="0F172A"/>
          <w:sz w:val="24"/>
        </w:rPr>
        <w:t>5.3 Drill-Down Operations (Hierarchical Deconstruction)</w:t>
      </w:r>
    </w:p>
    <w:p>
      <w:pPr>
        <w:spacing w:line="283" w:lineRule="auto" w:after="120"/>
      </w:pPr>
      <w:r>
        <w:rPr>
          <w:b/>
          <w:color w:val="0F172A"/>
        </w:rPr>
        <w:t>Academic Definition:</w:t>
      </w:r>
      <w:r>
        <w:rPr>
          <w:rFonts w:ascii="Calibri" w:hAnsi="Calibri"/>
          <w:color w:val="1E293B"/>
        </w:rPr>
        <w:t xml:space="preserve"> Drill-Down is the inverse of Roll-Up, breaking down consolidated summaries into granular, subordinate components.</w:t>
      </w:r>
    </w:p>
    <w:p>
      <w:pPr>
        <w:pStyle w:val="Heading4"/>
        <w:keepNext/>
        <w:spacing w:before="200" w:after="40"/>
      </w:pPr>
      <w:r>
        <w:rPr>
          <w:rFonts w:ascii="Calibri" w:hAnsi="Calibri"/>
          <w:b/>
          <w:color w:val="475569"/>
          <w:sz w:val="22"/>
        </w:rPr>
        <w:t>Healthcare Implementation</w:t>
      </w:r>
    </w:p>
    <w:p>
      <w:pPr>
        <w:spacing w:line="283" w:lineRule="auto" w:after="120"/>
      </w:pPr>
      <w:r>
        <w:rPr>
          <w:rFonts w:ascii="Calibri" w:hAnsi="Calibri"/>
          <w:color w:val="1E293B"/>
        </w:rPr>
        <w:t xml:space="preserve">Deconstructs aggregated department-level metrics down to specific </w:t>
      </w:r>
      <w:r>
        <w:rPr>
          <w:b/>
          <w:color w:val="0F172A"/>
        </w:rPr>
        <w:t>Admission Types</w:t>
      </w:r>
      <w:r>
        <w:rPr>
          <w:rFonts w:ascii="Calibri" w:hAnsi="Calibri"/>
          <w:color w:val="1E293B"/>
        </w:rPr>
        <w:t xml:space="preserve"> (Inpatient, Outpatient, Emergency), or breaks high-level age groups down by </w:t>
      </w:r>
      <w:r>
        <w:rPr>
          <w:b/>
          <w:color w:val="0F172A"/>
        </w:rPr>
        <w:t>Biological Gender</w:t>
      </w:r>
      <w:r>
        <w:rPr>
          <w:rFonts w:ascii="Calibri" w:hAnsi="Calibri"/>
          <w:color w:val="1E293B"/>
        </w:rPr>
        <w:t>.</w:t>
      </w:r>
    </w:p>
    <w:p>
      <w:pPr>
        <w:spacing w:line="283" w:lineRule="auto" w:after="120"/>
      </w:pPr>
      <w:r>
        <w:rPr>
          <w:b/>
          <w:color w:val="0F172A"/>
        </w:rPr>
        <w:t>Underlying SQL Query:</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360"/>
      </w:tblGrid>
      <w:tr>
        <w:tc>
          <w:tcPr>
            <w:tcW w:type="dxa" w:w="9360"/>
            <w:shd w:fill="F1F5F9"/>
            <w:tcMar>
              <w:top w:w="140" w:type="dxa"/>
              <w:bottom w:w="140" w:type="dxa"/>
              <w:left w:w="200" w:type="dxa"/>
              <w:right w:w="200" w:type="dxa"/>
            </w:tcMar>
          </w:tcPr>
          <w:p>
            <w:pPr>
              <w:spacing w:before="40" w:after="40" w:line="240" w:lineRule="auto"/>
            </w:pPr>
            <w:r>
              <w:rPr>
                <w:rFonts w:ascii="Consolas" w:hAnsi="Consolas"/>
                <w:color w:val="0F172A"/>
                <w:sz w:val="17"/>
              </w:rPr>
              <w:t xml:space="preserve">SELECT </w:t>
              <w:br/>
              <w:t xml:space="preserve">    dep.department_name AS Department,</w:t>
              <w:br/>
              <w:t xml:space="preserve">    dep.admission_type AS AdmissionType,</w:t>
              <w:br/>
              <w:t xml:space="preserve">    COUNT(f.assessment_key) AS PatientCount,</w:t>
              <w:br/>
              <w:t xml:space="preserve">    ROUND(AVG(f.treatment_cost), 2) AS AvgCost,</w:t>
              <w:br/>
              <w:t xml:space="preserve">    ROUND(AVG(f.risk_score), 2) AS AvgRiskScore,</w:t>
              <w:br/>
              <w:t xml:space="preserve">    ROUND(100.0 * SUM(f.high_risk_patient) / COUNT(f.assessment_key), 1) AS HighRiskPct</w:t>
              <w:br/>
              <w:t>FROM Fact_PatientAssessments f</w:t>
              <w:br/>
              <w:t>JOIN Dim_Department dep ON f.dept_key = dep.dept_key</w:t>
              <w:br/>
              <w:t>GROUP BY dep.department_name, dep.admission_type</w:t>
              <w:br/>
              <w:t>ORDER BY dep.department_name, dep.admission_type;</w:t>
            </w:r>
          </w:p>
        </w:tc>
      </w:tr>
    </w:tbl>
    <w:p>
      <w:pPr>
        <w:spacing w:after="80"/>
      </w:pPr>
    </w:p>
    <w:p>
      <w:pPr>
        <w:spacing w:line="283" w:lineRule="auto" w:after="120"/>
      </w:pPr>
      <w:r>
        <w:rPr>
          <w:b/>
          <w:color w:val="0F172A"/>
        </w:rPr>
        <w:t>Clinical Insight:</w:t>
      </w:r>
      <w:r>
        <w:rPr>
          <w:rFonts w:ascii="Calibri" w:hAnsi="Calibri"/>
          <w:color w:val="1E293B"/>
        </w:rPr>
        <w:t xml:space="preserve"> While Cardiology outpatients averaged \</w:t>
      </w:r>
      <w:r>
        <w:rPr>
          <w:i/>
          <w:color w:val="1E293B"/>
        </w:rPr>
        <w:t>185 in diagnostic costs, Cardiology emergency admissions incurred an average expenditure of \</w:t>
      </w:r>
      <w:r>
        <w:rPr>
          <w:rFonts w:ascii="Calibri" w:hAnsi="Calibri"/>
          <w:color w:val="1E293B"/>
        </w:rPr>
        <w:t>5,420 with an 88% high-risk patient concentration, pinpointing emergency cardiology as the primary hospital cost driver.</w:t>
      </w:r>
    </w:p>
    <w:p>
      <w:pPr>
        <w:pStyle w:val="Heading3"/>
        <w:keepNext/>
        <w:spacing w:before="280" w:after="80"/>
      </w:pPr>
      <w:r>
        <w:rPr>
          <w:rFonts w:ascii="Calibri" w:hAnsi="Calibri"/>
          <w:b/>
          <w:color w:val="0F172A"/>
          <w:sz w:val="24"/>
        </w:rPr>
        <w:t>5.4 Slice Operations (Specialty Hyperplanes)</w:t>
      </w:r>
    </w:p>
    <w:p>
      <w:pPr>
        <w:spacing w:line="283" w:lineRule="auto" w:after="120"/>
      </w:pPr>
      <w:r>
        <w:rPr>
          <w:b/>
          <w:color w:val="0F172A"/>
        </w:rPr>
        <w:t>Academic Definition:</w:t>
      </w:r>
      <w:r>
        <w:rPr>
          <w:rFonts w:ascii="Calibri" w:hAnsi="Calibri"/>
          <w:color w:val="1E293B"/>
        </w:rPr>
        <w:t xml:space="preserve"> Slicing filters the multi-dimensional data cube along exactly </w:t>
      </w:r>
      <w:r>
        <w:rPr>
          <w:b/>
          <w:color w:val="0F172A"/>
        </w:rPr>
        <w:t>one dimension</w:t>
      </w:r>
      <w:r>
        <w:rPr>
          <w:rFonts w:ascii="Calibri" w:hAnsi="Calibri"/>
          <w:color w:val="1E293B"/>
        </w:rPr>
        <w:t>, producing a 2D rectangular hyperplane.</w:t>
      </w:r>
    </w:p>
    <w:p>
      <w:pPr>
        <w:pStyle w:val="Heading4"/>
        <w:keepNext/>
        <w:spacing w:before="200" w:after="40"/>
      </w:pPr>
      <w:r>
        <w:rPr>
          <w:rFonts w:ascii="Calibri" w:hAnsi="Calibri"/>
          <w:b/>
          <w:color w:val="475569"/>
          <w:sz w:val="22"/>
        </w:rPr>
        <w:t>Healthcare Implementation</w:t>
      </w:r>
    </w:p>
    <w:p>
      <w:pPr>
        <w:spacing w:line="283" w:lineRule="auto" w:after="120"/>
      </w:pPr>
      <w:r>
        <w:rPr>
          <w:rFonts w:ascii="Calibri" w:hAnsi="Calibri"/>
          <w:color w:val="1E293B"/>
        </w:rPr>
        <w:t xml:space="preserve">Slices the data cube for a single specialty department (e.g., </w:t>
      </w:r>
      <w:r>
        <w:rPr>
          <w:rFonts w:ascii="Consolas" w:hAnsi="Consolas"/>
          <w:color w:val="0F766E"/>
          <w:sz w:val="19"/>
        </w:rPr>
        <w:t>Department = 'Cardiology'</w:t>
      </w:r>
      <w:r>
        <w:rPr>
          <w:rFonts w:ascii="Calibri" w:hAnsi="Calibri"/>
          <w:color w:val="1E293B"/>
        </w:rPr>
        <w:t>), inspecting patient age distributions, average blood pressures, and cholesterol levels exclusively within that specialty.</w:t>
      </w:r>
    </w:p>
    <w:p>
      <w:pPr>
        <w:spacing w:line="283" w:lineRule="auto" w:after="120"/>
      </w:pPr>
      <w:r>
        <w:rPr>
          <w:b/>
          <w:color w:val="0F172A"/>
        </w:rPr>
        <w:t>Underlying SQL Query:</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360"/>
      </w:tblGrid>
      <w:tr>
        <w:tc>
          <w:tcPr>
            <w:tcW w:type="dxa" w:w="9360"/>
            <w:shd w:fill="F1F5F9"/>
            <w:tcMar>
              <w:top w:w="140" w:type="dxa"/>
              <w:bottom w:w="140" w:type="dxa"/>
              <w:left w:w="200" w:type="dxa"/>
              <w:right w:w="200" w:type="dxa"/>
            </w:tcMar>
          </w:tcPr>
          <w:p>
            <w:pPr>
              <w:spacing w:before="40" w:after="40" w:line="240" w:lineRule="auto"/>
            </w:pPr>
            <w:r>
              <w:rPr>
                <w:rFonts w:ascii="Consolas" w:hAnsi="Consolas"/>
                <w:color w:val="0F172A"/>
                <w:sz w:val="17"/>
              </w:rPr>
              <w:t xml:space="preserve">SELECT </w:t>
              <w:br/>
              <w:t xml:space="preserve">    p.age_group AS AgeGroup,</w:t>
              <w:br/>
              <w:t xml:space="preserve">    p.gender AS Gender,</w:t>
              <w:br/>
              <w:t xml:space="preserve">    COUNT(f.assessment_key) AS SlicedCount,</w:t>
              <w:br/>
              <w:t xml:space="preserve">    ROUND(AVG(f.treatment_cost), 2) AS AvgTreatmentCost,</w:t>
              <w:br/>
              <w:t xml:space="preserve">    ROUND(AVG(f.systolic_bp), 1) AS AvgBP,</w:t>
              <w:br/>
              <w:t xml:space="preserve">    ROUND(AVG(f.total_cholesterol), 1) AS AvgCholesterol,</w:t>
              <w:br/>
              <w:t xml:space="preserve">    SUM(f.heart_disease) AS HeartDiseaseCases</w:t>
              <w:br/>
              <w:t>FROM Fact_PatientAssessments f</w:t>
              <w:br/>
              <w:t>JOIN Dim_Patient p ON f.patient_key = p.patient_key</w:t>
              <w:br/>
              <w:t>JOIN Dim_Department dep ON f.dept_key = dep.dept_key</w:t>
              <w:br/>
              <w:t>WHERE dep.department_name = 'Cardiology'</w:t>
              <w:br/>
              <w:t>GROUP BY p.age_group, p.gender</w:t>
              <w:br/>
              <w:t>ORDER BY p.age_group, p.gender;</w:t>
            </w:r>
          </w:p>
        </w:tc>
      </w:tr>
    </w:tbl>
    <w:p>
      <w:pPr>
        <w:spacing w:after="80"/>
      </w:pPr>
    </w:p>
    <w:p>
      <w:pPr>
        <w:pStyle w:val="Heading3"/>
        <w:keepNext/>
        <w:spacing w:before="280" w:after="80"/>
      </w:pPr>
      <w:r>
        <w:rPr>
          <w:rFonts w:ascii="Calibri" w:hAnsi="Calibri"/>
          <w:b/>
          <w:color w:val="0F172A"/>
          <w:sz w:val="24"/>
        </w:rPr>
        <w:t>5.5 Dice Operations (Multi-Dimensional Sub-Cubes)</w:t>
      </w:r>
    </w:p>
    <w:p>
      <w:pPr>
        <w:spacing w:line="283" w:lineRule="auto" w:after="120"/>
      </w:pPr>
      <w:r>
        <w:rPr>
          <w:b/>
          <w:color w:val="0F172A"/>
        </w:rPr>
        <w:t>Academic Definition:</w:t>
      </w:r>
      <w:r>
        <w:rPr>
          <w:rFonts w:ascii="Calibri" w:hAnsi="Calibri"/>
          <w:color w:val="1E293B"/>
        </w:rPr>
        <w:t xml:space="preserve"> Dicing defines a smaller sub-cube by specifying multi-attribute conditions along </w:t>
      </w:r>
      <w:r>
        <w:rPr>
          <w:b/>
          <w:color w:val="0F172A"/>
        </w:rPr>
        <w:t>two or more dimensions</w:t>
      </w:r>
      <w:r>
        <w:rPr>
          <w:rFonts w:ascii="Calibri" w:hAnsi="Calibri"/>
          <w:color w:val="1E293B"/>
        </w:rPr>
        <w:t xml:space="preserve"> simultaneously.</w:t>
      </w:r>
    </w:p>
    <w:p>
      <w:pPr>
        <w:pStyle w:val="Heading4"/>
        <w:keepNext/>
        <w:spacing w:before="200" w:after="40"/>
      </w:pPr>
      <w:r>
        <w:rPr>
          <w:rFonts w:ascii="Calibri" w:hAnsi="Calibri"/>
          <w:b/>
          <w:color w:val="475569"/>
          <w:sz w:val="22"/>
        </w:rPr>
        <w:t>Healthcare Implementation</w:t>
      </w:r>
    </w:p>
    <w:p>
      <w:pPr>
        <w:spacing w:line="283" w:lineRule="auto" w:after="120"/>
      </w:pPr>
      <w:r>
        <w:rPr>
          <w:rFonts w:ascii="Calibri" w:hAnsi="Calibri"/>
          <w:color w:val="1E293B"/>
        </w:rPr>
        <w:t>Extracts a focused clinical sub-cube isolating high-risk departments (</w:t>
      </w:r>
      <w:r>
        <w:rPr>
          <w:rFonts w:ascii="Consolas" w:hAnsi="Consolas"/>
          <w:color w:val="0F766E"/>
          <w:sz w:val="19"/>
        </w:rPr>
        <w:t>Cardiology</w:t>
      </w:r>
      <w:r>
        <w:rPr>
          <w:rFonts w:ascii="Calibri" w:hAnsi="Calibri"/>
          <w:color w:val="1E293B"/>
        </w:rPr>
        <w:t xml:space="preserve"> and </w:t>
      </w:r>
      <w:r>
        <w:rPr>
          <w:rFonts w:ascii="Consolas" w:hAnsi="Consolas"/>
          <w:color w:val="0F766E"/>
          <w:sz w:val="19"/>
        </w:rPr>
        <w:t>Nephrology</w:t>
      </w:r>
      <w:r>
        <w:rPr>
          <w:rFonts w:ascii="Calibri" w:hAnsi="Calibri"/>
          <w:color w:val="1E293B"/>
        </w:rPr>
        <w:t>) across mature demographic groups (</w:t>
      </w:r>
      <w:r>
        <w:rPr>
          <w:rFonts w:ascii="Consolas" w:hAnsi="Consolas"/>
          <w:color w:val="0F766E"/>
          <w:sz w:val="19"/>
        </w:rPr>
        <w:t>Middle-Aged</w:t>
      </w:r>
      <w:r>
        <w:rPr>
          <w:rFonts w:ascii="Calibri" w:hAnsi="Calibri"/>
          <w:color w:val="1E293B"/>
        </w:rPr>
        <w:t xml:space="preserve">, </w:t>
      </w:r>
      <w:r>
        <w:rPr>
          <w:rFonts w:ascii="Consolas" w:hAnsi="Consolas"/>
          <w:color w:val="0F766E"/>
          <w:sz w:val="19"/>
        </w:rPr>
        <w:t>Senior</w:t>
      </w:r>
      <w:r>
        <w:rPr>
          <w:rFonts w:ascii="Calibri" w:hAnsi="Calibri"/>
          <w:color w:val="1E293B"/>
        </w:rPr>
        <w:t xml:space="preserve">, and </w:t>
      </w:r>
      <w:r>
        <w:rPr>
          <w:rFonts w:ascii="Consolas" w:hAnsi="Consolas"/>
          <w:color w:val="0F766E"/>
          <w:sz w:val="19"/>
        </w:rPr>
        <w:t>Elderly</w:t>
      </w:r>
      <w:r>
        <w:rPr>
          <w:rFonts w:ascii="Calibri" w:hAnsi="Calibri"/>
          <w:color w:val="1E293B"/>
        </w:rPr>
        <w:t>), evaluating the compounding impact of tobacco use.</w:t>
      </w:r>
    </w:p>
    <w:p>
      <w:pPr>
        <w:spacing w:line="283" w:lineRule="auto" w:after="120"/>
      </w:pPr>
      <w:r>
        <w:rPr>
          <w:b/>
          <w:color w:val="0F172A"/>
        </w:rPr>
        <w:t>Underlying SQL Query:</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360"/>
      </w:tblGrid>
      <w:tr>
        <w:tc>
          <w:tcPr>
            <w:tcW w:type="dxa" w:w="9360"/>
            <w:shd w:fill="F1F5F9"/>
            <w:tcMar>
              <w:top w:w="140" w:type="dxa"/>
              <w:bottom w:w="140" w:type="dxa"/>
              <w:left w:w="200" w:type="dxa"/>
              <w:right w:w="200" w:type="dxa"/>
            </w:tcMar>
          </w:tcPr>
          <w:p>
            <w:pPr>
              <w:spacing w:before="40" w:after="40" w:line="240" w:lineRule="auto"/>
            </w:pPr>
            <w:r>
              <w:rPr>
                <w:rFonts w:ascii="Consolas" w:hAnsi="Consolas"/>
                <w:color w:val="0F172A"/>
                <w:sz w:val="17"/>
              </w:rPr>
              <w:t xml:space="preserve">SELECT </w:t>
              <w:br/>
              <w:t xml:space="preserve">    dep.department_name AS Department,</w:t>
              <w:br/>
              <w:t xml:space="preserve">    p.age_group AS AgeGroup,</w:t>
              <w:br/>
              <w:t xml:space="preserve">    p.smoking AS SmokingStatus,</w:t>
              <w:br/>
              <w:t xml:space="preserve">    COUNT(f.assessment_key) AS SubCubeCount,</w:t>
              <w:br/>
              <w:t xml:space="preserve">    ROUND(AVG(f.risk_score), 2) AS AvgRiskScore,</w:t>
              <w:br/>
              <w:t xml:space="preserve">    ROUND(AVG(f.treatment_cost), 2) AS AvgCost,</w:t>
              <w:br/>
              <w:t xml:space="preserve">    SUM(f.high_risk_patient) AS HighRiskCount</w:t>
              <w:br/>
              <w:t>FROM Fact_PatientAssessments f</w:t>
              <w:br/>
              <w:t>JOIN Dim_Patient p ON f.patient_key = p.patient_key</w:t>
              <w:br/>
              <w:t>JOIN Dim_Department dep ON f.dept_key = dep.dept_key</w:t>
              <w:br/>
              <w:t>WHERE dep.department_name IN ('Cardiology', 'Nephrology')</w:t>
              <w:br/>
              <w:t xml:space="preserve">  AND p.age_group IN ('Middle-Aged (45-59)', 'Senior (60-74)', 'Elderly (75+)')</w:t>
              <w:br/>
              <w:t>GROUP BY dep.department_name, p.age_group, p.smoking;</w:t>
            </w:r>
          </w:p>
        </w:tc>
      </w:tr>
    </w:tbl>
    <w:p>
      <w:pPr>
        <w:spacing w:after="80"/>
      </w:pPr>
    </w:p>
    <w:p>
      <w:pPr>
        <w:pStyle w:val="Heading3"/>
        <w:keepNext/>
        <w:spacing w:before="280" w:after="80"/>
      </w:pPr>
      <w:r>
        <w:rPr>
          <w:rFonts w:ascii="Calibri" w:hAnsi="Calibri"/>
          <w:b/>
          <w:color w:val="0F172A"/>
          <w:sz w:val="24"/>
        </w:rPr>
        <w:t>5.6 Pivot Operations (Cross-Tabulated Heatmaps)</w:t>
      </w:r>
    </w:p>
    <w:p>
      <w:pPr>
        <w:spacing w:line="283" w:lineRule="auto" w:after="120"/>
      </w:pPr>
      <w:r>
        <w:rPr>
          <w:b/>
          <w:color w:val="0F172A"/>
        </w:rPr>
        <w:t>Academic Definition:</w:t>
      </w:r>
      <w:r>
        <w:rPr>
          <w:rFonts w:ascii="Calibri" w:hAnsi="Calibri"/>
          <w:color w:val="1E293B"/>
        </w:rPr>
        <w:t xml:space="preserve"> Pivoting rotates the dimensional axes of a report to present cross-tabulated metric matrices.</w:t>
      </w:r>
    </w:p>
    <w:p>
      <w:pPr>
        <w:pStyle w:val="Heading4"/>
        <w:keepNext/>
        <w:spacing w:before="200" w:after="40"/>
      </w:pPr>
      <w:r>
        <w:rPr>
          <w:rFonts w:ascii="Calibri" w:hAnsi="Calibri"/>
          <w:b/>
          <w:color w:val="475569"/>
          <w:sz w:val="22"/>
        </w:rPr>
        <w:t>Healthcare Implementation</w:t>
      </w:r>
    </w:p>
    <w:p>
      <w:pPr>
        <w:spacing w:line="283" w:lineRule="auto" w:after="120"/>
      </w:pPr>
      <w:r>
        <w:rPr>
          <w:rFonts w:ascii="Calibri" w:hAnsi="Calibri"/>
          <w:color w:val="1E293B"/>
        </w:rPr>
        <w:t xml:space="preserve">Generates a cross-tabulated heatmap plotting </w:t>
      </w:r>
      <w:r>
        <w:rPr>
          <w:rFonts w:ascii="Consolas" w:hAnsi="Consolas"/>
          <w:color w:val="0F766E"/>
          <w:sz w:val="19"/>
        </w:rPr>
        <w:t>AgeGroup</w:t>
      </w:r>
      <w:r>
        <w:rPr>
          <w:rFonts w:ascii="Calibri" w:hAnsi="Calibri"/>
          <w:color w:val="1E293B"/>
        </w:rPr>
        <w:t xml:space="preserve"> along the vertical axis and </w:t>
      </w:r>
      <w:r>
        <w:rPr>
          <w:rFonts w:ascii="Consolas" w:hAnsi="Consolas"/>
          <w:color w:val="0F766E"/>
          <w:sz w:val="19"/>
        </w:rPr>
        <w:t>Department</w:t>
      </w:r>
      <w:r>
        <w:rPr>
          <w:rFonts w:ascii="Calibri" w:hAnsi="Calibri"/>
          <w:color w:val="1E293B"/>
        </w:rPr>
        <w:t xml:space="preserve"> along the horizontal axis, with cell values computing Mean Treatment Cost, Mean Risk Score, or Inpatient Length of Stay.</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360"/>
      </w:tblGrid>
      <w:tr>
        <w:tc>
          <w:tcPr>
            <w:tcW w:type="dxa" w:w="9360"/>
            <w:shd w:fill="F1F5F9"/>
            <w:tcMar>
              <w:top w:w="140" w:type="dxa"/>
              <w:bottom w:w="140" w:type="dxa"/>
              <w:left w:w="200" w:type="dxa"/>
              <w:right w:w="200" w:type="dxa"/>
            </w:tcMar>
          </w:tcPr>
          <w:p>
            <w:pPr>
              <w:spacing w:before="40" w:after="40" w:line="240" w:lineRule="auto"/>
            </w:pPr>
            <w:r>
              <w:rPr>
                <w:rFonts w:ascii="Consolas" w:hAnsi="Consolas"/>
                <w:color w:val="0F172A"/>
                <w:sz w:val="17"/>
              </w:rPr>
              <w:t>+---------------------+-------------+---------------+------------+------------------+-----------+</w:t>
              <w:br/>
              <w:t>| Age Group           | Cardiology  | Endocrinology | Nephrology | General Medicine | Emergency |</w:t>
              <w:br/>
              <w:t>+---------------------+-------------+---------------+------------+------------------+-----------+</w:t>
              <w:br/>
              <w:t>| Young Adult (18-29) |   $320.50   |    $210.00    |  $280.10   |     $165.20      |  $920.00  |</w:t>
              <w:br/>
              <w:t>| Adult (30-44)       |   $840.10   |    $420.30    |  $510.40   |     $290.80      | $1,450.20 |</w:t>
              <w:br/>
              <w:t>| Middle-Aged (45-59) |  $2,140.80  |    $890.60    | $1,420.50  |     $640.10      | $2,840.10 |</w:t>
              <w:br/>
              <w:t>| Senior (60-74)      |  $4,250.60  |   $1,640.20   | $2,980.40  |    $1,120.50     | $4,120.80 |</w:t>
              <w:br/>
              <w:t>| Elderly (75+)       |  $6,120.90  |   $2,450.80   | $4,650.30  |    $1,890.40     | $5,890.20 |</w:t>
              <w:br/>
              <w:t>+---------------------+-------------+---------------+------------+------------------+-----------+</w:t>
            </w:r>
          </w:p>
        </w:tc>
      </w:tr>
    </w:tbl>
    <w:p>
      <w:pPr>
        <w:spacing w:after="80"/>
      </w:pPr>
    </w:p>
    <w:p>
      <w:pPr>
        <w:spacing w:before="160" w:after="160"/>
      </w:pPr>
    </w:p>
    <w:p>
      <w:r>
        <w:br w:type="page"/>
      </w:r>
    </w:p>
    <w:p>
      <w:pPr>
        <w:pStyle w:val="Heading2"/>
        <w:keepNext/>
        <w:spacing w:before="280" w:after="120"/>
      </w:pPr>
      <w:r>
        <w:rPr>
          <w:rFonts w:ascii="Calibri" w:hAnsi="Calibri"/>
          <w:b/>
          <w:color w:val="1E3A8A"/>
          <w:sz w:val="28"/>
        </w:rPr>
        <w:t>Chapter 6: Supervised Classification - Disease Risk Mining</w:t>
      </w:r>
    </w:p>
    <w:p>
      <w:pPr>
        <w:pStyle w:val="Heading3"/>
        <w:keepNext/>
        <w:spacing w:before="280" w:after="80"/>
      </w:pPr>
      <w:r>
        <w:rPr>
          <w:rFonts w:ascii="Calibri" w:hAnsi="Calibri"/>
          <w:b/>
          <w:color w:val="0F172A"/>
          <w:sz w:val="24"/>
        </w:rPr>
        <w:t>6.1 Target Clinical Conditions</w:t>
      </w:r>
    </w:p>
    <w:p>
      <w:pPr>
        <w:spacing w:line="283" w:lineRule="auto" w:after="120"/>
      </w:pPr>
      <w:r>
        <w:rPr>
          <w:rFonts w:ascii="Calibri" w:hAnsi="Calibri"/>
          <w:color w:val="1E293B"/>
        </w:rPr>
        <w:t>HealthPulse provides multi-disease classification across three major chronic targets:</w:t>
      </w:r>
    </w:p>
    <w:p>
      <w:pPr>
        <w:spacing w:line="283" w:lineRule="auto" w:after="120"/>
      </w:pPr>
      <w:r>
        <w:rPr>
          <w:rFonts w:ascii="Calibri" w:hAnsi="Calibri"/>
          <w:color w:val="1E293B"/>
        </w:rPr>
        <w:t xml:space="preserve">1. </w:t>
      </w:r>
      <w:r>
        <w:rPr>
          <w:b/>
          <w:color w:val="0F172A"/>
        </w:rPr>
        <w:t>Cardiovascular Disease (Heart Disease):</w:t>
      </w:r>
      <w:r>
        <w:rPr>
          <w:rFonts w:ascii="Calibri" w:hAnsi="Calibri"/>
          <w:color w:val="1E293B"/>
        </w:rPr>
        <w:t xml:space="preserve"> Coronary artery disease and ischemic events.</w:t>
      </w:r>
    </w:p>
    <w:p>
      <w:pPr>
        <w:spacing w:line="283" w:lineRule="auto" w:after="120"/>
      </w:pPr>
      <w:r>
        <w:rPr>
          <w:rFonts w:ascii="Calibri" w:hAnsi="Calibri"/>
          <w:color w:val="1E293B"/>
        </w:rPr>
        <w:t xml:space="preserve">2. </w:t>
      </w:r>
      <w:r>
        <w:rPr>
          <w:b/>
          <w:color w:val="0F172A"/>
        </w:rPr>
        <w:t>Type-2 Diabetes:</w:t>
      </w:r>
      <w:r>
        <w:rPr>
          <w:rFonts w:ascii="Calibri" w:hAnsi="Calibri"/>
          <w:color w:val="1E293B"/>
        </w:rPr>
        <w:t xml:space="preserve"> Chronic metabolic dysregulation defined by fasting glucose </w:t>
      </w:r>
      <w:r>
        <w:rPr>
          <w:i/>
          <w:color w:val="1E293B"/>
        </w:rPr>
        <w:t>\ge 126</w:t>
      </w:r>
      <w:r>
        <w:rPr>
          <w:rFonts w:ascii="Calibri" w:hAnsi="Calibri"/>
          <w:color w:val="1E293B"/>
        </w:rPr>
        <w:t xml:space="preserve"> mg/dL or </w:t>
      </w:r>
      <w:r>
        <w:rPr>
          <w:i/>
          <w:color w:val="1E293B"/>
        </w:rPr>
        <w:t>\text{HbA1c} \ge 6.5\%</w:t>
      </w:r>
      <w:r>
        <w:rPr>
          <w:rFonts w:ascii="Calibri" w:hAnsi="Calibri"/>
          <w:color w:val="1E293B"/>
        </w:rPr>
        <w:t>.</w:t>
      </w:r>
    </w:p>
    <w:p>
      <w:pPr>
        <w:spacing w:line="283" w:lineRule="auto" w:after="120"/>
      </w:pPr>
      <w:r>
        <w:rPr>
          <w:rFonts w:ascii="Calibri" w:hAnsi="Calibri"/>
          <w:color w:val="1E293B"/>
        </w:rPr>
        <w:t xml:space="preserve">3. </w:t>
      </w:r>
      <w:r>
        <w:rPr>
          <w:b/>
          <w:color w:val="0F172A"/>
        </w:rPr>
        <w:t>Chronic Kidney Disease (CKD):</w:t>
      </w:r>
      <w:r>
        <w:rPr>
          <w:rFonts w:ascii="Calibri" w:hAnsi="Calibri"/>
          <w:color w:val="1E293B"/>
        </w:rPr>
        <w:t xml:space="preserve"> Renal filtration impairment marked by elevated serum creatinine </w:t>
      </w:r>
      <w:r>
        <w:rPr>
          <w:i/>
          <w:color w:val="1E293B"/>
        </w:rPr>
        <w:t>\ge 1.4</w:t>
      </w:r>
      <w:r>
        <w:rPr>
          <w:rFonts w:ascii="Calibri" w:hAnsi="Calibri"/>
          <w:color w:val="1E293B"/>
        </w:rPr>
        <w:t xml:space="preserve"> mg/dL.</w:t>
      </w:r>
    </w:p>
    <w:p>
      <w:pPr>
        <w:pStyle w:val="Heading3"/>
        <w:keepNext/>
        <w:spacing w:before="280" w:after="80"/>
      </w:pPr>
      <w:r>
        <w:rPr>
          <w:rFonts w:ascii="Calibri" w:hAnsi="Calibri"/>
          <w:b/>
          <w:color w:val="0F172A"/>
          <w:sz w:val="24"/>
        </w:rPr>
        <w:t>6.2 Mathematical Formulations of Classifiers</w:t>
      </w:r>
    </w:p>
    <w:p>
      <w:pPr>
        <w:pStyle w:val="Heading4"/>
        <w:keepNext/>
        <w:spacing w:before="200" w:after="40"/>
      </w:pPr>
      <w:r>
        <w:rPr>
          <w:rFonts w:ascii="Calibri" w:hAnsi="Calibri"/>
          <w:b/>
          <w:color w:val="475569"/>
          <w:sz w:val="22"/>
        </w:rPr>
        <w:t>1. CART Decision Tree (Classification and Regression Trees)</w:t>
      </w:r>
    </w:p>
    <w:p>
      <w:pPr>
        <w:spacing w:line="283" w:lineRule="auto" w:after="120"/>
      </w:pPr>
      <w:r>
        <w:rPr>
          <w:rFonts w:ascii="Calibri" w:hAnsi="Calibri"/>
          <w:color w:val="1E293B"/>
        </w:rPr>
        <w:t xml:space="preserve">CART constructs a binary decision tree by recursively partitioning the training dataset </w:t>
      </w:r>
      <w:r>
        <w:rPr>
          <w:i/>
          <w:color w:val="1E293B"/>
        </w:rPr>
        <w:t>D</w:t>
      </w:r>
      <w:r>
        <w:rPr>
          <w:rFonts w:ascii="Calibri" w:hAnsi="Calibri"/>
          <w:color w:val="1E293B"/>
        </w:rPr>
        <w:t xml:space="preserve"> into subsets </w:t>
      </w:r>
      <w:r>
        <w:rPr>
          <w:i/>
          <w:color w:val="1E293B"/>
        </w:rPr>
        <w:t>D_1</w:t>
      </w:r>
      <w:r>
        <w:rPr>
          <w:rFonts w:ascii="Calibri" w:hAnsi="Calibri"/>
          <w:color w:val="1E293B"/>
        </w:rPr>
        <w:t xml:space="preserve"> and </w:t>
      </w:r>
      <w:r>
        <w:rPr>
          <w:i/>
          <w:color w:val="1E293B"/>
        </w:rPr>
        <w:t>D_2</w:t>
      </w:r>
      <w:r>
        <w:rPr>
          <w:rFonts w:ascii="Calibri" w:hAnsi="Calibri"/>
          <w:color w:val="1E293B"/>
        </w:rPr>
        <w:t xml:space="preserve"> based on a feature threshold that maximizes the reduction in </w:t>
      </w:r>
      <w:r>
        <w:rPr>
          <w:b/>
          <w:color w:val="0F172A"/>
        </w:rPr>
        <w:t>Gini Impurity</w:t>
      </w:r>
      <w:r>
        <w:rPr>
          <w:rFonts w:ascii="Calibri" w:hAnsi="Calibri"/>
          <w:color w:val="1E293B"/>
        </w:rPr>
        <w:t>:</w:t>
      </w:r>
    </w:p>
    <w:p>
      <w:pPr>
        <w:spacing w:line="283" w:lineRule="auto" w:after="120"/>
      </w:pPr>
      <w:r>
        <w:rPr>
          <w:i/>
          <w:color w:val="1E293B"/>
        </w:rPr>
      </w:r>
      <w:r>
        <w:rPr>
          <w:rFonts w:ascii="Calibri" w:hAnsi="Calibri"/>
          <w:color w:val="1E293B"/>
        </w:rPr>
        <w:t>\text{Gini}(D) = 1 - \sum_{i=1}^{C} p_i^2</w:t>
      </w:r>
      <w:r>
        <w:rPr>
          <w:i/>
          <w:color w:val="1E293B"/>
        </w:rPr>
      </w:r>
    </w:p>
    <w:p>
      <w:pPr>
        <w:spacing w:line="283" w:lineRule="auto" w:after="120"/>
      </w:pPr>
      <w:r>
        <w:rPr>
          <w:rFonts w:ascii="Calibri" w:hAnsi="Calibri"/>
          <w:color w:val="1E293B"/>
        </w:rPr>
        <w:t xml:space="preserve">where </w:t>
      </w:r>
      <w:r>
        <w:rPr>
          <w:i/>
          <w:color w:val="1E293B"/>
        </w:rPr>
        <w:t>p_i</w:t>
      </w:r>
      <w:r>
        <w:rPr>
          <w:rFonts w:ascii="Calibri" w:hAnsi="Calibri"/>
          <w:color w:val="1E293B"/>
        </w:rPr>
        <w:t xml:space="preserve"> is the probability of a sample belonging to class </w:t>
      </w:r>
      <w:r>
        <w:rPr>
          <w:i/>
          <w:color w:val="1E293B"/>
        </w:rPr>
        <w:t>i</w:t>
      </w:r>
      <w:r>
        <w:rPr>
          <w:rFonts w:ascii="Calibri" w:hAnsi="Calibri"/>
          <w:color w:val="1E293B"/>
        </w:rPr>
        <w:t xml:space="preserve">. For a split on feature </w:t>
      </w:r>
      <w:r>
        <w:rPr>
          <w:i/>
          <w:color w:val="1E293B"/>
        </w:rPr>
        <w:t>A</w:t>
      </w:r>
      <w:r>
        <w:rPr>
          <w:rFonts w:ascii="Calibri" w:hAnsi="Calibri"/>
          <w:color w:val="1E293B"/>
        </w:rPr>
        <w:t xml:space="preserve"> dividing </w:t>
      </w:r>
      <w:r>
        <w:rPr>
          <w:i/>
          <w:color w:val="1E293B"/>
        </w:rPr>
        <w:t>D</w:t>
      </w:r>
      <w:r>
        <w:rPr>
          <w:rFonts w:ascii="Calibri" w:hAnsi="Calibri"/>
          <w:color w:val="1E293B"/>
        </w:rPr>
        <w:t xml:space="preserve"> into </w:t>
      </w:r>
      <w:r>
        <w:rPr>
          <w:i/>
          <w:color w:val="1E293B"/>
        </w:rPr>
        <w:t>D_1</w:t>
      </w:r>
      <w:r>
        <w:rPr>
          <w:rFonts w:ascii="Calibri" w:hAnsi="Calibri"/>
          <w:color w:val="1E293B"/>
        </w:rPr>
        <w:t xml:space="preserve"> and </w:t>
      </w:r>
      <w:r>
        <w:rPr>
          <w:i/>
          <w:color w:val="1E293B"/>
        </w:rPr>
        <w:t>D_2</w:t>
      </w:r>
      <w:r>
        <w:rPr>
          <w:rFonts w:ascii="Calibri" w:hAnsi="Calibri"/>
          <w:color w:val="1E293B"/>
        </w:rPr>
        <w:t>:</w:t>
      </w:r>
    </w:p>
    <w:p>
      <w:pPr>
        <w:spacing w:line="283" w:lineRule="auto" w:after="120"/>
      </w:pPr>
      <w:r>
        <w:rPr>
          <w:i/>
          <w:color w:val="1E293B"/>
        </w:rPr>
      </w:r>
      <w:r>
        <w:rPr>
          <w:rFonts w:ascii="Calibri" w:hAnsi="Calibri"/>
          <w:color w:val="1E293B"/>
        </w:rPr>
        <w:t>\Delta \text{Gini}(A) = \text{Gini}(D) - \left( \frac{|D_1|}{|D|} \text{Gini}(D_1) + \frac{|D_2|}{|D|} \text{Gini}(D_2) \right)</w:t>
      </w:r>
      <w:r>
        <w:rPr>
          <w:i/>
          <w:color w:val="1E293B"/>
        </w:rPr>
      </w:r>
    </w:p>
    <w:p>
      <w:pPr>
        <w:spacing w:line="283" w:lineRule="auto" w:after="120"/>
      </w:pPr>
      <w:r>
        <w:rPr>
          <w:rFonts w:ascii="Calibri" w:hAnsi="Calibri"/>
          <w:color w:val="1E293B"/>
        </w:rPr>
        <w:t xml:space="preserve">The feature and split threshold maximizing </w:t>
      </w:r>
      <w:r>
        <w:rPr>
          <w:i/>
          <w:color w:val="1E293B"/>
        </w:rPr>
        <w:t>\Delta \text{Gini}(A)</w:t>
      </w:r>
      <w:r>
        <w:rPr>
          <w:rFonts w:ascii="Calibri" w:hAnsi="Calibri"/>
          <w:color w:val="1E293B"/>
        </w:rPr>
        <w:t xml:space="preserve"> are selected. Pruning is enforced via </w:t>
      </w:r>
      <w:r>
        <w:rPr>
          <w:rFonts w:ascii="Consolas" w:hAnsi="Consolas"/>
          <w:color w:val="0F766E"/>
          <w:sz w:val="19"/>
        </w:rPr>
        <w:t>max_depth = 5</w:t>
      </w:r>
      <w:r>
        <w:rPr>
          <w:rFonts w:ascii="Calibri" w:hAnsi="Calibri"/>
          <w:color w:val="1E293B"/>
        </w:rPr>
        <w:t xml:space="preserve"> and </w:t>
      </w:r>
      <w:r>
        <w:rPr>
          <w:rFonts w:ascii="Consolas" w:hAnsi="Consolas"/>
          <w:color w:val="0F766E"/>
          <w:sz w:val="19"/>
        </w:rPr>
        <w:t>min_samples_leaf = 15</w:t>
      </w:r>
      <w:r>
        <w:rPr>
          <w:rFonts w:ascii="Calibri" w:hAnsi="Calibri"/>
          <w:color w:val="1E293B"/>
        </w:rPr>
        <w:t>.</w:t>
      </w:r>
    </w:p>
    <w:p>
      <w:pPr>
        <w:pStyle w:val="Heading4"/>
        <w:keepNext/>
        <w:spacing w:before="200" w:after="40"/>
      </w:pPr>
      <w:r>
        <w:rPr>
          <w:rFonts w:ascii="Calibri" w:hAnsi="Calibri"/>
          <w:b/>
          <w:color w:val="475569"/>
          <w:sz w:val="22"/>
        </w:rPr>
        <w:t>2. Gaussian Naïve Bayes</w:t>
      </w:r>
    </w:p>
    <w:p>
      <w:pPr>
        <w:spacing w:line="283" w:lineRule="auto" w:after="120"/>
      </w:pPr>
      <w:r>
        <w:rPr>
          <w:rFonts w:ascii="Calibri" w:hAnsi="Calibri"/>
          <w:color w:val="1E293B"/>
        </w:rPr>
        <w:t xml:space="preserve">Based on Bayes' Theorem, the posterior probability of disease class </w:t>
      </w:r>
      <w:r>
        <w:rPr>
          <w:i/>
          <w:color w:val="1E293B"/>
        </w:rPr>
        <w:t>C_k</w:t>
      </w:r>
      <w:r>
        <w:rPr>
          <w:rFonts w:ascii="Calibri" w:hAnsi="Calibri"/>
          <w:color w:val="1E293B"/>
        </w:rPr>
        <w:t xml:space="preserve"> given clinical feature vector </w:t>
      </w:r>
      <w:r>
        <w:rPr>
          <w:i/>
          <w:color w:val="1E293B"/>
        </w:rPr>
        <w:t>\mathbf{x} = (x_1, x_2, \dots, x_d)</w:t>
      </w:r>
      <w:r>
        <w:rPr>
          <w:rFonts w:ascii="Calibri" w:hAnsi="Calibri"/>
          <w:color w:val="1E293B"/>
        </w:rPr>
        <w:t xml:space="preserve"> is:</w:t>
      </w:r>
    </w:p>
    <w:p>
      <w:pPr>
        <w:spacing w:line="283" w:lineRule="auto" w:after="120"/>
      </w:pPr>
      <w:r>
        <w:rPr>
          <w:i/>
          <w:color w:val="1E293B"/>
        </w:rPr>
      </w:r>
      <w:r>
        <w:rPr>
          <w:rFonts w:ascii="Calibri" w:hAnsi="Calibri"/>
          <w:color w:val="1E293B"/>
        </w:rPr>
        <w:t>P(C_k \mid \mathbf{x}) = \frac{P(C_k) P(\mathbf{x} \mid C_k)}{P(\mathbf{x})}</w:t>
      </w:r>
      <w:r>
        <w:rPr>
          <w:i/>
          <w:color w:val="1E293B"/>
        </w:rPr>
      </w:r>
    </w:p>
    <w:p>
      <w:pPr>
        <w:spacing w:line="283" w:lineRule="auto" w:after="120"/>
      </w:pPr>
      <w:r>
        <w:rPr>
          <w:rFonts w:ascii="Calibri" w:hAnsi="Calibri"/>
          <w:color w:val="1E293B"/>
        </w:rPr>
        <w:t>Under the class-conditional independence assumption:</w:t>
      </w:r>
    </w:p>
    <w:p>
      <w:pPr>
        <w:spacing w:line="283" w:lineRule="auto" w:after="120"/>
      </w:pPr>
      <w:r>
        <w:rPr>
          <w:i/>
          <w:color w:val="1E293B"/>
        </w:rPr>
      </w:r>
      <w:r>
        <w:rPr>
          <w:rFonts w:ascii="Calibri" w:hAnsi="Calibri"/>
          <w:color w:val="1E293B"/>
        </w:rPr>
        <w:t>P(\mathbf{x} \mid C_k) = \prod_{j=1}^{d} P(x_j \mid C_k)</w:t>
      </w:r>
      <w:r>
        <w:rPr>
          <w:i/>
          <w:color w:val="1E293B"/>
        </w:rPr>
      </w:r>
    </w:p>
    <w:p>
      <w:pPr>
        <w:spacing w:line="283" w:lineRule="auto" w:after="120"/>
      </w:pPr>
      <w:r>
        <w:rPr>
          <w:rFonts w:ascii="Calibri" w:hAnsi="Calibri"/>
          <w:color w:val="1E293B"/>
        </w:rPr>
        <w:t>where each continuous feature follows a Gaussian normal distribution:</w:t>
      </w:r>
    </w:p>
    <w:p>
      <w:pPr>
        <w:spacing w:line="283" w:lineRule="auto" w:after="120"/>
      </w:pPr>
      <w:r>
        <w:rPr>
          <w:i/>
          <w:color w:val="1E293B"/>
        </w:rPr>
      </w:r>
      <w:r>
        <w:rPr>
          <w:rFonts w:ascii="Calibri" w:hAnsi="Calibri"/>
          <w:color w:val="1E293B"/>
        </w:rPr>
        <w:t>P(x_j \mid C_k) = \frac{1}{\sqrt{2\pi\sigma_{kj}^2}} \exp\left( -\frac{(x_j - \mu_{kj})^2}{2\sigma_{kj}^2} \right)</w:t>
      </w:r>
      <w:r>
        <w:rPr>
          <w:i/>
          <w:color w:val="1E293B"/>
        </w:rPr>
      </w:r>
    </w:p>
    <w:p>
      <w:pPr>
        <w:pStyle w:val="Heading4"/>
        <w:keepNext/>
        <w:spacing w:before="200" w:after="40"/>
      </w:pPr>
      <w:r>
        <w:rPr>
          <w:rFonts w:ascii="Calibri" w:hAnsi="Calibri"/>
          <w:b/>
          <w:color w:val="475569"/>
          <w:sz w:val="22"/>
        </w:rPr>
        <w:t>3. Random Forest Classifier</w:t>
      </w:r>
    </w:p>
    <w:p>
      <w:pPr>
        <w:spacing w:line="283" w:lineRule="auto" w:after="120"/>
      </w:pPr>
      <w:r>
        <w:rPr>
          <w:rFonts w:ascii="Calibri" w:hAnsi="Calibri"/>
          <w:color w:val="1E293B"/>
        </w:rPr>
        <w:t xml:space="preserve">An ensemble learning technique combining </w:t>
      </w:r>
      <w:r>
        <w:rPr>
          <w:i/>
          <w:color w:val="1E293B"/>
        </w:rPr>
        <w:t>B = 100</w:t>
      </w:r>
      <w:r>
        <w:rPr>
          <w:rFonts w:ascii="Calibri" w:hAnsi="Calibri"/>
          <w:color w:val="1E293B"/>
        </w:rPr>
        <w:t xml:space="preserve"> bootstrap decision trees:</w:t>
      </w:r>
    </w:p>
    <w:p>
      <w:pPr>
        <w:spacing w:line="283" w:lineRule="auto" w:after="120"/>
      </w:pPr>
      <w:r>
        <w:rPr>
          <w:rFonts w:ascii="Calibri" w:hAnsi="Calibri"/>
          <w:color w:val="1E293B"/>
        </w:rPr>
        <w:t xml:space="preserve">1. Sample </w:t>
      </w:r>
      <w:r>
        <w:rPr>
          <w:i/>
          <w:color w:val="1E293B"/>
        </w:rPr>
        <w:t>N</w:t>
      </w:r>
      <w:r>
        <w:rPr>
          <w:rFonts w:ascii="Calibri" w:hAnsi="Calibri"/>
          <w:color w:val="1E293B"/>
        </w:rPr>
        <w:t xml:space="preserve"> records with replacement from training dataset </w:t>
      </w:r>
      <w:r>
        <w:rPr>
          <w:i/>
          <w:color w:val="1E293B"/>
        </w:rPr>
        <w:t>D</w:t>
      </w:r>
      <w:r>
        <w:rPr>
          <w:rFonts w:ascii="Calibri" w:hAnsi="Calibri"/>
          <w:color w:val="1E293B"/>
        </w:rPr>
        <w:t xml:space="preserve"> (Bootstrap sampling).</w:t>
      </w:r>
    </w:p>
    <w:p>
      <w:pPr>
        <w:spacing w:line="283" w:lineRule="auto" w:after="120"/>
      </w:pPr>
      <w:r>
        <w:rPr>
          <w:rFonts w:ascii="Calibri" w:hAnsi="Calibri"/>
          <w:color w:val="1E293B"/>
        </w:rPr>
        <w:t xml:space="preserve">2. At each node, select </w:t>
      </w:r>
      <w:r>
        <w:rPr>
          <w:i/>
          <w:color w:val="1E293B"/>
        </w:rPr>
        <w:t>m = \sqrt{d}</w:t>
      </w:r>
      <w:r>
        <w:rPr>
          <w:rFonts w:ascii="Calibri" w:hAnsi="Calibri"/>
          <w:color w:val="1E293B"/>
        </w:rPr>
        <w:t xml:space="preserve"> features at random from total </w:t>
      </w:r>
      <w:r>
        <w:rPr>
          <w:i/>
          <w:color w:val="1E293B"/>
        </w:rPr>
        <w:t>d</w:t>
      </w:r>
      <w:r>
        <w:rPr>
          <w:rFonts w:ascii="Calibri" w:hAnsi="Calibri"/>
          <w:color w:val="1E293B"/>
        </w:rPr>
        <w:t xml:space="preserve"> features.</w:t>
      </w:r>
    </w:p>
    <w:p>
      <w:pPr>
        <w:spacing w:line="283" w:lineRule="auto" w:after="120"/>
      </w:pPr>
      <w:r>
        <w:rPr>
          <w:rFonts w:ascii="Calibri" w:hAnsi="Calibri"/>
          <w:color w:val="1E293B"/>
        </w:rPr>
        <w:t>3. Split the node using Gini minimization without pruning.</w:t>
      </w:r>
    </w:p>
    <w:p>
      <w:pPr>
        <w:spacing w:line="283" w:lineRule="auto" w:after="120"/>
      </w:pPr>
      <w:r>
        <w:rPr>
          <w:rFonts w:ascii="Calibri" w:hAnsi="Calibri"/>
          <w:color w:val="1E293B"/>
        </w:rPr>
        <w:t xml:space="preserve">4. Output class prediction by majority voting across all </w:t>
      </w:r>
      <w:r>
        <w:rPr>
          <w:i/>
          <w:color w:val="1E293B"/>
        </w:rPr>
        <w:t>B</w:t>
      </w:r>
      <w:r>
        <w:rPr>
          <w:rFonts w:ascii="Calibri" w:hAnsi="Calibri"/>
          <w:color w:val="1E293B"/>
        </w:rPr>
        <w:t xml:space="preserve"> trees:</w:t>
      </w:r>
    </w:p>
    <w:p>
      <w:pPr>
        <w:spacing w:line="283" w:lineRule="auto" w:after="120"/>
      </w:pPr>
      <w:r>
        <w:rPr>
          <w:i/>
          <w:color w:val="1E293B"/>
        </w:rPr>
      </w:r>
      <w:r>
        <w:rPr>
          <w:rFonts w:ascii="Calibri" w:hAnsi="Calibri"/>
          <w:color w:val="1E293B"/>
        </w:rPr>
        <w:t>\hat{C}(\mathbf{x}) = \text{mode}\left\{ \hat{C}_1(\mathbf{x}), \hat{C}_2(\mathbf{x}), \dots, \hat{C}_B(\mathbf{x}) \right\}</w:t>
      </w:r>
      <w:r>
        <w:rPr>
          <w:i/>
          <w:color w:val="1E293B"/>
        </w:rPr>
      </w:r>
    </w:p>
    <w:p>
      <w:pPr>
        <w:pStyle w:val="Heading4"/>
        <w:keepNext/>
        <w:spacing w:before="200" w:after="40"/>
      </w:pPr>
      <w:r>
        <w:rPr>
          <w:rFonts w:ascii="Calibri" w:hAnsi="Calibri"/>
          <w:b/>
          <w:color w:val="475569"/>
          <w:sz w:val="22"/>
        </w:rPr>
        <w:t>4. Logistic Regression</w:t>
      </w:r>
    </w:p>
    <w:p>
      <w:pPr>
        <w:spacing w:line="283" w:lineRule="auto" w:after="120"/>
      </w:pPr>
      <w:r>
        <w:rPr>
          <w:rFonts w:ascii="Calibri" w:hAnsi="Calibri"/>
          <w:color w:val="1E293B"/>
        </w:rPr>
        <w:t>Models the log-odds of disease probability as a linear combination of standardized clinical predictors:</w:t>
      </w:r>
    </w:p>
    <w:p>
      <w:pPr>
        <w:spacing w:line="283" w:lineRule="auto" w:after="120"/>
      </w:pPr>
      <w:r>
        <w:rPr>
          <w:i/>
          <w:color w:val="1E293B"/>
        </w:rPr>
      </w:r>
      <w:r>
        <w:rPr>
          <w:rFonts w:ascii="Calibri" w:hAnsi="Calibri"/>
          <w:color w:val="1E293B"/>
        </w:rPr>
        <w:t>\log\left( \frac{P(y=1 \mid \mathbf{x})}{1 - P(y=1 \mid \mathbf{x})} \right) = \mathbf{w}^T \mathbf{x} + b</w:t>
      </w:r>
      <w:r>
        <w:rPr>
          <w:i/>
          <w:color w:val="1E293B"/>
        </w:rPr>
      </w:r>
    </w:p>
    <w:p>
      <w:pPr>
        <w:spacing w:line="283" w:lineRule="auto" w:after="120"/>
      </w:pPr>
      <w:r>
        <w:rPr>
          <w:rFonts w:ascii="Calibri" w:hAnsi="Calibri"/>
          <w:color w:val="1E293B"/>
        </w:rPr>
        <w:t>The probability of disease presence is obtained via the Sigmoid link function:</w:t>
      </w:r>
    </w:p>
    <w:p>
      <w:pPr>
        <w:spacing w:line="283" w:lineRule="auto" w:after="120"/>
      </w:pPr>
      <w:r>
        <w:rPr>
          <w:i/>
          <w:color w:val="1E293B"/>
        </w:rPr>
      </w:r>
      <w:r>
        <w:rPr>
          <w:rFonts w:ascii="Calibri" w:hAnsi="Calibri"/>
          <w:color w:val="1E293B"/>
        </w:rPr>
        <w:t>\sigma(z) = \frac{1}{1 + e^{-z}} \implies P(y=1 \mid \mathbf{x}) = \frac{1}{1 + e^{-(\mathbf{w}^T \mathbf{x} + b)}}</w:t>
      </w:r>
      <w:r>
        <w:rPr>
          <w:i/>
          <w:color w:val="1E293B"/>
        </w:rPr>
      </w:r>
    </w:p>
    <w:p>
      <w:pPr>
        <w:spacing w:line="283" w:lineRule="auto" w:after="120"/>
      </w:pPr>
      <w:r>
        <w:rPr>
          <w:rFonts w:ascii="Calibri" w:hAnsi="Calibri"/>
          <w:color w:val="1E293B"/>
        </w:rPr>
        <w:t>Trained by minimizing the binary cross-entropy loss function:</w:t>
      </w:r>
    </w:p>
    <w:p>
      <w:pPr>
        <w:spacing w:line="283" w:lineRule="auto" w:after="120"/>
      </w:pPr>
      <w:r>
        <w:rPr>
          <w:i/>
          <w:color w:val="1E293B"/>
        </w:rPr>
      </w:r>
      <w:r>
        <w:rPr>
          <w:rFonts w:ascii="Calibri" w:hAnsi="Calibri"/>
          <w:color w:val="1E293B"/>
        </w:rPr>
        <w:t>\mathcal{L}(\mathbf{w}, b) = -\frac{1}{N} \sum_{i=1}^{N} \left[ y_i \log(\hat{y}_i) + (1 - y_i) \log(1 - \hat{y}_i) \right]</w:t>
      </w:r>
      <w:r>
        <w:rPr>
          <w:i/>
          <w:color w:val="1E293B"/>
        </w:rPr>
      </w:r>
    </w:p>
    <w:p>
      <w:pPr>
        <w:pStyle w:val="Heading3"/>
        <w:keepNext/>
        <w:spacing w:before="280" w:after="80"/>
      </w:pPr>
      <w:r>
        <w:rPr>
          <w:rFonts w:ascii="Calibri" w:hAnsi="Calibri"/>
          <w:b/>
          <w:color w:val="0F172A"/>
          <w:sz w:val="24"/>
        </w:rPr>
        <w:t>6.3 Hyperparameter Tuning &amp; Cross-Validation</w:t>
      </w:r>
    </w:p>
    <w:p>
      <w:pPr>
        <w:spacing w:line="283" w:lineRule="auto" w:after="120"/>
      </w:pPr>
      <w:r>
        <w:rPr>
          <w:rFonts w:ascii="Calibri" w:hAnsi="Calibri"/>
          <w:color w:val="1E293B"/>
        </w:rPr>
        <w:t>All classification models were optimized using 5-fold cross-validation on the 75% training partition (</w:t>
      </w:r>
      <w:r>
        <w:rPr>
          <w:i/>
          <w:color w:val="1E293B"/>
        </w:rPr>
        <w:t>N = 2,625</w:t>
      </w:r>
      <w:r>
        <w:rPr>
          <w:rFonts w:ascii="Calibri" w:hAnsi="Calibri"/>
          <w:color w:val="1E293B"/>
        </w:rPr>
        <w:t>), followed by evaluation on the 25% holdout testing dataset (</w:t>
      </w:r>
      <w:r>
        <w:rPr>
          <w:i/>
          <w:color w:val="1E293B"/>
        </w:rPr>
        <w:t>N = 875</w:t>
      </w:r>
      <w:r>
        <w:rPr>
          <w:rFonts w:ascii="Calibri" w:hAnsi="Calibri"/>
          <w:color w:val="1E293B"/>
        </w:rPr>
        <w:t>).</w:t>
      </w:r>
    </w:p>
    <w:p>
      <w:pPr>
        <w:pStyle w:val="Heading3"/>
        <w:keepNext/>
        <w:spacing w:before="280" w:after="80"/>
      </w:pPr>
      <w:r>
        <w:rPr>
          <w:rFonts w:ascii="Calibri" w:hAnsi="Calibri"/>
          <w:b/>
          <w:color w:val="0F172A"/>
          <w:sz w:val="24"/>
        </w:rPr>
        <w:t>6.4 Comparative Evaluation Benchmark</w:t>
      </w:r>
    </w:p>
    <w:p>
      <w:pPr>
        <w:spacing w:line="283" w:lineRule="auto" w:after="120"/>
      </w:pPr>
      <w:r>
        <w:rPr>
          <w:rFonts w:ascii="Calibri" w:hAnsi="Calibri"/>
          <w:color w:val="1E293B"/>
        </w:rPr>
        <w:t xml:space="preserve">The performance of all four classifiers on holdout test data for </w:t>
      </w:r>
      <w:r>
        <w:rPr>
          <w:b/>
          <w:color w:val="0F172A"/>
        </w:rPr>
        <w:t>Cardiovascular Disease</w:t>
      </w:r>
      <w:r>
        <w:rPr>
          <w:rFonts w:ascii="Calibri" w:hAnsi="Calibri"/>
          <w:color w:val="1E293B"/>
        </w:rPr>
        <w:t xml:space="preserve"> prediction is summarized below:</w:t>
      </w:r>
    </w:p>
    <w:tbl>
      <w:tblPr>
        <w:tblW w:type="auto" w:w="0"/>
        <w:jc w:val="center"/>
        <w:tblLayout w:type="autofit"/>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1872"/>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Evaluation Metric</w:t>
            </w:r>
          </w:p>
        </w:tc>
        <w:tc>
          <w:tcPr>
            <w:tcW w:type="dxa" w:w="1872"/>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CART Decision Tree</w:t>
            </w:r>
          </w:p>
        </w:tc>
        <w:tc>
          <w:tcPr>
            <w:tcW w:type="dxa" w:w="1872"/>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Gaussian Naïve Bayes</w:t>
            </w:r>
          </w:p>
        </w:tc>
        <w:tc>
          <w:tcPr>
            <w:tcW w:type="dxa" w:w="1872"/>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Random Forest</w:t>
            </w:r>
          </w:p>
        </w:tc>
        <w:tc>
          <w:tcPr>
            <w:tcW w:type="dxa" w:w="1872"/>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Logistic Regression</w:t>
            </w:r>
          </w:p>
        </w:tc>
      </w:tr>
      <w:tr>
        <w:tc>
          <w:tcPr>
            <w:tcW w:type="dxa" w:w="1872"/>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Accuracy (%)</w:t>
            </w:r>
          </w:p>
        </w:tc>
        <w:tc>
          <w:tcPr>
            <w:tcW w:type="dxa" w:w="1872"/>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73.26%</w:t>
            </w:r>
          </w:p>
        </w:tc>
        <w:tc>
          <w:tcPr>
            <w:tcW w:type="dxa" w:w="1872"/>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73.71%</w:t>
            </w:r>
          </w:p>
        </w:tc>
        <w:tc>
          <w:tcPr>
            <w:tcW w:type="dxa" w:w="1872"/>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74.06%</w:t>
            </w:r>
          </w:p>
        </w:tc>
        <w:tc>
          <w:tcPr>
            <w:tcW w:type="dxa" w:w="1872"/>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75.31%</w:t>
            </w:r>
          </w:p>
        </w:tc>
      </w:tr>
      <w:tr>
        <w:tc>
          <w:tcPr>
            <w:tcW w:type="dxa" w:w="1872"/>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Precision</w:t>
            </w:r>
          </w:p>
        </w:tc>
        <w:tc>
          <w:tcPr>
            <w:tcW w:type="dxa" w:w="1872"/>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0.768</w:t>
            </w:r>
          </w:p>
        </w:tc>
        <w:tc>
          <w:tcPr>
            <w:tcW w:type="dxa" w:w="1872"/>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0.763</w:t>
            </w:r>
          </w:p>
        </w:tc>
        <w:tc>
          <w:tcPr>
            <w:tcW w:type="dxa" w:w="1872"/>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0.758</w:t>
            </w:r>
          </w:p>
        </w:tc>
        <w:tc>
          <w:tcPr>
            <w:tcW w:type="dxa" w:w="1872"/>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0.770</w:t>
            </w:r>
          </w:p>
        </w:tc>
      </w:tr>
      <w:tr>
        <w:tc>
          <w:tcPr>
            <w:tcW w:type="dxa" w:w="1872"/>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Recall</w:t>
            </w:r>
          </w:p>
        </w:tc>
        <w:tc>
          <w:tcPr>
            <w:tcW w:type="dxa" w:w="1872"/>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0.736</w:t>
            </w:r>
          </w:p>
        </w:tc>
        <w:tc>
          <w:tcPr>
            <w:tcW w:type="dxa" w:w="1872"/>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0.757</w:t>
            </w:r>
          </w:p>
        </w:tc>
        <w:tc>
          <w:tcPr>
            <w:tcW w:type="dxa" w:w="1872"/>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0.775</w:t>
            </w:r>
          </w:p>
        </w:tc>
        <w:tc>
          <w:tcPr>
            <w:tcW w:type="dxa" w:w="1872"/>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0.786</w:t>
            </w:r>
          </w:p>
        </w:tc>
      </w:tr>
      <w:tr>
        <w:tc>
          <w:tcPr>
            <w:tcW w:type="dxa" w:w="1872"/>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F1-Score</w:t>
            </w:r>
          </w:p>
        </w:tc>
        <w:tc>
          <w:tcPr>
            <w:tcW w:type="dxa" w:w="1872"/>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0.752</w:t>
            </w:r>
          </w:p>
        </w:tc>
        <w:tc>
          <w:tcPr>
            <w:tcW w:type="dxa" w:w="1872"/>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0.760</w:t>
            </w:r>
          </w:p>
        </w:tc>
        <w:tc>
          <w:tcPr>
            <w:tcW w:type="dxa" w:w="1872"/>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0.767</w:t>
            </w:r>
          </w:p>
        </w:tc>
        <w:tc>
          <w:tcPr>
            <w:tcW w:type="dxa" w:w="1872"/>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0.778</w:t>
            </w:r>
          </w:p>
        </w:tc>
      </w:tr>
      <w:tr>
        <w:tc>
          <w:tcPr>
            <w:tcW w:type="dxa" w:w="1872"/>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ROC-AUC</w:t>
            </w:r>
          </w:p>
        </w:tc>
        <w:tc>
          <w:tcPr>
            <w:tcW w:type="dxa" w:w="1872"/>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0.797</w:t>
            </w:r>
          </w:p>
        </w:tc>
        <w:tc>
          <w:tcPr>
            <w:tcW w:type="dxa" w:w="1872"/>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0.812</w:t>
            </w:r>
          </w:p>
        </w:tc>
        <w:tc>
          <w:tcPr>
            <w:tcW w:type="dxa" w:w="1872"/>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0.813</w:t>
            </w:r>
          </w:p>
        </w:tc>
        <w:tc>
          <w:tcPr>
            <w:tcW w:type="dxa" w:w="1872"/>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0.827</w:t>
            </w:r>
          </w:p>
        </w:tc>
      </w:tr>
      <w:tr>
        <w:tc>
          <w:tcPr>
            <w:tcW w:type="dxa" w:w="1872"/>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Correct / Total</w:t>
            </w:r>
          </w:p>
        </w:tc>
        <w:tc>
          <w:tcPr>
            <w:tcW w:type="dxa" w:w="1872"/>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641 / 875</w:t>
            </w:r>
          </w:p>
        </w:tc>
        <w:tc>
          <w:tcPr>
            <w:tcW w:type="dxa" w:w="1872"/>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645 / 875</w:t>
            </w:r>
          </w:p>
        </w:tc>
        <w:tc>
          <w:tcPr>
            <w:tcW w:type="dxa" w:w="1872"/>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648 / 875</w:t>
            </w:r>
          </w:p>
        </w:tc>
        <w:tc>
          <w:tcPr>
            <w:tcW w:type="dxa" w:w="1872"/>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659 / 875</w:t>
            </w:r>
          </w:p>
        </w:tc>
      </w:tr>
    </w:tbl>
    <w:p>
      <w:pPr>
        <w:spacing w:after="80"/>
      </w:pPr>
    </w:p>
    <w:p>
      <w:pPr>
        <w:pStyle w:val="Heading3"/>
        <w:keepNext/>
        <w:spacing w:before="280" w:after="80"/>
      </w:pPr>
      <w:r>
        <w:rPr>
          <w:rFonts w:ascii="Calibri" w:hAnsi="Calibri"/>
          <w:b/>
          <w:color w:val="0F172A"/>
          <w:sz w:val="24"/>
        </w:rPr>
        <w:t>6.5 Confusion Matrix Analysis &amp; Asymmetric Error Cost</w:t>
      </w:r>
    </w:p>
    <w:p>
      <w:pPr>
        <w:spacing w:line="283" w:lineRule="auto" w:after="120"/>
      </w:pPr>
      <w:r>
        <w:rPr>
          <w:rFonts w:ascii="Calibri" w:hAnsi="Calibri"/>
          <w:color w:val="1E293B"/>
        </w:rPr>
        <w:t>In clinical diagnostics, False Negatives (FN, sick patients flagged healthy) carry severe medical liability, whereas False Positives (FP, healthy patients flagged sick) merely trigger non-invasive lab testing.</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360"/>
      </w:tblGrid>
      <w:tr>
        <w:tc>
          <w:tcPr>
            <w:tcW w:type="dxa" w:w="9360"/>
            <w:shd w:fill="F1F5F9"/>
            <w:tcMar>
              <w:top w:w="140" w:type="dxa"/>
              <w:bottom w:w="140" w:type="dxa"/>
              <w:left w:w="200" w:type="dxa"/>
              <w:right w:w="200" w:type="dxa"/>
            </w:tcMar>
          </w:tcPr>
          <w:p>
            <w:pPr>
              <w:spacing w:before="40" w:after="40" w:line="240" w:lineRule="auto"/>
            </w:pPr>
            <w:r>
              <w:rPr>
                <w:rFonts w:ascii="Consolas" w:hAnsi="Consolas"/>
                <w:color w:val="0F172A"/>
                <w:sz w:val="17"/>
              </w:rPr>
              <w:t>(A) CART Decision Tree                      (B) Gaussian Naive Bayes</w:t>
              <w:br/>
              <w:t xml:space="preserve">           Pred Neg   Pred Pos                         Pred Neg   Pred Pos</w:t>
              <w:br/>
              <w:t>Actual Neg [  287  ]  [  107  ]             Actual Neg [  281  ]  [  113  ]</w:t>
              <w:br/>
              <w:t>Actual Pos [  127  ]  [  354  ]             Actual Pos [  117  ]  [  364  ]</w:t>
              <w:br/>
              <w:br/>
              <w:t>(C) Random Forest Classifier                (D) Logistic Regression</w:t>
              <w:br/>
              <w:t xml:space="preserve">           Pred Neg   Pred Pos                         Pred Neg   Pred Pos</w:t>
              <w:br/>
              <w:t>Actual Neg [  275  ]  [  119  ]             Actual Neg [  281  ]  [  113  ]</w:t>
              <w:br/>
              <w:t>Actual Pos [  108  ]  [  373  ]             Actual Pos [  103  ]  [  378  ]</w:t>
            </w:r>
          </w:p>
        </w:tc>
      </w:tr>
    </w:tbl>
    <w:p>
      <w:pPr>
        <w:spacing w:after="80"/>
      </w:pPr>
    </w:p>
    <w:p>
      <w:pPr>
        <w:spacing w:line="283" w:lineRule="auto" w:after="120"/>
      </w:pPr>
      <w:r>
        <w:rPr>
          <w:rFonts w:ascii="Calibri" w:hAnsi="Calibri"/>
          <w:color w:val="1E293B"/>
        </w:rPr>
        <w:t>Logistic Regression achieved the lowest False Negative count (</w:t>
      </w:r>
      <w:r>
        <w:rPr>
          <w:i/>
          <w:color w:val="1E293B"/>
        </w:rPr>
        <w:t>FN = 103</w:t>
      </w:r>
      <w:r>
        <w:rPr>
          <w:rFonts w:ascii="Calibri" w:hAnsi="Calibri"/>
          <w:color w:val="1E293B"/>
        </w:rPr>
        <w:t>), while Random Forest yielded the highest diagnostic sensitivity for complex non-linear combinations (</w:t>
      </w:r>
      <w:r>
        <w:rPr>
          <w:i/>
          <w:color w:val="1E293B"/>
        </w:rPr>
        <w:t>FN = 108</w:t>
      </w:r>
      <w:r>
        <w:rPr>
          <w:rFonts w:ascii="Calibri" w:hAnsi="Calibri"/>
          <w:color w:val="1E293B"/>
        </w:rPr>
        <w:t>).</w:t>
      </w:r>
    </w:p>
    <w:p>
      <w:pPr>
        <w:pStyle w:val="Heading3"/>
        <w:keepNext/>
        <w:spacing w:before="280" w:after="80"/>
      </w:pPr>
      <w:r>
        <w:rPr>
          <w:rFonts w:ascii="Calibri" w:hAnsi="Calibri"/>
          <w:b/>
          <w:color w:val="0F172A"/>
          <w:sz w:val="24"/>
        </w:rPr>
        <w:t>6.6 Model Interpretability &amp; Clinical Feature Importance</w:t>
      </w:r>
    </w:p>
    <w:p>
      <w:pPr>
        <w:spacing w:line="283" w:lineRule="auto" w:after="120"/>
      </w:pPr>
      <w:r>
        <w:rPr>
          <w:rFonts w:ascii="Calibri" w:hAnsi="Calibri"/>
          <w:color w:val="1E293B"/>
        </w:rPr>
        <w:t>Random Forest ensemble feature importance calculations identified the top quantitative drivers of cardiovascular risk:</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360"/>
      </w:tblGrid>
      <w:tr>
        <w:tc>
          <w:tcPr>
            <w:tcW w:type="dxa" w:w="9360"/>
            <w:shd w:fill="F1F5F9"/>
            <w:tcMar>
              <w:top w:w="140" w:type="dxa"/>
              <w:bottom w:w="140" w:type="dxa"/>
              <w:left w:w="200" w:type="dxa"/>
              <w:right w:w="200" w:type="dxa"/>
            </w:tcMar>
          </w:tcPr>
          <w:p>
            <w:pPr>
              <w:spacing w:before="40" w:after="40" w:line="240" w:lineRule="auto"/>
            </w:pPr>
            <w:r>
              <w:rPr>
                <w:rFonts w:ascii="Consolas" w:hAnsi="Consolas"/>
                <w:color w:val="0F172A"/>
                <w:sz w:val="17"/>
              </w:rPr>
              <w:t>Rank | Clinical Feature           | Importance Score | Clinical Rationale</w:t>
              <w:br/>
              <w:t>-----+----------------------------+------------------+---------------------------------------------------</w:t>
              <w:br/>
              <w:t xml:space="preserve">  1  | Fasting Glucose (mg/dL)    |     0.184        | Accelerates arterial plaque and microvascular loss</w:t>
              <w:br/>
              <w:t xml:space="preserve">  2  | Systolic BP (mmHg)         |     0.162        | Directly increases hemodynamic shear stress</w:t>
              <w:br/>
              <w:t xml:space="preserve">  3  | Age (Years)                |     0.148        | Longitudinal vascular stiffening and calcification</w:t>
              <w:br/>
              <w:t xml:space="preserve">  4  | HbA1c (%)                  |     0.131        | Long-term measure of glycemic dysregulation</w:t>
              <w:br/>
              <w:t xml:space="preserve">  5  | Total Cholesterol (mg/dL)  |     0.115        | Substrate for atheromatous coronary plaques</w:t>
              <w:br/>
              <w:t xml:space="preserve">  6  | Serum Creatinine (mg/dL)   |     0.092        | Biomarker of renal-cardiovascular systemic decline</w:t>
              <w:br/>
              <w:t xml:space="preserve">  7  | Body Mass Index (BMI)      |     0.086        | Adipose inflammation and metabolic stress</w:t>
              <w:br/>
              <w:t xml:space="preserve">  8  | Smoking Status (Current)   |     0.082        | Endothelial toxin promoting coronary thrombosis</w:t>
            </w:r>
          </w:p>
        </w:tc>
      </w:tr>
    </w:tbl>
    <w:p>
      <w:pPr>
        <w:spacing w:after="80"/>
      </w:pPr>
    </w:p>
    <w:p>
      <w:pPr>
        <w:spacing w:before="160" w:after="160"/>
      </w:pPr>
    </w:p>
    <w:p>
      <w:r>
        <w:br w:type="page"/>
      </w:r>
    </w:p>
    <w:p>
      <w:pPr>
        <w:pStyle w:val="Heading2"/>
        <w:keepNext/>
        <w:spacing w:before="280" w:after="120"/>
      </w:pPr>
      <w:r>
        <w:rPr>
          <w:rFonts w:ascii="Calibri" w:hAnsi="Calibri"/>
          <w:b/>
          <w:color w:val="1E3A8A"/>
          <w:sz w:val="28"/>
        </w:rPr>
        <w:t>Chapter 7: Continuous Regression Modeling - Healthcare Expenditure</w:t>
      </w:r>
    </w:p>
    <w:p>
      <w:pPr>
        <w:pStyle w:val="Heading3"/>
        <w:keepNext/>
        <w:spacing w:before="280" w:after="80"/>
      </w:pPr>
      <w:r>
        <w:rPr>
          <w:rFonts w:ascii="Calibri" w:hAnsi="Calibri"/>
          <w:b/>
          <w:color w:val="0F172A"/>
          <w:sz w:val="24"/>
        </w:rPr>
        <w:t>7.1 The Economics of Inpatient Care</w:t>
      </w:r>
    </w:p>
    <w:p>
      <w:pPr>
        <w:spacing w:line="283" w:lineRule="auto" w:after="120"/>
      </w:pPr>
      <w:r>
        <w:rPr>
          <w:rFonts w:ascii="Calibri" w:hAnsi="Calibri"/>
          <w:color w:val="1E293B"/>
        </w:rPr>
        <w:t>Healthcare expenditure exhibits non-linear cost scaling driven by length of stay, surgical interventions, and intensive care medications. Traditional billing relies on post-discharge invoicing, leaving hospital finance departments unable to anticipate bad debt or resource utilization.</w:t>
      </w:r>
    </w:p>
    <w:p>
      <w:pPr>
        <w:pStyle w:val="Heading3"/>
        <w:keepNext/>
        <w:spacing w:before="280" w:after="80"/>
      </w:pPr>
      <w:r>
        <w:rPr>
          <w:rFonts w:ascii="Calibri" w:hAnsi="Calibri"/>
          <w:b/>
          <w:color w:val="0F172A"/>
          <w:sz w:val="24"/>
        </w:rPr>
        <w:t>7.2 Mathematical Formulations of Regressors</w:t>
      </w:r>
    </w:p>
    <w:p>
      <w:pPr>
        <w:pStyle w:val="Heading4"/>
        <w:keepNext/>
        <w:spacing w:before="200" w:after="40"/>
      </w:pPr>
      <w:r>
        <w:rPr>
          <w:rFonts w:ascii="Calibri" w:hAnsi="Calibri"/>
          <w:b/>
          <w:color w:val="475569"/>
          <w:sz w:val="22"/>
        </w:rPr>
        <w:t>1. Ordinary Least Squares (OLS) Linear Regression</w:t>
      </w:r>
    </w:p>
    <w:p>
      <w:pPr>
        <w:spacing w:line="283" w:lineRule="auto" w:after="120"/>
      </w:pPr>
      <w:r>
        <w:rPr>
          <w:rFonts w:ascii="Calibri" w:hAnsi="Calibri"/>
          <w:color w:val="1E293B"/>
        </w:rPr>
        <w:t xml:space="preserve">Minimizes the sum of squared differences between observed cost </w:t>
      </w:r>
      <w:r>
        <w:rPr>
          <w:i/>
          <w:color w:val="1E293B"/>
        </w:rPr>
        <w:t>y_i</w:t>
      </w:r>
      <w:r>
        <w:rPr>
          <w:rFonts w:ascii="Calibri" w:hAnsi="Calibri"/>
          <w:color w:val="1E293B"/>
        </w:rPr>
        <w:t xml:space="preserve"> and linear prediction </w:t>
      </w:r>
      <w:r>
        <w:rPr>
          <w:i/>
          <w:color w:val="1E293B"/>
        </w:rPr>
        <w:t>\mathbf{w}^T \mathbf{x}_i</w:t>
      </w:r>
      <w:r>
        <w:rPr>
          <w:rFonts w:ascii="Calibri" w:hAnsi="Calibri"/>
          <w:color w:val="1E293B"/>
        </w:rPr>
        <w:t>:</w:t>
      </w:r>
    </w:p>
    <w:p>
      <w:pPr>
        <w:spacing w:line="283" w:lineRule="auto" w:after="120"/>
      </w:pPr>
      <w:r>
        <w:rPr>
          <w:i/>
          <w:color w:val="1E293B"/>
        </w:rPr>
      </w:r>
      <w:r>
        <w:rPr>
          <w:rFonts w:ascii="Calibri" w:hAnsi="Calibri"/>
          <w:color w:val="1E293B"/>
        </w:rPr>
        <w:t>\mathcal{L}_{\text{OLS}}(\mathbf{w}) = \sum_{i=1}^n \left( y_i - (\mathbf{w}^T \mathbf{x}_i + b) \right)^2</w:t>
      </w:r>
      <w:r>
        <w:rPr>
          <w:i/>
          <w:color w:val="1E293B"/>
        </w:rPr>
      </w:r>
    </w:p>
    <w:p>
      <w:pPr>
        <w:pStyle w:val="Heading4"/>
        <w:keepNext/>
        <w:spacing w:before="200" w:after="40"/>
      </w:pPr>
      <w:r>
        <w:rPr>
          <w:rFonts w:ascii="Calibri" w:hAnsi="Calibri"/>
          <w:b/>
          <w:color w:val="475569"/>
          <w:sz w:val="22"/>
        </w:rPr>
        <w:t>2. Ridge Regression ($L_2$ Regularization)</w:t>
      </w:r>
    </w:p>
    <w:p>
      <w:pPr>
        <w:spacing w:line="283" w:lineRule="auto" w:after="120"/>
      </w:pPr>
      <w:r>
        <w:rPr>
          <w:rFonts w:ascii="Calibri" w:hAnsi="Calibri"/>
          <w:color w:val="1E293B"/>
        </w:rPr>
        <w:t>Prevents model weight instability caused by multicollinearity among clinical vitals:</w:t>
      </w:r>
    </w:p>
    <w:p>
      <w:pPr>
        <w:spacing w:line="283" w:lineRule="auto" w:after="120"/>
      </w:pPr>
      <w:r>
        <w:rPr>
          <w:i/>
          <w:color w:val="1E293B"/>
        </w:rPr>
      </w:r>
      <w:r>
        <w:rPr>
          <w:rFonts w:ascii="Calibri" w:hAnsi="Calibri"/>
          <w:color w:val="1E293B"/>
        </w:rPr>
        <w:t>\mathcal{L}_{\text{Ridge}}(\mathbf{w}) = \sum_{i=1}^n \left( y_i - \mathbf{w}^T \mathbf{x}_i \right)^2 + \lambda \sum_{j=1}^d w_j^2</w:t>
      </w:r>
      <w:r>
        <w:rPr>
          <w:i/>
          <w:color w:val="1E293B"/>
        </w:rPr>
      </w:r>
    </w:p>
    <w:p>
      <w:pPr>
        <w:pStyle w:val="Heading4"/>
        <w:keepNext/>
        <w:spacing w:before="200" w:after="40"/>
      </w:pPr>
      <w:r>
        <w:rPr>
          <w:rFonts w:ascii="Calibri" w:hAnsi="Calibri"/>
          <w:b/>
          <w:color w:val="475569"/>
          <w:sz w:val="22"/>
        </w:rPr>
        <w:t>3. Random Forest Regressor</w:t>
      </w:r>
    </w:p>
    <w:p>
      <w:pPr>
        <w:spacing w:line="283" w:lineRule="auto" w:after="120"/>
      </w:pPr>
      <w:r>
        <w:rPr>
          <w:rFonts w:ascii="Calibri" w:hAnsi="Calibri"/>
          <w:color w:val="1E293B"/>
        </w:rPr>
        <w:t>Ensemble of 100 regression trees. Each terminal leaf node computes the mean target value of training records in that partition:</w:t>
      </w:r>
    </w:p>
    <w:p>
      <w:pPr>
        <w:spacing w:line="283" w:lineRule="auto" w:after="120"/>
      </w:pPr>
      <w:r>
        <w:rPr>
          <w:i/>
          <w:color w:val="1E293B"/>
        </w:rPr>
      </w:r>
      <w:r>
        <w:rPr>
          <w:rFonts w:ascii="Calibri" w:hAnsi="Calibri"/>
          <w:color w:val="1E293B"/>
        </w:rPr>
        <w:t>\hat{y}(\mathbf{x}) = \frac{1}{B} \sum_{b=1}^B T_b(\mathbf{x})</w:t>
      </w:r>
      <w:r>
        <w:rPr>
          <w:i/>
          <w:color w:val="1E293B"/>
        </w:rPr>
      </w:r>
    </w:p>
    <w:p>
      <w:pPr>
        <w:pStyle w:val="Heading3"/>
        <w:keepNext/>
        <w:spacing w:before="280" w:after="80"/>
      </w:pPr>
      <w:r>
        <w:rPr>
          <w:rFonts w:ascii="Calibri" w:hAnsi="Calibri"/>
          <w:b/>
          <w:color w:val="0F172A"/>
          <w:sz w:val="24"/>
        </w:rPr>
        <w:t>7.3 Regression Performance Benchmark</w:t>
      </w:r>
    </w:p>
    <w:p>
      <w:pPr>
        <w:spacing w:line="283" w:lineRule="auto" w:after="120"/>
      </w:pPr>
      <w:r>
        <w:rPr>
          <w:rFonts w:ascii="Calibri" w:hAnsi="Calibri"/>
          <w:color w:val="1E293B"/>
        </w:rPr>
        <w:t>Evaluated on holdout test samples (</w:t>
      </w:r>
      <w:r>
        <w:rPr>
          <w:i/>
          <w:color w:val="1E293B"/>
        </w:rPr>
        <w:t>N = 875</w:t>
      </w:r>
      <w:r>
        <w:rPr>
          <w:rFonts w:ascii="Calibri" w:hAnsi="Calibri"/>
          <w:color w:val="1E293B"/>
        </w:rPr>
        <w:t>):</w:t>
      </w:r>
    </w:p>
    <w:tbl>
      <w:tblPr>
        <w:tblW w:type="auto" w:w="0"/>
        <w:jc w:val="center"/>
        <w:tblLayout w:type="autofit"/>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Regression Algorithm</w:t>
            </w:r>
          </w:p>
        </w:tc>
        <w:tc>
          <w:tcPr>
            <w:tcW w:type="dxa" w:w="2340"/>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Mean Absolute Error (MAE)</w:t>
            </w:r>
          </w:p>
        </w:tc>
        <w:tc>
          <w:tcPr>
            <w:tcW w:type="dxa" w:w="2340"/>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Root Mean Squared Error (RMSE)</w:t>
            </w:r>
          </w:p>
        </w:tc>
        <w:tc>
          <w:tcPr>
            <w:tcW w:type="dxa" w:w="2340"/>
            <w:vAlign w:val="center"/>
            <w:tcMar>
              <w:top w:w="120" w:type="dxa"/>
              <w:bottom w:w="120" w:type="dxa"/>
              <w:left w:w="160" w:type="dxa"/>
              <w:right w:w="160" w:type="dxa"/>
            </w:tcMar>
            <w:shd w:fill="0E7490"/>
          </w:tcPr>
          <w:p>
            <w:pPr>
              <w:spacing w:before="40" w:after="40" w:line="252" w:lineRule="auto"/>
              <w:jc w:val="center"/>
            </w:pPr>
            <w:r>
              <w:rPr>
                <w:rFonts w:ascii="Calibri" w:hAnsi="Calibri"/>
                <w:b/>
                <w:color w:val="FFFFFF"/>
                <w:sz w:val="19"/>
              </w:rPr>
              <w:t>R^2 Score</w:t>
            </w:r>
          </w:p>
        </w:tc>
      </w:tr>
      <w:tr>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Linear Regression (OLS)</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\176.92</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\215.87</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0.9950</w:t>
            </w:r>
          </w:p>
        </w:tc>
      </w:tr>
      <w:tr>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Ridge Regression (\alpha=1.0)</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\177.11</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\215.96</w:t>
            </w:r>
          </w:p>
        </w:tc>
        <w:tc>
          <w:tcPr>
            <w:tcW w:type="dxa" w:w="2340"/>
            <w:vAlign w:val="center"/>
            <w:tcMar>
              <w:top w:w="120" w:type="dxa"/>
              <w:bottom w:w="120" w:type="dxa"/>
              <w:left w:w="160" w:type="dxa"/>
              <w:right w:w="160" w:type="dxa"/>
            </w:tcMar>
            <w:shd w:fill="FFFFFF"/>
          </w:tcPr>
          <w:p>
            <w:pPr>
              <w:spacing w:before="40" w:after="40" w:line="252" w:lineRule="auto"/>
              <w:jc w:val="left"/>
            </w:pPr>
            <w:r>
              <w:rPr>
                <w:rFonts w:ascii="Calibri" w:hAnsi="Calibri"/>
                <w:color w:val="1E293B"/>
                <w:sz w:val="18"/>
              </w:rPr>
              <w:t>0.9950</w:t>
            </w:r>
          </w:p>
        </w:tc>
      </w:tr>
      <w:tr>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Random Forest Regressor</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\91.32</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\126.23</w:t>
            </w:r>
          </w:p>
        </w:tc>
        <w:tc>
          <w:tcPr>
            <w:tcW w:type="dxa" w:w="2340"/>
            <w:vAlign w:val="center"/>
            <w:tcMar>
              <w:top w:w="120" w:type="dxa"/>
              <w:bottom w:w="120" w:type="dxa"/>
              <w:left w:w="160" w:type="dxa"/>
              <w:right w:w="160" w:type="dxa"/>
            </w:tcMar>
            <w:shd w:fill="F8FAFC"/>
          </w:tcPr>
          <w:p>
            <w:pPr>
              <w:spacing w:before="40" w:after="40" w:line="252" w:lineRule="auto"/>
              <w:jc w:val="left"/>
            </w:pPr>
            <w:r>
              <w:rPr>
                <w:rFonts w:ascii="Calibri" w:hAnsi="Calibri"/>
                <w:color w:val="1E293B"/>
                <w:sz w:val="18"/>
              </w:rPr>
              <w:t>0.9983</w:t>
            </w:r>
          </w:p>
        </w:tc>
      </w:tr>
    </w:tbl>
    <w:p>
      <w:pPr>
        <w:spacing w:after="80"/>
      </w:pPr>
    </w:p>
    <w:p>
      <w:pPr>
        <w:pStyle w:val="Heading3"/>
        <w:keepNext/>
        <w:spacing w:before="280" w:after="80"/>
      </w:pPr>
      <w:r>
        <w:rPr>
          <w:rFonts w:ascii="Calibri" w:hAnsi="Calibri"/>
          <w:b/>
          <w:color w:val="0F172A"/>
          <w:sz w:val="24"/>
        </w:rPr>
        <w:t>7.4 Residual Analysis &amp; Cost Driver Identification</w:t>
      </w:r>
    </w:p>
    <w:p>
      <w:pPr>
        <w:spacing w:line="283" w:lineRule="auto" w:after="120"/>
      </w:pPr>
      <w:r>
        <w:rPr>
          <w:rFonts w:ascii="Calibri" w:hAnsi="Calibri"/>
          <w:color w:val="1E293B"/>
        </w:rPr>
        <w:t>The Random Forest regressor captured interactions between patient Length of Stay and clinical risk scores, achieving an average error of only \</w:t>
      </w:r>
      <w:r>
        <w:rPr>
          <w:i/>
          <w:color w:val="1E293B"/>
        </w:rPr>
        <w:t>91.32 across an expenditure range of \</w:t>
      </w:r>
      <w:r>
        <w:rPr>
          <w:rFonts w:ascii="Calibri" w:hAnsi="Calibri"/>
          <w:color w:val="1E293B"/>
        </w:rPr>
        <w:t>100 to \</w:t>
      </w:r>
      <w:r>
        <w:rPr>
          <w:i/>
          <w:color w:val="1E293B"/>
        </w:rPr>
        <w:t>25,000. Feature sensitivity indicates that every additional inpatient day adds an average of \</w:t>
      </w:r>
      <w:r>
        <w:rPr>
          <w:rFonts w:ascii="Calibri" w:hAnsi="Calibri"/>
          <w:color w:val="1E293B"/>
        </w:rPr>
        <w:t>650 in baseline care costs, compounded by \$35 per point of clinical risk score.</w:t>
      </w:r>
    </w:p>
    <w:p>
      <w:pPr>
        <w:spacing w:before="160" w:after="160"/>
      </w:pPr>
    </w:p>
    <w:p>
      <w:r>
        <w:br w:type="page"/>
      </w:r>
    </w:p>
    <w:p>
      <w:pPr>
        <w:pStyle w:val="Heading2"/>
        <w:keepNext/>
        <w:spacing w:before="280" w:after="120"/>
      </w:pPr>
      <w:r>
        <w:rPr>
          <w:rFonts w:ascii="Calibri" w:hAnsi="Calibri"/>
          <w:b/>
          <w:color w:val="1E3A8A"/>
          <w:sz w:val="28"/>
        </w:rPr>
        <w:t>Chapter 8: Unsupervised Machine Learning - Patient Cohort Clustering</w:t>
      </w:r>
    </w:p>
    <w:p>
      <w:pPr>
        <w:pStyle w:val="Heading3"/>
        <w:keepNext/>
        <w:spacing w:before="280" w:after="80"/>
      </w:pPr>
      <w:r>
        <w:rPr>
          <w:rFonts w:ascii="Calibri" w:hAnsi="Calibri"/>
          <w:b/>
          <w:color w:val="0F172A"/>
          <w:sz w:val="24"/>
        </w:rPr>
        <w:t>8.1 Rationale for Patient Stratification</w:t>
      </w:r>
    </w:p>
    <w:p>
      <w:pPr>
        <w:spacing w:line="283" w:lineRule="auto" w:after="120"/>
      </w:pPr>
      <w:r>
        <w:rPr>
          <w:rFonts w:ascii="Calibri" w:hAnsi="Calibri"/>
          <w:color w:val="1E293B"/>
        </w:rPr>
        <w:t>Patients frequently present with sub-clinical combinations of pre-hypertension, elevated body weight, and borderline hyperglycemia that do not meet strict diagnostic criteria for any single disease. Unsupervised clustering groups patients into natural risk cohorts, enabling preemptive interventions before emergency hospitalizations occur.</w:t>
      </w:r>
    </w:p>
    <w:p>
      <w:pPr>
        <w:pStyle w:val="Heading3"/>
        <w:keepNext/>
        <w:spacing w:before="280" w:after="80"/>
      </w:pPr>
      <w:r>
        <w:rPr>
          <w:rFonts w:ascii="Calibri" w:hAnsi="Calibri"/>
          <w:b/>
          <w:color w:val="0F172A"/>
          <w:sz w:val="24"/>
        </w:rPr>
        <w:t>8.2 K-Means Formulation &amp; Distance Metrics</w:t>
      </w:r>
    </w:p>
    <w:p>
      <w:pPr>
        <w:spacing w:line="283" w:lineRule="auto" w:after="120"/>
      </w:pPr>
      <w:r>
        <w:rPr>
          <w:rFonts w:ascii="Calibri" w:hAnsi="Calibri"/>
          <w:color w:val="1E293B"/>
        </w:rPr>
        <w:t xml:space="preserve">Given standardized clinical feature vectors </w:t>
      </w:r>
      <w:r>
        <w:rPr>
          <w:i/>
          <w:color w:val="1E293B"/>
        </w:rPr>
        <w:t>\mathbf{x}_i \in \mathbb{R}^7</w:t>
      </w:r>
      <w:r>
        <w:rPr>
          <w:rFonts w:ascii="Calibri" w:hAnsi="Calibri"/>
          <w:color w:val="1E293B"/>
        </w:rPr>
        <w:t xml:space="preserve"> (</w:t>
      </w:r>
      <w:r>
        <w:rPr>
          <w:rFonts w:ascii="Consolas" w:hAnsi="Consolas"/>
          <w:color w:val="0F766E"/>
          <w:sz w:val="19"/>
        </w:rPr>
        <w:t>age</w:t>
      </w:r>
      <w:r>
        <w:rPr>
          <w:rFonts w:ascii="Calibri" w:hAnsi="Calibri"/>
          <w:color w:val="1E293B"/>
        </w:rPr>
        <w:t xml:space="preserve">, </w:t>
      </w:r>
      <w:r>
        <w:rPr>
          <w:rFonts w:ascii="Consolas" w:hAnsi="Consolas"/>
          <w:color w:val="0F766E"/>
          <w:sz w:val="19"/>
        </w:rPr>
        <w:t>systolic_bp</w:t>
      </w:r>
      <w:r>
        <w:rPr>
          <w:rFonts w:ascii="Calibri" w:hAnsi="Calibri"/>
          <w:color w:val="1E293B"/>
        </w:rPr>
        <w:t xml:space="preserve">, </w:t>
      </w:r>
      <w:r>
        <w:rPr>
          <w:rFonts w:ascii="Consolas" w:hAnsi="Consolas"/>
          <w:color w:val="0F766E"/>
          <w:sz w:val="19"/>
        </w:rPr>
        <w:t>bmi</w:t>
      </w:r>
      <w:r>
        <w:rPr>
          <w:rFonts w:ascii="Calibri" w:hAnsi="Calibri"/>
          <w:color w:val="1E293B"/>
        </w:rPr>
        <w:t xml:space="preserve">, </w:t>
      </w:r>
      <w:r>
        <w:rPr>
          <w:rFonts w:ascii="Consolas" w:hAnsi="Consolas"/>
          <w:color w:val="0F766E"/>
          <w:sz w:val="19"/>
        </w:rPr>
        <w:t>fasting_glucose</w:t>
      </w:r>
      <w:r>
        <w:rPr>
          <w:rFonts w:ascii="Calibri" w:hAnsi="Calibri"/>
          <w:color w:val="1E293B"/>
        </w:rPr>
        <w:t xml:space="preserve">, </w:t>
      </w:r>
      <w:r>
        <w:rPr>
          <w:rFonts w:ascii="Consolas" w:hAnsi="Consolas"/>
          <w:color w:val="0F766E"/>
          <w:sz w:val="19"/>
        </w:rPr>
        <w:t>total_cholesterol</w:t>
      </w:r>
      <w:r>
        <w:rPr>
          <w:rFonts w:ascii="Calibri" w:hAnsi="Calibri"/>
          <w:color w:val="1E293B"/>
        </w:rPr>
        <w:t xml:space="preserve">, </w:t>
      </w:r>
      <w:r>
        <w:rPr>
          <w:rFonts w:ascii="Consolas" w:hAnsi="Consolas"/>
          <w:color w:val="0F766E"/>
          <w:sz w:val="19"/>
        </w:rPr>
        <w:t>serum_creatinine</w:t>
      </w:r>
      <w:r>
        <w:rPr>
          <w:rFonts w:ascii="Calibri" w:hAnsi="Calibri"/>
          <w:color w:val="1E293B"/>
        </w:rPr>
        <w:t xml:space="preserve">, </w:t>
      </w:r>
      <w:r>
        <w:rPr>
          <w:rFonts w:ascii="Consolas" w:hAnsi="Consolas"/>
          <w:color w:val="0F766E"/>
          <w:sz w:val="19"/>
        </w:rPr>
        <w:t>risk_score</w:t>
      </w:r>
      <w:r>
        <w:rPr>
          <w:rFonts w:ascii="Calibri" w:hAnsi="Calibri"/>
          <w:color w:val="1E293B"/>
        </w:rPr>
        <w:t xml:space="preserve">), K-Means partitions </w:t>
      </w:r>
      <w:r>
        <w:rPr>
          <w:i/>
          <w:color w:val="1E293B"/>
        </w:rPr>
        <w:t>N</w:t>
      </w:r>
      <w:r>
        <w:rPr>
          <w:rFonts w:ascii="Calibri" w:hAnsi="Calibri"/>
          <w:color w:val="1E293B"/>
        </w:rPr>
        <w:t xml:space="preserve"> observations into </w:t>
      </w:r>
      <w:r>
        <w:rPr>
          <w:i/>
          <w:color w:val="1E293B"/>
        </w:rPr>
        <w:t>K</w:t>
      </w:r>
      <w:r>
        <w:rPr>
          <w:rFonts w:ascii="Calibri" w:hAnsi="Calibri"/>
          <w:color w:val="1E293B"/>
        </w:rPr>
        <w:t xml:space="preserve"> disjoint clusters </w:t>
      </w:r>
      <w:r>
        <w:rPr>
          <w:i/>
          <w:color w:val="1E293B"/>
        </w:rPr>
        <w:t>S = \{S_1, S_2, \dots, S_K\}</w:t>
      </w:r>
      <w:r>
        <w:rPr>
          <w:rFonts w:ascii="Calibri" w:hAnsi="Calibri"/>
          <w:color w:val="1E293B"/>
        </w:rPr>
        <w:t xml:space="preserve"> by minimizing the Within-Cluster Sum of Squares (Inertia):</w:t>
      </w:r>
    </w:p>
    <w:p>
      <w:pPr>
        <w:spacing w:line="283" w:lineRule="auto" w:after="120"/>
      </w:pPr>
      <w:r>
        <w:rPr>
          <w:i/>
          <w:color w:val="1E293B"/>
        </w:rPr>
      </w:r>
      <w:r>
        <w:rPr>
          <w:rFonts w:ascii="Calibri" w:hAnsi="Calibri"/>
          <w:color w:val="1E293B"/>
        </w:rPr>
        <w:t>\text{WCSS} = \sum_{k=1}^K \sum_{\mathbf{x} \in S_k} \|\mathbf{x} - \boldsymbol{\mu}_k\|_2^2</w:t>
      </w:r>
      <w:r>
        <w:rPr>
          <w:i/>
          <w:color w:val="1E293B"/>
        </w:rPr>
      </w:r>
    </w:p>
    <w:p>
      <w:pPr>
        <w:spacing w:line="283" w:lineRule="auto" w:after="120"/>
      </w:pPr>
      <w:r>
        <w:rPr>
          <w:rFonts w:ascii="Calibri" w:hAnsi="Calibri"/>
          <w:color w:val="1E293B"/>
        </w:rPr>
        <w:t xml:space="preserve">where </w:t>
      </w:r>
      <w:r>
        <w:rPr>
          <w:i/>
          <w:color w:val="1E293B"/>
        </w:rPr>
        <w:t>\boldsymbol{\mu}_k = \frac{1}{|S_k|} \sum_{\mathbf{x} \in S_k} \mathbf{x}</w:t>
      </w:r>
      <w:r>
        <w:rPr>
          <w:rFonts w:ascii="Calibri" w:hAnsi="Calibri"/>
          <w:color w:val="1E293B"/>
        </w:rPr>
        <w:t xml:space="preserve"> is the centroid of cluster </w:t>
      </w:r>
      <w:r>
        <w:rPr>
          <w:i/>
          <w:color w:val="1E293B"/>
        </w:rPr>
        <w:t>S_k</w:t>
      </w:r>
      <w:r>
        <w:rPr>
          <w:rFonts w:ascii="Calibri" w:hAnsi="Calibri"/>
          <w:color w:val="1E293B"/>
        </w:rPr>
        <w:t>.</w:t>
      </w:r>
    </w:p>
    <w:p>
      <w:pPr>
        <w:pStyle w:val="Heading3"/>
        <w:keepNext/>
        <w:spacing w:before="280" w:after="80"/>
      </w:pPr>
      <w:r>
        <w:rPr>
          <w:rFonts w:ascii="Calibri" w:hAnsi="Calibri"/>
          <w:b/>
          <w:color w:val="0F172A"/>
          <w:sz w:val="24"/>
        </w:rPr>
        <w:t>8.3 Cluster Validation: Elbow Method &amp; Silhouette Analysis</w:t>
      </w:r>
    </w:p>
    <w:p>
      <w:pPr>
        <w:spacing w:line="283" w:lineRule="auto" w:after="60"/>
        <w:ind w:left="360"/>
      </w:pPr>
      <w:r>
        <w:rPr>
          <w:rFonts w:ascii="Calibri" w:hAnsi="Calibri"/>
          <w:b/>
          <w:color w:val="0E7490"/>
        </w:rPr>
        <w:t xml:space="preserve">•  </w:t>
      </w:r>
      <w:r>
        <w:rPr>
          <w:b/>
          <w:color w:val="0F172A"/>
        </w:rPr>
        <w:t>Elbow Method:</w:t>
      </w:r>
      <w:r>
        <w:rPr>
          <w:rFonts w:ascii="Calibri" w:hAnsi="Calibri"/>
          <w:color w:val="1E293B"/>
        </w:rPr>
        <w:t xml:space="preserve"> Inertia was plotted across </w:t>
      </w:r>
      <w:r>
        <w:rPr>
          <w:i/>
          <w:color w:val="1E293B"/>
        </w:rPr>
        <w:t>K \in [2, 7]</w:t>
      </w:r>
      <w:r>
        <w:rPr>
          <w:rFonts w:ascii="Calibri" w:hAnsi="Calibri"/>
          <w:color w:val="1E293B"/>
        </w:rPr>
        <w:t xml:space="preserve">. A distinct inflection point ("elbow") occurred at </w:t>
      </w:r>
      <w:r>
        <w:rPr>
          <w:i/>
          <w:color w:val="1E293B"/>
        </w:rPr>
        <w:t>K = 4</w:t>
      </w:r>
      <w:r>
        <w:rPr>
          <w:rFonts w:ascii="Calibri" w:hAnsi="Calibri"/>
          <w:color w:val="1E293B"/>
        </w:rPr>
        <w:t>, beyond which within-cluster variance reduction diminished.</w:t>
      </w:r>
    </w:p>
    <w:p>
      <w:pPr>
        <w:spacing w:line="283" w:lineRule="auto" w:after="60"/>
        <w:ind w:left="360"/>
      </w:pPr>
      <w:r>
        <w:rPr>
          <w:rFonts w:ascii="Calibri" w:hAnsi="Calibri"/>
          <w:b/>
          <w:color w:val="0E7490"/>
        </w:rPr>
        <w:t xml:space="preserve">•  </w:t>
      </w:r>
      <w:r>
        <w:rPr>
          <w:b/>
          <w:color w:val="0F172A"/>
        </w:rPr>
        <w:t>Silhouette Coefficient:</w:t>
      </w:r>
      <w:r>
        <w:rPr>
          <w:rFonts w:ascii="Calibri" w:hAnsi="Calibri"/>
          <w:color w:val="1E293B"/>
        </w:rPr>
        <w:t xml:space="preserve"> Measures how well-separated cluster boundaries are:</w:t>
      </w:r>
    </w:p>
    <w:p>
      <w:pPr>
        <w:spacing w:line="283" w:lineRule="auto" w:after="120"/>
      </w:pPr>
      <w:r>
        <w:rPr>
          <w:i/>
          <w:color w:val="1E293B"/>
        </w:rPr>
      </w:r>
      <w:r>
        <w:rPr>
          <w:rFonts w:ascii="Calibri" w:hAnsi="Calibri"/>
          <w:color w:val="1E293B"/>
        </w:rPr>
        <w:t>s(i) = \frac{b(i) - a(i)}{\max(a(i), b(i))}</w:t>
      </w:r>
      <w:r>
        <w:rPr>
          <w:i/>
          <w:color w:val="1E293B"/>
        </w:rPr>
      </w:r>
    </w:p>
    <w:p>
      <w:pPr>
        <w:spacing w:line="283" w:lineRule="auto" w:after="120"/>
      </w:pPr>
      <w:r>
        <w:rPr>
          <w:rFonts w:ascii="Calibri" w:hAnsi="Calibri"/>
          <w:color w:val="1E293B"/>
        </w:rPr>
        <w:t xml:space="preserve">where </w:t>
      </w:r>
      <w:r>
        <w:rPr>
          <w:i/>
          <w:color w:val="1E293B"/>
        </w:rPr>
        <w:t>a(i)</w:t>
      </w:r>
      <w:r>
        <w:rPr>
          <w:rFonts w:ascii="Calibri" w:hAnsi="Calibri"/>
          <w:color w:val="1E293B"/>
        </w:rPr>
        <w:t xml:space="preserve"> is mean intra-cluster distance and </w:t>
      </w:r>
      <w:r>
        <w:rPr>
          <w:i/>
          <w:color w:val="1E293B"/>
        </w:rPr>
        <w:t>b(i)</w:t>
      </w:r>
      <w:r>
        <w:rPr>
          <w:rFonts w:ascii="Calibri" w:hAnsi="Calibri"/>
          <w:color w:val="1E293B"/>
        </w:rPr>
        <w:t xml:space="preserve"> is mean nearest-cluster distance. The Silhouette score peaked at positive values, confirming cohesive clusters.</w:t>
      </w:r>
    </w:p>
    <w:p>
      <w:pPr>
        <w:pStyle w:val="Heading3"/>
        <w:keepNext/>
        <w:spacing w:before="280" w:after="80"/>
      </w:pPr>
      <w:r>
        <w:rPr>
          <w:rFonts w:ascii="Calibri" w:hAnsi="Calibri"/>
          <w:b/>
          <w:color w:val="0F172A"/>
          <w:sz w:val="24"/>
        </w:rPr>
        <w:t>8.4 Principal Component Analysis (2D &amp; 3D Projections)</w:t>
      </w:r>
    </w:p>
    <w:p>
      <w:pPr>
        <w:spacing w:line="283" w:lineRule="auto" w:after="120"/>
      </w:pPr>
      <w:r>
        <w:rPr>
          <w:rFonts w:ascii="Calibri" w:hAnsi="Calibri"/>
          <w:color w:val="1E293B"/>
        </w:rPr>
        <w:t xml:space="preserve">Because clinical vitals span 7 continuous dimensions, HealthPulse employs </w:t>
      </w:r>
      <w:r>
        <w:rPr>
          <w:b/>
          <w:color w:val="0F172A"/>
        </w:rPr>
        <w:t>Principal Component Analysis (PCA)</w:t>
      </w:r>
      <w:r>
        <w:rPr>
          <w:rFonts w:ascii="Calibri" w:hAnsi="Calibri"/>
          <w:color w:val="1E293B"/>
        </w:rPr>
        <w:t xml:space="preserve"> to project high-dimensional data onto orthogonal axes of maximum variance:</w:t>
      </w:r>
    </w:p>
    <w:p>
      <w:pPr>
        <w:spacing w:line="283" w:lineRule="auto" w:after="60"/>
        <w:ind w:left="360"/>
      </w:pPr>
      <w:r>
        <w:rPr>
          <w:rFonts w:ascii="Calibri" w:hAnsi="Calibri"/>
          <w:b/>
          <w:color w:val="0E7490"/>
        </w:rPr>
        <w:t xml:space="preserve">•  </w:t>
      </w:r>
      <w:r>
        <w:rPr>
          <w:b/>
          <w:color w:val="0F172A"/>
        </w:rPr>
        <w:t>PC1 (28.2% variance):</w:t>
      </w:r>
      <w:r>
        <w:rPr>
          <w:rFonts w:ascii="Calibri" w:hAnsi="Calibri"/>
          <w:color w:val="1E293B"/>
        </w:rPr>
        <w:t xml:space="preserve"> Represents metabolic-cardiovascular degradation (hemodynamics, glucose, risk score).</w:t>
      </w:r>
    </w:p>
    <w:p>
      <w:pPr>
        <w:spacing w:line="283" w:lineRule="auto" w:after="60"/>
        <w:ind w:left="360"/>
      </w:pPr>
      <w:r>
        <w:rPr>
          <w:rFonts w:ascii="Calibri" w:hAnsi="Calibri"/>
          <w:b/>
          <w:color w:val="0E7490"/>
        </w:rPr>
        <w:t xml:space="preserve">•  </w:t>
      </w:r>
      <w:r>
        <w:rPr>
          <w:b/>
          <w:color w:val="0F172A"/>
        </w:rPr>
        <w:t>PC2 (18.6% variance):</w:t>
      </w:r>
      <w:r>
        <w:rPr>
          <w:rFonts w:ascii="Calibri" w:hAnsi="Calibri"/>
          <w:color w:val="1E293B"/>
        </w:rPr>
        <w:t xml:space="preserve"> Represents age-related degenerative decline (age, creatinine).</w:t>
      </w:r>
    </w:p>
    <w:p>
      <w:pPr>
        <w:spacing w:line="283" w:lineRule="auto" w:after="60"/>
        <w:ind w:left="360"/>
      </w:pPr>
      <w:r>
        <w:rPr>
          <w:rFonts w:ascii="Calibri" w:hAnsi="Calibri"/>
          <w:b/>
          <w:color w:val="0E7490"/>
        </w:rPr>
        <w:t xml:space="preserve">•  </w:t>
      </w:r>
      <w:r>
        <w:rPr>
          <w:b/>
          <w:color w:val="0F172A"/>
        </w:rPr>
        <w:t>PC3 (14.1% variance):</w:t>
      </w:r>
      <w:r>
        <w:rPr>
          <w:rFonts w:ascii="Calibri" w:hAnsi="Calibri"/>
          <w:color w:val="1E293B"/>
        </w:rPr>
        <w:t xml:space="preserve"> Represents lipid-adipose imbalance (BMI, cholesterol).</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360"/>
      </w:tblGrid>
      <w:tr>
        <w:tc>
          <w:tcPr>
            <w:tcW w:type="dxa" w:w="9360"/>
            <w:shd w:fill="F1F5F9"/>
            <w:tcMar>
              <w:top w:w="140" w:type="dxa"/>
              <w:bottom w:w="140" w:type="dxa"/>
              <w:left w:w="200" w:type="dxa"/>
              <w:right w:w="200" w:type="dxa"/>
            </w:tcMar>
          </w:tcPr>
          <w:p>
            <w:pPr>
              <w:spacing w:before="40" w:after="40" w:line="240" w:lineRule="auto"/>
            </w:pPr>
            <w:r>
              <w:rPr>
                <w:rFonts w:ascii="Consolas" w:hAnsi="Consolas"/>
                <w:color w:val="0F172A"/>
                <w:sz w:val="17"/>
              </w:rPr>
              <w:t>Principal Component 2 (PC2: Age &amp; Renal Stiffening)</w:t>
              <w:br/>
              <w:t xml:space="preserve">     ^</w:t>
              <w:br/>
              <w:t xml:space="preserve"> 3.0 |                         (Cluster 1: Cohort D - Severe Multimorbid)</w:t>
              <w:br/>
              <w:t xml:space="preserve"> 2.0 |                                 o   o  o o o</w:t>
              <w:br/>
              <w:t xml:space="preserve"> 1.0 |                               o   o o o o o</w:t>
              <w:br/>
              <w:t xml:space="preserve"> 0.0 |               (Cluster 0: Cohort B)            (Cluster 2: Cohort C - CVD Risk)</w:t>
              <w:br/>
              <w:t>-1.0 |                   x  x x x x                         +  + + + +</w:t>
              <w:br/>
              <w:t>-2.0 |                 x  x x x x x                       +  + + + + + +</w:t>
              <w:br/>
              <w:t>-3.0 |     (Cluster 3: Cohort A - Low Risk)</w:t>
              <w:br/>
              <w:t>-4.0 |           *   * * * *</w:t>
              <w:br/>
              <w:t xml:space="preserve">     +------------------------------------------------------------------------&gt;</w:t>
              <w:br/>
              <w:t xml:space="preserve">       -4.0        -2.0         0.0          2.0          4.0          6.0</w:t>
              <w:br/>
              <w:t xml:space="preserve">                         Principal Component 1 (PC1: Metabolic Severity)</w:t>
            </w:r>
          </w:p>
        </w:tc>
      </w:tr>
    </w:tbl>
    <w:p>
      <w:pPr>
        <w:spacing w:after="80"/>
      </w:pPr>
    </w:p>
    <w:p>
      <w:pPr>
        <w:pStyle w:val="Heading3"/>
        <w:keepNext/>
        <w:spacing w:before="280" w:after="80"/>
      </w:pPr>
      <w:r>
        <w:rPr>
          <w:rFonts w:ascii="Calibri" w:hAnsi="Calibri"/>
          <w:b/>
          <w:color w:val="0F172A"/>
          <w:sz w:val="24"/>
        </w:rPr>
        <w:t>8.5 In-Depth Clinical Cohort Profiling</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360"/>
      </w:tblGrid>
      <w:tr>
        <w:tc>
          <w:tcPr>
            <w:tcW w:type="dxa" w:w="9360"/>
            <w:shd w:fill="F1F5F9"/>
            <w:tcMar>
              <w:top w:w="140" w:type="dxa"/>
              <w:bottom w:w="140" w:type="dxa"/>
              <w:left w:w="200" w:type="dxa"/>
              <w:right w:w="200" w:type="dxa"/>
            </w:tcMar>
          </w:tcPr>
          <w:p>
            <w:pPr>
              <w:spacing w:before="40" w:after="40" w:line="240" w:lineRule="auto"/>
            </w:pPr>
            <w:r>
              <w:rPr>
                <w:rFonts w:ascii="Consolas" w:hAnsi="Consolas"/>
                <w:color w:val="0F172A"/>
                <w:sz w:val="17"/>
              </w:rPr>
              <w:t>+------------------------------------------------------------------------------------------------------------------+</w:t>
              <w:br/>
              <w:t>| Cohort Identifier | Clinical Label &amp; Profile Definition       | Mean Vitals &amp; Cost Profile       | CVD%  | Size  |</w:t>
              <w:br/>
              <w:t>+------------------------------------------------------------------------------------------------------------------+</w:t>
              <w:br/>
              <w:t>| Cluster 3         | Cohort A: Low-Risk / Healthy Young        | Age: 36.6 yrs | BP: 120/75 mmHg  |  8.4% |  852  |</w:t>
              <w:br/>
              <w:t>|                   | Baseline vital profile, non-smokers,       | Sugar: 98.2   | Cost: $845.20    |       |       |</w:t>
              <w:br/>
              <w:t>|                   | active lifestyle, minimal medication.     |                                  |       |       |</w:t>
              <w:br/>
              <w:t>+------------------------------------------------------------------------------------------------------------------+</w:t>
              <w:br/>
              <w:t>| Cluster 0         | Cohort B: Pre-Hypertensive Metabolic Watch| Age: 53.3 yrs | BP: 138/86 mmHg  | 38.2% | 1,024 |</w:t>
              <w:br/>
              <w:t>|                   | Moderate BMI (28.4), borderline fasting    | Sugar: 124.5  | Cost: $2,140.50  |       |       |</w:t>
              <w:br/>
              <w:t>|                   | sugar, candidate for lifestyle therapy.   |                                  |       |       |</w:t>
              <w:br/>
              <w:t>+------------------------------------------------------------------------------------------------------------------+</w:t>
              <w:br/>
              <w:t>| Cluster 2         | Cohort C: Moderate Cardiovascular Risk    | Age: 49.2 yrs | BP: 144/90 mmHg  | 56.4% |  914  |</w:t>
              <w:br/>
              <w:t>|                   | Elevated lipids (Chol: 235), smoker subset,| Sugar: 136.8  | Cost: $3,450.80  |       |       |</w:t>
              <w:br/>
              <w:t>|                   | developing ischemic heart disease risk.   |                                  |       |       |</w:t>
              <w:br/>
              <w:t>+------------------------------------------------------------------------------------------------------------------+</w:t>
              <w:br/>
              <w:t>| Cluster 1         | Cohort D: High-Risk Multimorbid Inpatients| Age: 68.3 yrs | BP: 162/98 mmHg  | 84.7% |  710  |</w:t>
              <w:br/>
              <w:t>|                   | Severe multimorbidity (HTN+DM+CKD),       | Sugar: 184.2  | Cost: $6,890.10  |       |       |</w:t>
              <w:br/>
              <w:t>|                   | prolonged inpatient stay, renal decline.  |                                  |       |       |</w:t>
              <w:br/>
              <w:t>+------------------------------------------------------------------------------------------------------------------+</w:t>
            </w:r>
          </w:p>
        </w:tc>
      </w:tr>
    </w:tbl>
    <w:p>
      <w:pPr>
        <w:spacing w:after="80"/>
      </w:pPr>
    </w:p>
    <w:p>
      <w:pPr>
        <w:spacing w:before="160" w:after="160"/>
      </w:pPr>
    </w:p>
    <w:p>
      <w:r>
        <w:br w:type="page"/>
      </w:r>
    </w:p>
    <w:p>
      <w:pPr>
        <w:pStyle w:val="Heading2"/>
        <w:keepNext/>
        <w:spacing w:before="280" w:after="120"/>
      </w:pPr>
      <w:r>
        <w:rPr>
          <w:rFonts w:ascii="Calibri" w:hAnsi="Calibri"/>
          <w:b/>
          <w:color w:val="1E3A8A"/>
          <w:sz w:val="28"/>
        </w:rPr>
        <w:t>Chapter 9: Association Rule Mining - Comorbidity Discovery</w:t>
      </w:r>
    </w:p>
    <w:p>
      <w:pPr>
        <w:pStyle w:val="Heading3"/>
        <w:keepNext/>
        <w:spacing w:before="280" w:after="80"/>
      </w:pPr>
      <w:r>
        <w:rPr>
          <w:rFonts w:ascii="Calibri" w:hAnsi="Calibri"/>
          <w:b/>
          <w:color w:val="0F172A"/>
          <w:sz w:val="24"/>
        </w:rPr>
        <w:t>9.1 Comorbidity Dynamics in Chronic Disease Management</w:t>
      </w:r>
    </w:p>
    <w:p>
      <w:pPr>
        <w:spacing w:line="283" w:lineRule="auto" w:after="120"/>
      </w:pPr>
      <w:r>
        <w:rPr>
          <w:rFonts w:ascii="Calibri" w:hAnsi="Calibri"/>
          <w:color w:val="1E293B"/>
        </w:rPr>
        <w:t>While supervised models predict a single target, Association Rule Mining explores simultaneous co-occurrences of multiple clinical symptoms, lab anomalies, and disease outcomes.</w:t>
      </w:r>
    </w:p>
    <w:p>
      <w:pPr>
        <w:pStyle w:val="Heading3"/>
        <w:keepNext/>
        <w:spacing w:before="280" w:after="80"/>
      </w:pPr>
      <w:r>
        <w:rPr>
          <w:rFonts w:ascii="Calibri" w:hAnsi="Calibri"/>
          <w:b/>
          <w:color w:val="0F172A"/>
          <w:sz w:val="24"/>
        </w:rPr>
        <w:t>9.2 The Apriori Algorithm &amp; Downward-Closure Property</w:t>
      </w:r>
    </w:p>
    <w:p>
      <w:pPr>
        <w:spacing w:line="283" w:lineRule="auto" w:after="120"/>
      </w:pPr>
      <w:r>
        <w:rPr>
          <w:rFonts w:ascii="Calibri" w:hAnsi="Calibri"/>
          <w:color w:val="1E293B"/>
        </w:rPr>
        <w:t xml:space="preserve">The Apriori algorithm relies on the </w:t>
      </w:r>
      <w:r>
        <w:rPr>
          <w:b/>
          <w:color w:val="0F172A"/>
        </w:rPr>
        <w:t>Downward-Closure Property</w:t>
      </w:r>
      <w:r>
        <w:rPr>
          <w:rFonts w:ascii="Calibri" w:hAnsi="Calibri"/>
          <w:color w:val="1E293B"/>
        </w:rPr>
        <w:t>:</w:t>
      </w:r>
    </w:p>
    <w:p>
      <w:pPr>
        <w:spacing w:line="283" w:lineRule="auto" w:after="120"/>
        <w:ind w:left="576" w:right="288"/>
      </w:pPr>
      <w:r>
        <w:rPr>
          <w:i/>
          <w:color w:val="334155"/>
        </w:rPr>
        <w:t>If an itemset is frequent, all of its subsets must also be frequent. Conversely, if an itemset is infrequent, all of its supersets will inevitably be infrequent and are pruned from candidate generation.</w:t>
      </w:r>
    </w:p>
    <w:p>
      <w:pPr>
        <w:spacing w:line="283" w:lineRule="auto" w:after="120"/>
      </w:pPr>
      <w:r>
        <w:rPr>
          <w:rFonts w:ascii="Calibri" w:hAnsi="Calibri"/>
          <w:color w:val="1E293B"/>
        </w:rPr>
        <w:t>HealthPulse converts patient assessment records into discrete boolean clinical transaction baskets:</w:t>
      </w:r>
    </w:p>
    <w:p>
      <w:pPr>
        <w:spacing w:line="283" w:lineRule="auto" w:after="120"/>
      </w:pPr>
      <w:r>
        <w:rPr>
          <w:i/>
          <w:color w:val="1E293B"/>
        </w:rPr>
      </w:r>
      <w:r>
        <w:rPr>
          <w:rFonts w:ascii="Calibri" w:hAnsi="Calibri"/>
          <w:color w:val="1E293B"/>
        </w:rPr>
        <w:t>\text{Basket}_i = \left\{ \text{Elderly}, \text{High\_BP}, \text{High\_Glucose}, \text{Obese}, \text{Smoker}, \text{Heart\_Disease}, \text{Diabetes}, \text{CKD} \right\}</w:t>
      </w:r>
      <w:r>
        <w:rPr>
          <w:i/>
          <w:color w:val="1E293B"/>
        </w:rPr>
      </w:r>
    </w:p>
    <w:p>
      <w:pPr>
        <w:pStyle w:val="Heading3"/>
        <w:keepNext/>
        <w:spacing w:before="280" w:after="80"/>
      </w:pPr>
      <w:r>
        <w:rPr>
          <w:rFonts w:ascii="Calibri" w:hAnsi="Calibri"/>
          <w:b/>
          <w:color w:val="0F172A"/>
          <w:sz w:val="24"/>
        </w:rPr>
        <w:t>9.3 Mathematical Formulations: Support, Confidence, Lift</w:t>
      </w:r>
    </w:p>
    <w:p>
      <w:pPr>
        <w:pStyle w:val="Heading4"/>
        <w:keepNext/>
        <w:spacing w:before="200" w:after="40"/>
      </w:pPr>
      <w:r>
        <w:rPr>
          <w:rFonts w:ascii="Calibri" w:hAnsi="Calibri"/>
          <w:b/>
          <w:color w:val="475569"/>
          <w:sz w:val="22"/>
        </w:rPr>
        <w:t>1. Support</w:t>
      </w:r>
    </w:p>
    <w:p>
      <w:pPr>
        <w:spacing w:line="283" w:lineRule="auto" w:after="120"/>
      </w:pPr>
      <w:r>
        <w:rPr>
          <w:rFonts w:ascii="Calibri" w:hAnsi="Calibri"/>
          <w:color w:val="1E293B"/>
        </w:rPr>
        <w:t xml:space="preserve">The proportion of total patient transactions containing itemset </w:t>
      </w:r>
      <w:r>
        <w:rPr>
          <w:i/>
          <w:color w:val="1E293B"/>
        </w:rPr>
        <w:t>X</w:t>
      </w:r>
      <w:r>
        <w:rPr>
          <w:rFonts w:ascii="Calibri" w:hAnsi="Calibri"/>
          <w:color w:val="1E293B"/>
        </w:rPr>
        <w:t>:</w:t>
      </w:r>
    </w:p>
    <w:p>
      <w:pPr>
        <w:spacing w:line="283" w:lineRule="auto" w:after="120"/>
      </w:pPr>
      <w:r>
        <w:rPr>
          <w:i/>
          <w:color w:val="1E293B"/>
        </w:rPr>
      </w:r>
      <w:r>
        <w:rPr>
          <w:rFonts w:ascii="Calibri" w:hAnsi="Calibri"/>
          <w:color w:val="1E293B"/>
        </w:rPr>
        <w:t>\text{Support}(X) = \frac{\text{Count}(X)}{N} = P(X)</w:t>
      </w:r>
      <w:r>
        <w:rPr>
          <w:i/>
          <w:color w:val="1E293B"/>
        </w:rPr>
      </w:r>
    </w:p>
    <w:p>
      <w:pPr>
        <w:pStyle w:val="Heading4"/>
        <w:keepNext/>
        <w:spacing w:before="200" w:after="40"/>
      </w:pPr>
      <w:r>
        <w:rPr>
          <w:rFonts w:ascii="Calibri" w:hAnsi="Calibri"/>
          <w:b/>
          <w:color w:val="475569"/>
          <w:sz w:val="22"/>
        </w:rPr>
        <w:t>2. Confidence</w:t>
      </w:r>
    </w:p>
    <w:p>
      <w:pPr>
        <w:spacing w:line="283" w:lineRule="auto" w:after="120"/>
      </w:pPr>
      <w:r>
        <w:rPr>
          <w:rFonts w:ascii="Calibri" w:hAnsi="Calibri"/>
          <w:color w:val="1E293B"/>
        </w:rPr>
        <w:t xml:space="preserve">The conditional probability that an assessment contains consequent </w:t>
      </w:r>
      <w:r>
        <w:rPr>
          <w:i/>
          <w:color w:val="1E293B"/>
        </w:rPr>
        <w:t>Y</w:t>
      </w:r>
      <w:r>
        <w:rPr>
          <w:rFonts w:ascii="Calibri" w:hAnsi="Calibri"/>
          <w:color w:val="1E293B"/>
        </w:rPr>
        <w:t xml:space="preserve">, given antecedent </w:t>
      </w:r>
      <w:r>
        <w:rPr>
          <w:i/>
          <w:color w:val="1E293B"/>
        </w:rPr>
        <w:t>X</w:t>
      </w:r>
      <w:r>
        <w:rPr>
          <w:rFonts w:ascii="Calibri" w:hAnsi="Calibri"/>
          <w:color w:val="1E293B"/>
        </w:rPr>
        <w:t>:</w:t>
      </w:r>
    </w:p>
    <w:p>
      <w:pPr>
        <w:spacing w:line="283" w:lineRule="auto" w:after="120"/>
      </w:pPr>
      <w:r>
        <w:rPr>
          <w:i/>
          <w:color w:val="1E293B"/>
        </w:rPr>
      </w:r>
      <w:r>
        <w:rPr>
          <w:rFonts w:ascii="Calibri" w:hAnsi="Calibri"/>
          <w:color w:val="1E293B"/>
        </w:rPr>
        <w:t>\text{Confidence}(X \Longrightarrow Y) = \frac{\text{Support}(X \cup Y)}{\text{Support}(X)} = P(Y \mid X)</w:t>
      </w:r>
      <w:r>
        <w:rPr>
          <w:i/>
          <w:color w:val="1E293B"/>
        </w:rPr>
      </w:r>
    </w:p>
    <w:p>
      <w:pPr>
        <w:pStyle w:val="Heading4"/>
        <w:keepNext/>
        <w:spacing w:before="200" w:after="40"/>
      </w:pPr>
      <w:r>
        <w:rPr>
          <w:rFonts w:ascii="Calibri" w:hAnsi="Calibri"/>
          <w:b/>
          <w:color w:val="475569"/>
          <w:sz w:val="22"/>
        </w:rPr>
        <w:t>3. Lift</w:t>
      </w:r>
    </w:p>
    <w:p>
      <w:pPr>
        <w:spacing w:line="283" w:lineRule="auto" w:after="120"/>
      </w:pPr>
      <w:r>
        <w:rPr>
          <w:rFonts w:ascii="Calibri" w:hAnsi="Calibri"/>
          <w:color w:val="1E293B"/>
        </w:rPr>
        <w:t>The ratio of observed co-occurrence to the expected co-occurrence under statistical independence:</w:t>
      </w:r>
    </w:p>
    <w:p>
      <w:pPr>
        <w:spacing w:line="283" w:lineRule="auto" w:after="120"/>
      </w:pPr>
      <w:r>
        <w:rPr>
          <w:i/>
          <w:color w:val="1E293B"/>
        </w:rPr>
      </w:r>
      <w:r>
        <w:rPr>
          <w:rFonts w:ascii="Calibri" w:hAnsi="Calibri"/>
          <w:color w:val="1E293B"/>
        </w:rPr>
        <w:t>\text{Lift}(X \Longrightarrow Y) = \frac{\text{Confidence}(X \Longrightarrow Y)}{\text{Support}(Y)} = \frac{P(X \cup Y)}{P(X) \cdot P(Y)}</w:t>
      </w:r>
      <w:r>
        <w:rPr>
          <w:i/>
          <w:color w:val="1E293B"/>
        </w:rPr>
      </w:r>
    </w:p>
    <w:p>
      <w:pPr>
        <w:spacing w:line="283" w:lineRule="auto" w:after="60"/>
        <w:ind w:left="360"/>
      </w:pPr>
      <w:r>
        <w:rPr>
          <w:rFonts w:ascii="Calibri" w:hAnsi="Calibri"/>
          <w:b/>
          <w:color w:val="0E7490"/>
        </w:rPr>
        <w:t xml:space="preserve">•  </w:t>
      </w:r>
      <w:r>
        <w:rPr>
          <w:i/>
          <w:color w:val="1E293B"/>
        </w:rPr>
        <w:t>\text{Lift} = 1.0</w:t>
      </w:r>
      <w:r>
        <w:rPr>
          <w:rFonts w:ascii="Calibri" w:hAnsi="Calibri"/>
          <w:color w:val="1E293B"/>
        </w:rPr>
        <w:t xml:space="preserve">: </w:t>
      </w:r>
      <w:r>
        <w:rPr>
          <w:i/>
          <w:color w:val="1E293B"/>
        </w:rPr>
        <w:t>X</w:t>
      </w:r>
      <w:r>
        <w:rPr>
          <w:rFonts w:ascii="Calibri" w:hAnsi="Calibri"/>
          <w:color w:val="1E293B"/>
        </w:rPr>
        <w:t xml:space="preserve"> and </w:t>
      </w:r>
      <w:r>
        <w:rPr>
          <w:i/>
          <w:color w:val="1E293B"/>
        </w:rPr>
        <w:t>Y</w:t>
      </w:r>
      <w:r>
        <w:rPr>
          <w:rFonts w:ascii="Calibri" w:hAnsi="Calibri"/>
          <w:color w:val="1E293B"/>
        </w:rPr>
        <w:t xml:space="preserve"> are completely independent.</w:t>
      </w:r>
    </w:p>
    <w:p>
      <w:pPr>
        <w:spacing w:line="283" w:lineRule="auto" w:after="60"/>
        <w:ind w:left="360"/>
      </w:pPr>
      <w:r>
        <w:rPr>
          <w:rFonts w:ascii="Calibri" w:hAnsi="Calibri"/>
          <w:b/>
          <w:color w:val="0E7490"/>
        </w:rPr>
        <w:t xml:space="preserve">•  </w:t>
      </w:r>
      <w:r>
        <w:rPr>
          <w:i/>
          <w:color w:val="1E293B"/>
        </w:rPr>
        <w:t>\text{Lift} &gt; 1.0</w:t>
      </w:r>
      <w:r>
        <w:rPr>
          <w:rFonts w:ascii="Calibri" w:hAnsi="Calibri"/>
          <w:color w:val="1E293B"/>
        </w:rPr>
        <w:t>: Strong positive clinical association.</w:t>
      </w:r>
    </w:p>
    <w:p>
      <w:pPr>
        <w:pStyle w:val="Heading3"/>
        <w:keepNext/>
        <w:spacing w:before="280" w:after="80"/>
      </w:pPr>
      <w:r>
        <w:rPr>
          <w:rFonts w:ascii="Calibri" w:hAnsi="Calibri"/>
          <w:b/>
          <w:color w:val="0F172A"/>
          <w:sz w:val="24"/>
        </w:rPr>
        <w:t>9.4 Analysis of High-Lift Comorbidity Rules</w:t>
      </w:r>
    </w:p>
    <w:p>
      <w:pPr>
        <w:spacing w:line="283" w:lineRule="auto" w:after="120"/>
      </w:pPr>
      <w:r>
        <w:rPr>
          <w:rFonts w:ascii="Calibri" w:hAnsi="Calibri"/>
          <w:color w:val="1E293B"/>
        </w:rPr>
        <w:t xml:space="preserve">Applying </w:t>
      </w:r>
      <w:r>
        <w:rPr>
          <w:i/>
          <w:color w:val="1E293B"/>
        </w:rPr>
        <w:t>\text{min\_support} = 0.08</w:t>
      </w:r>
      <w:r>
        <w:rPr>
          <w:rFonts w:ascii="Calibri" w:hAnsi="Calibri"/>
          <w:color w:val="1E293B"/>
        </w:rPr>
        <w:t xml:space="preserve"> and </w:t>
      </w:r>
      <w:r>
        <w:rPr>
          <w:i/>
          <w:color w:val="1E293B"/>
        </w:rPr>
        <w:t>\text{min\_confidence} = 0.45</w:t>
      </w:r>
      <w:r>
        <w:rPr>
          <w:rFonts w:ascii="Calibri" w:hAnsi="Calibri"/>
          <w:color w:val="1E293B"/>
        </w:rPr>
        <w:t xml:space="preserve"> across 3,500 patient records extracted </w:t>
      </w:r>
      <w:r>
        <w:rPr>
          <w:b/>
          <w:color w:val="0F172A"/>
        </w:rPr>
        <w:t>503 association rules</w:t>
      </w:r>
      <w:r>
        <w:rPr>
          <w:rFonts w:ascii="Calibri" w:hAnsi="Calibri"/>
          <w:color w:val="1E293B"/>
        </w:rPr>
        <w:t>. The top discovered rules ranked by Lift are:</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360"/>
      </w:tblGrid>
      <w:tr>
        <w:tc>
          <w:tcPr>
            <w:tcW w:type="dxa" w:w="9360"/>
            <w:shd w:fill="F1F5F9"/>
            <w:tcMar>
              <w:top w:w="140" w:type="dxa"/>
              <w:bottom w:w="140" w:type="dxa"/>
              <w:left w:w="200" w:type="dxa"/>
              <w:right w:w="200" w:type="dxa"/>
            </w:tcMar>
          </w:tcPr>
          <w:p>
            <w:pPr>
              <w:spacing w:before="40" w:after="40" w:line="240" w:lineRule="auto"/>
            </w:pPr>
            <w:r>
              <w:rPr>
                <w:rFonts w:ascii="Consolas" w:hAnsi="Consolas"/>
                <w:color w:val="0F172A"/>
                <w:sz w:val="17"/>
              </w:rPr>
              <w:t>Rule # | Antecedent Conditions                      | Consequent Diagnosis            | Support | Conf. | Lift</w:t>
              <w:br/>
              <w:t>-------+--------------------------------------------+---------------------------------+---------+-------+------</w:t>
              <w:br/>
              <w:t xml:space="preserve">   1   | {High HbA1c (&gt;=6.5%)}                      | ===&gt; {Heart Disease, Diabetes}  |  0.092  | 0.684 | 4.240</w:t>
              <w:br/>
              <w:t xml:space="preserve">   2   | {Heart Disease, High HbA1c (&gt;=6.5%)}       | ===&gt; {Diabetes, Hypertension}   |  0.088  | 0.712 | 4.099</w:t>
              <w:br/>
              <w:t xml:space="preserve">   3   | {High Fasting Sugar, High Blood Pressure}  | ===&gt; {Heart Disease}            |  0.142  | 0.748 | 3.854</w:t>
              <w:br/>
              <w:t xml:space="preserve">   4   | {Elevated Creatinine, Hypertension}        | ===&gt; {Chronic Kidney Disease}   |  0.104  | 0.695 | 3.120</w:t>
              <w:br/>
              <w:t xml:space="preserve">   5   | {Obese (BMI&gt;=30), Current Smoker}          | ===&gt; {Hypertension}             |  0.165  | 0.782 | 2.640</w:t>
            </w:r>
          </w:p>
        </w:tc>
      </w:tr>
    </w:tbl>
    <w:p>
      <w:pPr>
        <w:spacing w:after="80"/>
      </w:pPr>
    </w:p>
    <w:p>
      <w:pPr>
        <w:pStyle w:val="Heading3"/>
        <w:keepNext/>
        <w:spacing w:before="280" w:after="80"/>
      </w:pPr>
      <w:r>
        <w:rPr>
          <w:rFonts w:ascii="Calibri" w:hAnsi="Calibri"/>
          <w:b/>
          <w:color w:val="0F172A"/>
          <w:sz w:val="24"/>
        </w:rPr>
        <w:t>9.5 Clinical Pathway Recommendations</w:t>
      </w:r>
    </w:p>
    <w:p>
      <w:pPr>
        <w:spacing w:line="283" w:lineRule="auto" w:after="120"/>
      </w:pPr>
      <w:r>
        <w:rPr>
          <w:b/>
          <w:color w:val="0F172A"/>
        </w:rPr>
        <w:t>Rule 1 Analysis ($\text{Lift} = 4.24$):</w:t>
      </w:r>
      <w:r>
        <w:rPr>
          <w:rFonts w:ascii="Calibri" w:hAnsi="Calibri"/>
          <w:color w:val="1E293B"/>
        </w:rPr>
        <w:t xml:space="preserve"> Demonstrates that patients presenting with elevated HbA1c (</w:t>
      </w:r>
      <w:r>
        <w:rPr>
          <w:i/>
          <w:color w:val="1E293B"/>
        </w:rPr>
        <w:t>\ge 6.5\%</w:t>
      </w:r>
      <w:r>
        <w:rPr>
          <w:rFonts w:ascii="Calibri" w:hAnsi="Calibri"/>
          <w:color w:val="1E293B"/>
        </w:rPr>
        <w:t xml:space="preserve">) are </w:t>
      </w:r>
      <w:r>
        <w:rPr>
          <w:b/>
          <w:color w:val="0F172A"/>
        </w:rPr>
        <w:t>4.24 times more likely</w:t>
      </w:r>
      <w:r>
        <w:rPr>
          <w:rFonts w:ascii="Calibri" w:hAnsi="Calibri"/>
          <w:color w:val="1E293B"/>
        </w:rPr>
        <w:t xml:space="preserve"> to suffer from co-occurring diabetes and cardiovascular disease than average outpatients.</w:t>
      </w:r>
    </w:p>
    <w:p>
      <w:pPr>
        <w:spacing w:line="283" w:lineRule="auto" w:after="120"/>
      </w:pPr>
      <w:r>
        <w:rPr>
          <w:i/>
          <w:color w:val="334155"/>
        </w:rPr>
        <w:t>Actionable Clinical Protocol:</w:t>
      </w:r>
      <w:r>
        <w:rPr>
          <w:rFonts w:ascii="Calibri" w:hAnsi="Calibri"/>
          <w:color w:val="1E293B"/>
        </w:rPr>
        <w:t xml:space="preserve"> Hospital triage guidelines were updated to automatically trigger a baseline echocardiogram and cardiology consultation whenever an outpatient's lab panel detects </w:t>
      </w:r>
      <w:r>
        <w:rPr>
          <w:i/>
          <w:color w:val="1E293B"/>
        </w:rPr>
        <w:t>\text{HbA1c} \ge 6.5\%</w:t>
      </w:r>
      <w:r>
        <w:rPr>
          <w:rFonts w:ascii="Calibri" w:hAnsi="Calibri"/>
          <w:color w:val="1E293B"/>
        </w:rPr>
        <w:t>, shifting hospital workflow from reactive emergency treatment to proactive outpatient intervention.</w:t>
      </w:r>
    </w:p>
    <w:p>
      <w:pPr>
        <w:spacing w:before="160" w:after="160"/>
      </w:pPr>
    </w:p>
    <w:p>
      <w:r>
        <w:br w:type="page"/>
      </w:r>
    </w:p>
    <w:p>
      <w:pPr>
        <w:pStyle w:val="Heading2"/>
        <w:keepNext/>
        <w:spacing w:before="280" w:after="120"/>
      </w:pPr>
      <w:r>
        <w:rPr>
          <w:rFonts w:ascii="Calibri" w:hAnsi="Calibri"/>
          <w:b/>
          <w:color w:val="1E3A8A"/>
          <w:sz w:val="28"/>
        </w:rPr>
        <w:t>Chapter 10: Interactive Clinical Decision Support System (Streamlit UI)</w:t>
      </w:r>
    </w:p>
    <w:p>
      <w:pPr>
        <w:pStyle w:val="Heading3"/>
        <w:keepNext/>
        <w:spacing w:before="280" w:after="80"/>
      </w:pPr>
      <w:r>
        <w:rPr>
          <w:rFonts w:ascii="Calibri" w:hAnsi="Calibri"/>
          <w:b/>
          <w:color w:val="0F172A"/>
          <w:sz w:val="24"/>
        </w:rPr>
        <w:t>10.1 UI/UX Architecture for High-Stress Clinical Environments</w:t>
      </w:r>
    </w:p>
    <w:p>
      <w:pPr>
        <w:spacing w:line="283" w:lineRule="auto" w:after="120"/>
      </w:pPr>
      <w:r>
        <w:rPr>
          <w:rFonts w:ascii="Calibri" w:hAnsi="Calibri"/>
          <w:color w:val="1E293B"/>
        </w:rPr>
        <w:t>Physicians and medical directors operate under strict time constraints. The HealthPulse user interface was designed following ergonomic clinical dashboard principles:</w:t>
      </w:r>
    </w:p>
    <w:p>
      <w:pPr>
        <w:spacing w:line="283" w:lineRule="auto" w:after="60"/>
        <w:ind w:left="360"/>
      </w:pPr>
      <w:r>
        <w:rPr>
          <w:rFonts w:ascii="Calibri" w:hAnsi="Calibri"/>
          <w:b/>
          <w:color w:val="0E7490"/>
        </w:rPr>
        <w:t xml:space="preserve">•  </w:t>
      </w:r>
      <w:r>
        <w:rPr>
          <w:b/>
          <w:color w:val="0F172A"/>
        </w:rPr>
        <w:t>Clean Aesthetic:</w:t>
      </w:r>
      <w:r>
        <w:rPr>
          <w:rFonts w:ascii="Calibri" w:hAnsi="Calibri"/>
          <w:color w:val="1E293B"/>
        </w:rPr>
        <w:t xml:space="preserve"> High-contrast teal/navy healthcare color palette with zero extraneous visual clutter.</w:t>
      </w:r>
    </w:p>
    <w:p>
      <w:pPr>
        <w:spacing w:line="283" w:lineRule="auto" w:after="60"/>
        <w:ind w:left="360"/>
      </w:pPr>
      <w:r>
        <w:rPr>
          <w:rFonts w:ascii="Calibri" w:hAnsi="Calibri"/>
          <w:b/>
          <w:color w:val="0E7490"/>
        </w:rPr>
        <w:t xml:space="preserve">•  </w:t>
      </w:r>
      <w:r>
        <w:rPr>
          <w:b/>
          <w:color w:val="0F172A"/>
        </w:rPr>
        <w:t>Instant Latency:</w:t>
      </w:r>
      <w:r>
        <w:rPr>
          <w:rFonts w:ascii="Calibri" w:hAnsi="Calibri"/>
          <w:color w:val="1E293B"/>
        </w:rPr>
        <w:t xml:space="preserve"> Leveraging Streamlit's </w:t>
      </w:r>
      <w:r>
        <w:rPr>
          <w:rFonts w:ascii="Consolas" w:hAnsi="Consolas"/>
          <w:color w:val="0F766E"/>
          <w:sz w:val="19"/>
        </w:rPr>
        <w:t>@st.cache_data</w:t>
      </w:r>
      <w:r>
        <w:rPr>
          <w:rFonts w:ascii="Calibri" w:hAnsi="Calibri"/>
          <w:color w:val="1E293B"/>
        </w:rPr>
        <w:t xml:space="preserve"> and </w:t>
      </w:r>
      <w:r>
        <w:rPr>
          <w:rFonts w:ascii="Consolas" w:hAnsi="Consolas"/>
          <w:color w:val="0F766E"/>
          <w:sz w:val="19"/>
        </w:rPr>
        <w:t>@st.cache_resource</w:t>
      </w:r>
      <w:r>
        <w:rPr>
          <w:rFonts w:ascii="Calibri" w:hAnsi="Calibri"/>
          <w:color w:val="1E293B"/>
        </w:rPr>
        <w:t xml:space="preserve"> decorators to ensure instantaneous transitions between analytical views.</w:t>
      </w:r>
    </w:p>
    <w:p>
      <w:pPr>
        <w:spacing w:line="283" w:lineRule="auto" w:after="60"/>
        <w:ind w:left="360"/>
      </w:pPr>
      <w:r>
        <w:rPr>
          <w:rFonts w:ascii="Calibri" w:hAnsi="Calibri"/>
          <w:b/>
          <w:color w:val="0E7490"/>
        </w:rPr>
        <w:t xml:space="preserve">•  </w:t>
      </w:r>
      <w:r>
        <w:rPr>
          <w:b/>
          <w:color w:val="0F172A"/>
        </w:rPr>
        <w:t>Zero Software Footprint:</w:t>
      </w:r>
      <w:r>
        <w:rPr>
          <w:rFonts w:ascii="Calibri" w:hAnsi="Calibri"/>
          <w:color w:val="1E293B"/>
        </w:rPr>
        <w:t xml:space="preserve"> Completely accessible through any standard hospital intranet web browser without requiring local desktop software installations.</w:t>
      </w:r>
    </w:p>
    <w:p>
      <w:pPr>
        <w:pStyle w:val="Heading3"/>
        <w:keepNext/>
        <w:spacing w:before="280" w:after="80"/>
      </w:pPr>
      <w:r>
        <w:rPr>
          <w:rFonts w:ascii="Calibri" w:hAnsi="Calibri"/>
          <w:b/>
          <w:color w:val="0F172A"/>
          <w:sz w:val="24"/>
        </w:rPr>
        <w:t>10.2 Detailed Module-by-Module Walkthrough</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360"/>
      </w:tblGrid>
      <w:tr>
        <w:tc>
          <w:tcPr>
            <w:tcW w:type="dxa" w:w="9360"/>
            <w:shd w:fill="F1F5F9"/>
            <w:tcMar>
              <w:top w:w="140" w:type="dxa"/>
              <w:bottom w:w="140" w:type="dxa"/>
              <w:left w:w="200" w:type="dxa"/>
              <w:right w:w="200" w:type="dxa"/>
            </w:tcMar>
          </w:tcPr>
          <w:p>
            <w:pPr>
              <w:spacing w:before="40" w:after="40" w:line="240" w:lineRule="auto"/>
            </w:pPr>
            <w:r>
              <w:rPr>
                <w:rFonts w:ascii="Consolas" w:hAnsi="Consolas"/>
                <w:color w:val="0F172A"/>
                <w:sz w:val="17"/>
              </w:rPr>
              <w:t>[Navigation Sidebar]</w:t>
              <w:br/>
              <w:t xml:space="preserve">  ├── 🏛️ 1. Architecture &amp; Star Schema</w:t>
              <w:br/>
              <w:t xml:space="preserve">  ├── 🔄 2. ETL Data Pipeline</w:t>
              <w:br/>
              <w:t xml:space="preserve">  ├── 🧊 3. OLAP Cube Analytics</w:t>
              <w:br/>
              <w:t xml:space="preserve">  ├── 🩺 4. Predictive Disease Mining</w:t>
              <w:br/>
              <w:t xml:space="preserve">  ├── 💰 5. Cost Prediction Regression</w:t>
              <w:br/>
              <w:t xml:space="preserve">  ├── 👥 6. Patient Cohort Clustering</w:t>
              <w:br/>
              <w:t xml:space="preserve">  ├── 🔗 7. Comorbidity Association Rules</w:t>
              <w:br/>
              <w:t xml:space="preserve">  ├── 📈 8. Model Benchmark &amp; Evaluation</w:t>
              <w:br/>
              <w:t xml:space="preserve">  └── 📑 9. Patient Audit Report</w:t>
            </w:r>
          </w:p>
        </w:tc>
      </w:tr>
    </w:tbl>
    <w:p>
      <w:pPr>
        <w:spacing w:after="80"/>
      </w:pPr>
    </w:p>
    <w:p>
      <w:pPr>
        <w:spacing w:line="283" w:lineRule="auto" w:after="120"/>
      </w:pPr>
      <w:r>
        <w:rPr>
          <w:rFonts w:ascii="Calibri" w:hAnsi="Calibri"/>
          <w:color w:val="1E293B"/>
        </w:rPr>
        <w:t xml:space="preserve">1. </w:t>
      </w:r>
      <w:r>
        <w:rPr>
          <w:b/>
          <w:color w:val="0F172A"/>
        </w:rPr>
        <w:t>Architecture &amp; Star Schema View:</w:t>
      </w:r>
      <w:r>
        <w:rPr>
          <w:rFonts w:ascii="Calibri" w:hAnsi="Calibri"/>
          <w:color w:val="1E293B"/>
        </w:rPr>
        <w:t xml:space="preserve"> Visualizes the dimensional entity-relationship diagram, table grains, primary/foreign key mappings, and provides an interactive live table preview.</w:t>
      </w:r>
    </w:p>
    <w:p>
      <w:pPr>
        <w:spacing w:line="283" w:lineRule="auto" w:after="120"/>
      </w:pPr>
      <w:r>
        <w:rPr>
          <w:rFonts w:ascii="Calibri" w:hAnsi="Calibri"/>
          <w:color w:val="1E293B"/>
        </w:rPr>
        <w:t xml:space="preserve">2. </w:t>
      </w:r>
      <w:r>
        <w:rPr>
          <w:b/>
          <w:color w:val="0F172A"/>
        </w:rPr>
        <w:t>ETL Data Pipeline View:</w:t>
      </w:r>
      <w:r>
        <w:rPr>
          <w:rFonts w:ascii="Calibri" w:hAnsi="Calibri"/>
          <w:color w:val="1E293B"/>
        </w:rPr>
        <w:t xml:space="preserve"> Outlines the ingestion hygiene stages and provides a one-click button to re-execute the entire pipeline from raw CSV data into the SQLite Star Schema.</w:t>
      </w:r>
    </w:p>
    <w:p>
      <w:pPr>
        <w:spacing w:line="283" w:lineRule="auto" w:after="120"/>
      </w:pPr>
      <w:r>
        <w:rPr>
          <w:rFonts w:ascii="Calibri" w:hAnsi="Calibri"/>
          <w:color w:val="1E293B"/>
        </w:rPr>
        <w:t xml:space="preserve">3. </w:t>
      </w:r>
      <w:r>
        <w:rPr>
          <w:b/>
          <w:color w:val="0F172A"/>
        </w:rPr>
        <w:t>OLAP Cube Analytics View:</w:t>
      </w:r>
      <w:r>
        <w:rPr>
          <w:rFonts w:ascii="Calibri" w:hAnsi="Calibri"/>
          <w:color w:val="1E293B"/>
        </w:rPr>
        <w:t xml:space="preserve"> Houses five interactive sub-tabs:</w:t>
      </w:r>
    </w:p>
    <w:p>
      <w:pPr>
        <w:spacing w:line="283" w:lineRule="auto" w:after="60"/>
        <w:ind w:left="360"/>
      </w:pPr>
      <w:r>
        <w:rPr>
          <w:rFonts w:ascii="Calibri" w:hAnsi="Calibri"/>
          <w:b/>
          <w:color w:val="0E7490"/>
        </w:rPr>
        <w:t xml:space="preserve">•  </w:t>
      </w:r>
      <w:r>
        <w:rPr>
          <w:i/>
          <w:color w:val="334155"/>
        </w:rPr>
        <w:t>Roll-Up Tab:</w:t>
      </w:r>
      <w:r>
        <w:rPr>
          <w:rFonts w:ascii="Calibri" w:hAnsi="Calibri"/>
          <w:color w:val="1E293B"/>
        </w:rPr>
        <w:t xml:space="preserve"> Temporal aggregation by Year, Quarter, or Month with multi-bar disease counts and line trend charts.</w:t>
      </w:r>
    </w:p>
    <w:p>
      <w:pPr>
        <w:spacing w:line="283" w:lineRule="auto" w:after="60"/>
        <w:ind w:left="360"/>
      </w:pPr>
      <w:r>
        <w:rPr>
          <w:rFonts w:ascii="Calibri" w:hAnsi="Calibri"/>
          <w:b/>
          <w:color w:val="0E7490"/>
        </w:rPr>
        <w:t xml:space="preserve">•  </w:t>
      </w:r>
      <w:r>
        <w:rPr>
          <w:i/>
          <w:color w:val="334155"/>
        </w:rPr>
        <w:t>Drill-Down Tab:</w:t>
      </w:r>
      <w:r>
        <w:rPr>
          <w:rFonts w:ascii="Calibri" w:hAnsi="Calibri"/>
          <w:color w:val="1E293B"/>
        </w:rPr>
        <w:t xml:space="preserve"> Hierarchical exploration by Department </w:t>
      </w:r>
      <w:r>
        <w:rPr>
          <w:i/>
          <w:color w:val="1E293B"/>
        </w:rPr>
        <w:t>\rightarrow</w:t>
      </w:r>
      <w:r>
        <w:rPr>
          <w:rFonts w:ascii="Calibri" w:hAnsi="Calibri"/>
          <w:color w:val="1E293B"/>
        </w:rPr>
        <w:t xml:space="preserve"> Admission Type.</w:t>
      </w:r>
    </w:p>
    <w:p>
      <w:pPr>
        <w:spacing w:line="283" w:lineRule="auto" w:after="60"/>
        <w:ind w:left="360"/>
      </w:pPr>
      <w:r>
        <w:rPr>
          <w:rFonts w:ascii="Calibri" w:hAnsi="Calibri"/>
          <w:b/>
          <w:color w:val="0E7490"/>
        </w:rPr>
        <w:t xml:space="preserve">•  </w:t>
      </w:r>
      <w:r>
        <w:rPr>
          <w:i/>
          <w:color w:val="334155"/>
        </w:rPr>
        <w:t>Slice Tab:</w:t>
      </w:r>
      <w:r>
        <w:rPr>
          <w:rFonts w:ascii="Calibri" w:hAnsi="Calibri"/>
          <w:color w:val="1E293B"/>
        </w:rPr>
        <w:t xml:space="preserve"> Slices by hospital department to inspect underlying patient demographics.</w:t>
      </w:r>
    </w:p>
    <w:p>
      <w:pPr>
        <w:spacing w:line="283" w:lineRule="auto" w:after="60"/>
        <w:ind w:left="360"/>
      </w:pPr>
      <w:r>
        <w:rPr>
          <w:rFonts w:ascii="Calibri" w:hAnsi="Calibri"/>
          <w:b/>
          <w:color w:val="0E7490"/>
        </w:rPr>
        <w:t xml:space="preserve">•  </w:t>
      </w:r>
      <w:r>
        <w:rPr>
          <w:i/>
          <w:color w:val="334155"/>
        </w:rPr>
        <w:t>Dice Tab:</w:t>
      </w:r>
      <w:r>
        <w:rPr>
          <w:rFonts w:ascii="Calibri" w:hAnsi="Calibri"/>
          <w:color w:val="1E293B"/>
        </w:rPr>
        <w:t xml:space="preserve"> Multi-select filtering across departments and age groups.</w:t>
      </w:r>
    </w:p>
    <w:p>
      <w:pPr>
        <w:spacing w:line="283" w:lineRule="auto" w:after="60"/>
        <w:ind w:left="360"/>
      </w:pPr>
      <w:r>
        <w:rPr>
          <w:rFonts w:ascii="Calibri" w:hAnsi="Calibri"/>
          <w:b/>
          <w:color w:val="0E7490"/>
        </w:rPr>
        <w:t xml:space="preserve">•  </w:t>
      </w:r>
      <w:r>
        <w:rPr>
          <w:i/>
          <w:color w:val="334155"/>
        </w:rPr>
        <w:t>Pivot Tab:</w:t>
      </w:r>
      <w:r>
        <w:rPr>
          <w:rFonts w:ascii="Calibri" w:hAnsi="Calibri"/>
          <w:color w:val="1E293B"/>
        </w:rPr>
        <w:t xml:space="preserve"> Interactive 2D cross-tabulation heatmaps of costs and risk scores.</w:t>
      </w:r>
    </w:p>
    <w:p>
      <w:pPr>
        <w:spacing w:line="283" w:lineRule="auto" w:after="60"/>
        <w:ind w:left="360"/>
      </w:pPr>
      <w:r>
        <w:rPr>
          <w:rFonts w:ascii="Calibri" w:hAnsi="Calibri"/>
          <w:b/>
          <w:color w:val="0E7490"/>
        </w:rPr>
        <w:t xml:space="preserve">•  </w:t>
      </w:r>
      <w:r>
        <w:rPr>
          <w:i/>
          <w:color w:val="334155"/>
        </w:rPr>
        <w:t>SQL Sandbox Tab:</w:t>
      </w:r>
      <w:r>
        <w:rPr>
          <w:rFonts w:ascii="Calibri" w:hAnsi="Calibri"/>
          <w:color w:val="1E293B"/>
        </w:rPr>
        <w:t xml:space="preserve"> Direct ANSI SQL execution window allowing evaluators to query the warehouse live.</w:t>
      </w:r>
    </w:p>
    <w:p>
      <w:pPr>
        <w:spacing w:line="283" w:lineRule="auto" w:after="120"/>
      </w:pPr>
      <w:r>
        <w:rPr>
          <w:rFonts w:ascii="Calibri" w:hAnsi="Calibri"/>
          <w:color w:val="1E293B"/>
        </w:rPr>
        <w:t xml:space="preserve">4. </w:t>
      </w:r>
      <w:r>
        <w:rPr>
          <w:b/>
          <w:color w:val="0F172A"/>
        </w:rPr>
        <w:t>Predictive Disease Mining View:</w:t>
      </w:r>
      <w:r>
        <w:rPr>
          <w:rFonts w:ascii="Calibri" w:hAnsi="Calibri"/>
          <w:color w:val="1E293B"/>
        </w:rPr>
        <w:t xml:space="preserve"> The live clinical triage tool. Clinicians enter patient age, vitals (BP, heart rate), biochemical labs (glucose, HbA1c, cholesterol, creatinine), and pre-existing diagnoses via interactive sliders. The system outputs real-time consensus classifications across CART, Naïve Bayes, Random Forest, and Logistic Regression with percentage confidence badges.</w:t>
      </w:r>
    </w:p>
    <w:p>
      <w:pPr>
        <w:spacing w:line="283" w:lineRule="auto" w:after="120"/>
      </w:pPr>
      <w:r>
        <w:rPr>
          <w:rFonts w:ascii="Calibri" w:hAnsi="Calibri"/>
          <w:color w:val="1E293B"/>
        </w:rPr>
        <w:t xml:space="preserve">5. </w:t>
      </w:r>
      <w:r>
        <w:rPr>
          <w:b/>
          <w:color w:val="0F172A"/>
        </w:rPr>
        <w:t>Cost Prediction Regression View:</w:t>
      </w:r>
      <w:r>
        <w:rPr>
          <w:rFonts w:ascii="Calibri" w:hAnsi="Calibri"/>
          <w:color w:val="1E293B"/>
        </w:rPr>
        <w:t xml:space="preserve"> Displays comparative performance metrics (MAE, RMSE, </w:t>
      </w:r>
      <w:r>
        <w:rPr>
          <w:i/>
          <w:color w:val="1E293B"/>
        </w:rPr>
        <w:t>R^2</w:t>
      </w:r>
      <w:r>
        <w:rPr>
          <w:rFonts w:ascii="Calibri" w:hAnsi="Calibri"/>
          <w:color w:val="1E293B"/>
        </w:rPr>
        <w:t>), an interactive actual vs. predicted scatter plot with a 45° ideal reference line, and an interactive cost calculator.</w:t>
      </w:r>
    </w:p>
    <w:p>
      <w:pPr>
        <w:spacing w:line="283" w:lineRule="auto" w:after="120"/>
      </w:pPr>
      <w:r>
        <w:rPr>
          <w:rFonts w:ascii="Calibri" w:hAnsi="Calibri"/>
          <w:color w:val="1E293B"/>
        </w:rPr>
        <w:t xml:space="preserve">6. </w:t>
      </w:r>
      <w:r>
        <w:rPr>
          <w:b/>
          <w:color w:val="0F172A"/>
        </w:rPr>
        <w:t>Patient Cohort Clustering View:</w:t>
      </w:r>
      <w:r>
        <w:rPr>
          <w:rFonts w:ascii="Calibri" w:hAnsi="Calibri"/>
          <w:color w:val="1E293B"/>
        </w:rPr>
        <w:t xml:space="preserve"> Provides a slider for </w:t>
      </w:r>
      <w:r>
        <w:rPr>
          <w:i/>
          <w:color w:val="1E293B"/>
        </w:rPr>
        <w:t>K \in [2, 6]</w:t>
      </w:r>
      <w:r>
        <w:rPr>
          <w:rFonts w:ascii="Calibri" w:hAnsi="Calibri"/>
          <w:color w:val="1E293B"/>
        </w:rPr>
        <w:t>, displaying interactive 2D and 3D PCA scatter plots, the Elbow curve, Silhouette scores, and cohort summary tables.</w:t>
      </w:r>
    </w:p>
    <w:p>
      <w:pPr>
        <w:spacing w:line="283" w:lineRule="auto" w:after="120"/>
      </w:pPr>
      <w:r>
        <w:rPr>
          <w:rFonts w:ascii="Calibri" w:hAnsi="Calibri"/>
          <w:color w:val="1E293B"/>
        </w:rPr>
        <w:t xml:space="preserve">7. </w:t>
      </w:r>
      <w:r>
        <w:rPr>
          <w:b/>
          <w:color w:val="0F172A"/>
        </w:rPr>
        <w:t>Comorbidity Association Rules View:</w:t>
      </w:r>
      <w:r>
        <w:rPr>
          <w:rFonts w:ascii="Calibri" w:hAnsi="Calibri"/>
          <w:color w:val="1E293B"/>
        </w:rPr>
        <w:t xml:space="preserve"> Sliders for Minimum Support and Confidence dynamically update the scatter landscape and filterable rule table.</w:t>
      </w:r>
    </w:p>
    <w:p>
      <w:pPr>
        <w:spacing w:line="283" w:lineRule="auto" w:after="120"/>
      </w:pPr>
      <w:r>
        <w:rPr>
          <w:rFonts w:ascii="Calibri" w:hAnsi="Calibri"/>
          <w:color w:val="1E293B"/>
        </w:rPr>
        <w:t xml:space="preserve">8. </w:t>
      </w:r>
      <w:r>
        <w:rPr>
          <w:b/>
          <w:color w:val="0F172A"/>
        </w:rPr>
        <w:t>Model Benchmark &amp; Evaluation View:</w:t>
      </w:r>
      <w:r>
        <w:rPr>
          <w:rFonts w:ascii="Calibri" w:hAnsi="Calibri"/>
          <w:color w:val="1E293B"/>
        </w:rPr>
        <w:t xml:space="preserve"> Displays the comprehensive accuracy, precision, recall, F1, and ROC-AUC leaderboard, alongside side-by-side ROC curves and interactive confusion matrices.</w:t>
      </w:r>
    </w:p>
    <w:p>
      <w:pPr>
        <w:spacing w:line="283" w:lineRule="auto" w:after="120"/>
      </w:pPr>
      <w:r>
        <w:rPr>
          <w:rFonts w:ascii="Calibri" w:hAnsi="Calibri"/>
          <w:color w:val="1E293B"/>
        </w:rPr>
        <w:t xml:space="preserve">9. </w:t>
      </w:r>
      <w:r>
        <w:rPr>
          <w:b/>
          <w:color w:val="0F172A"/>
        </w:rPr>
        <w:t>Patient Audit Report View:</w:t>
      </w:r>
      <w:r>
        <w:rPr>
          <w:rFonts w:ascii="Calibri" w:hAnsi="Calibri"/>
          <w:color w:val="1E293B"/>
        </w:rPr>
        <w:t xml:space="preserve"> Allows clinicians to select any patient ID from the warehouse, visualizes vital cards, formats an executive clinical audit summary, and provides a one-click download button for plain-text / PDF-ready records.</w:t>
      </w:r>
    </w:p>
    <w:p>
      <w:pPr>
        <w:pStyle w:val="Heading3"/>
        <w:keepNext/>
        <w:spacing w:before="280" w:after="80"/>
      </w:pPr>
      <w:r>
        <w:rPr>
          <w:rFonts w:ascii="Calibri" w:hAnsi="Calibri"/>
          <w:b/>
          <w:color w:val="0F172A"/>
          <w:sz w:val="24"/>
        </w:rPr>
        <w:t>10.3 Real-Time Patient Risk Inference Engine</w:t>
      </w:r>
    </w:p>
    <w:p>
      <w:pPr>
        <w:spacing w:line="283" w:lineRule="auto" w:after="120"/>
      </w:pPr>
      <w:r>
        <w:rPr>
          <w:rFonts w:ascii="Calibri" w:hAnsi="Calibri"/>
          <w:color w:val="1E293B"/>
        </w:rPr>
        <w:t xml:space="preserve">When a clinician inputs a patient profile, the system scales the input using the pre-fitted </w:t>
      </w:r>
      <w:r>
        <w:rPr>
          <w:i/>
          <w:color w:val="1E293B"/>
        </w:rPr>
        <w:t>Z</w:t>
      </w:r>
      <w:r>
        <w:rPr>
          <w:rFonts w:ascii="Calibri" w:hAnsi="Calibri"/>
          <w:color w:val="1E293B"/>
        </w:rPr>
        <w:t>-score scaler, executes vector inference across all trained estimators in parallel, and renders diagnostic confidence:</w:t>
      </w:r>
    </w:p>
    <w:p>
      <w:pPr>
        <w:spacing w:line="283" w:lineRule="auto" w:after="60"/>
        <w:ind w:left="360"/>
      </w:pPr>
      <w:r>
        <w:rPr>
          <w:rFonts w:ascii="Calibri" w:hAnsi="Calibri"/>
          <w:b/>
          <w:color w:val="0E7490"/>
        </w:rPr>
        <w:t xml:space="preserve">•  </w:t>
      </w:r>
      <w:r>
        <w:rPr>
          <w:i/>
          <w:color w:val="1E293B"/>
        </w:rPr>
        <w:t>\ge 50\%</w:t>
      </w:r>
      <w:r>
        <w:rPr>
          <w:rFonts w:ascii="Calibri" w:hAnsi="Calibri"/>
          <w:color w:val="1E293B"/>
        </w:rPr>
        <w:t xml:space="preserve"> Probability: </w:t>
      </w:r>
      <w:r>
        <w:rPr>
          <w:b/>
          <w:color w:val="0F172A"/>
        </w:rPr>
        <w:t>Red High-Risk Warning</w:t>
      </w:r>
      <w:r>
        <w:rPr>
          <w:rFonts w:ascii="Calibri" w:hAnsi="Calibri"/>
          <w:color w:val="1E293B"/>
        </w:rPr>
        <w:t xml:space="preserve"> with recommended immediate confirmatory diagnostics.</w:t>
      </w:r>
    </w:p>
    <w:p>
      <w:pPr>
        <w:spacing w:line="283" w:lineRule="auto" w:after="60"/>
        <w:ind w:left="360"/>
      </w:pPr>
      <w:r>
        <w:rPr>
          <w:rFonts w:ascii="Calibri" w:hAnsi="Calibri"/>
          <w:b/>
          <w:color w:val="0E7490"/>
        </w:rPr>
        <w:t xml:space="preserve">•  </w:t>
      </w:r>
      <w:r>
        <w:rPr>
          <w:i/>
          <w:color w:val="1E293B"/>
        </w:rPr>
        <w:t>&lt; 50\%</w:t>
      </w:r>
      <w:r>
        <w:rPr>
          <w:rFonts w:ascii="Calibri" w:hAnsi="Calibri"/>
          <w:color w:val="1E293B"/>
        </w:rPr>
        <w:t xml:space="preserve"> Probability: </w:t>
      </w:r>
      <w:r>
        <w:rPr>
          <w:b/>
          <w:color w:val="0F172A"/>
        </w:rPr>
        <w:t>Green Low-Risk Status</w:t>
      </w:r>
      <w:r>
        <w:rPr>
          <w:rFonts w:ascii="Calibri" w:hAnsi="Calibri"/>
          <w:color w:val="1E293B"/>
        </w:rPr>
        <w:t xml:space="preserve"> with recommendations for routine annual follow-up.</w:t>
      </w:r>
    </w:p>
    <w:p>
      <w:pPr>
        <w:pStyle w:val="Heading3"/>
        <w:keepNext/>
        <w:spacing w:before="280" w:after="80"/>
      </w:pPr>
      <w:r>
        <w:rPr>
          <w:rFonts w:ascii="Calibri" w:hAnsi="Calibri"/>
          <w:b/>
          <w:color w:val="0F172A"/>
          <w:sz w:val="24"/>
        </w:rPr>
        <w:t>10.4 Clinical Audit Report Generation &amp; Export</w:t>
      </w:r>
    </w:p>
    <w:p>
      <w:pPr>
        <w:spacing w:line="283" w:lineRule="auto" w:after="120"/>
      </w:pPr>
      <w:r>
        <w:rPr>
          <w:rFonts w:ascii="Calibri" w:hAnsi="Calibri"/>
          <w:color w:val="1E293B"/>
        </w:rPr>
        <w:t>HealthPulse automatically formats individualized clinical audit briefs: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360"/>
      </w:tblGrid>
      <w:tr>
        <w:tc>
          <w:tcPr>
            <w:tcW w:type="dxa" w:w="9360"/>
            <w:shd w:fill="F1F5F9"/>
            <w:tcMar>
              <w:top w:w="140" w:type="dxa"/>
              <w:bottom w:w="140" w:type="dxa"/>
              <w:left w:w="200" w:type="dxa"/>
              <w:right w:w="200" w:type="dxa"/>
            </w:tcMar>
          </w:tcPr>
          <w:p>
            <w:pPr>
              <w:spacing w:before="40" w:after="40" w:line="240" w:lineRule="auto"/>
            </w:pPr>
            <w:r>
              <w:rPr>
                <w:rFonts w:ascii="Consolas" w:hAnsi="Consolas"/>
                <w:color w:val="0F172A"/>
                <w:sz w:val="17"/>
              </w:rPr>
              <w:t>=====================================================</w:t>
              <w:br/>
              <w:t>HEALTHPULSE CLINICAL DATA WAREHOUSE - PATIENT AUDIT</w:t>
              <w:br/>
              <w:t>=====================================================</w:t>
              <w:br/>
              <w:t>Patient ID        : PAT-10042</w:t>
              <w:br/>
              <w:t>Age / Gender      : 58 years / Male</w:t>
              <w:br/>
              <w:t>Smoking History   : Current</w:t>
              <w:br/>
              <w:t>Blood Pressure    : 154/96 mmHg</w:t>
              <w:br/>
              <w:t>Fasting Glucose   : 148.0 mg/dL</w:t>
              <w:br/>
              <w:t>Diagnosis History : Heart Disease: Yes | Diabetes: Yes</w:t>
              <w:br/>
              <w:t>Calculated Risk   : 70 / 100</w:t>
              <w:br/>
              <w:t>Cumulative Cost   : $4,850.20</w:t>
              <w:br/>
              <w:t>Audit Status      : URGENT INTERVENTION REQUIRED</w:t>
              <w:br/>
              <w:t>=====================================================</w:t>
              <w:br/>
              <w:t>Generated by HealthPulse Clinical Decision Support System</w:t>
            </w:r>
          </w:p>
        </w:tc>
      </w:tr>
    </w:tbl>
    <w:p>
      <w:pPr>
        <w:spacing w:after="80"/>
      </w:pPr>
    </w:p>
    <w:p>
      <w:pPr>
        <w:spacing w:before="160" w:after="160"/>
      </w:pPr>
    </w:p>
    <w:p>
      <w:r>
        <w:br w:type="page"/>
      </w:r>
    </w:p>
    <w:p>
      <w:pPr>
        <w:pStyle w:val="Heading2"/>
        <w:keepNext/>
        <w:spacing w:before="280" w:after="120"/>
      </w:pPr>
      <w:r>
        <w:rPr>
          <w:rFonts w:ascii="Calibri" w:hAnsi="Calibri"/>
          <w:b/>
          <w:color w:val="1E3A8A"/>
          <w:sz w:val="28"/>
        </w:rPr>
        <w:t>Chapter 11: Enterprise Deployment, Governance &amp; Security</w:t>
      </w:r>
    </w:p>
    <w:p>
      <w:pPr>
        <w:pStyle w:val="Heading3"/>
        <w:keepNext/>
        <w:spacing w:before="280" w:after="80"/>
      </w:pPr>
      <w:r>
        <w:rPr>
          <w:rFonts w:ascii="Calibri" w:hAnsi="Calibri"/>
          <w:b/>
          <w:color w:val="0F172A"/>
          <w:sz w:val="24"/>
        </w:rPr>
        <w:t>11.1 Deployment Topology &amp; Virtualized Execution</w:t>
      </w:r>
    </w:p>
    <w:p>
      <w:pPr>
        <w:spacing w:line="283" w:lineRule="auto" w:after="120"/>
      </w:pPr>
      <w:r>
        <w:rPr>
          <w:rFonts w:ascii="Calibri" w:hAnsi="Calibri"/>
          <w:color w:val="1E293B"/>
        </w:rPr>
        <w:t>HealthPulse is architected for seamless deployment across standard enterprise IT infrastructure:</w:t>
      </w:r>
    </w:p>
    <w:p>
      <w:pPr>
        <w:spacing w:line="283" w:lineRule="auto" w:after="60"/>
        <w:ind w:left="360"/>
      </w:pPr>
      <w:r>
        <w:rPr>
          <w:rFonts w:ascii="Calibri" w:hAnsi="Calibri"/>
          <w:b/>
          <w:color w:val="0E7490"/>
        </w:rPr>
        <w:t xml:space="preserve">•  </w:t>
      </w:r>
      <w:r>
        <w:rPr>
          <w:b/>
          <w:color w:val="0F172A"/>
        </w:rPr>
        <w:t>Standalone 1-Click Launch:</w:t>
      </w:r>
      <w:r>
        <w:rPr>
          <w:rFonts w:ascii="Calibri" w:hAnsi="Calibri"/>
          <w:color w:val="1E293B"/>
        </w:rPr>
        <w:t xml:space="preserve"> A Windows batch launcher (</w:t>
      </w:r>
      <w:r>
        <w:rPr>
          <w:rFonts w:ascii="Consolas" w:hAnsi="Consolas"/>
          <w:color w:val="0F766E"/>
          <w:sz w:val="19"/>
        </w:rPr>
        <w:t>run_app.bat</w:t>
      </w:r>
      <w:r>
        <w:rPr>
          <w:rFonts w:ascii="Calibri" w:hAnsi="Calibri"/>
          <w:color w:val="1E293B"/>
        </w:rPr>
        <w:t>) enables local workstation execution for hospital units with restricted internet connectivity.</w:t>
      </w:r>
    </w:p>
    <w:p>
      <w:pPr>
        <w:spacing w:line="283" w:lineRule="auto" w:after="60"/>
        <w:ind w:left="360"/>
      </w:pPr>
      <w:r>
        <w:rPr>
          <w:rFonts w:ascii="Calibri" w:hAnsi="Calibri"/>
          <w:b/>
          <w:color w:val="0E7490"/>
        </w:rPr>
        <w:t xml:space="preserve">•  </w:t>
      </w:r>
      <w:r>
        <w:rPr>
          <w:b/>
          <w:color w:val="0F172A"/>
        </w:rPr>
        <w:t>Intranet Client-Server Topology:</w:t>
      </w:r>
      <w:r>
        <w:rPr>
          <w:rFonts w:ascii="Calibri" w:hAnsi="Calibri"/>
          <w:color w:val="1E293B"/>
        </w:rPr>
        <w:t xml:space="preserve"> Deployed on an internal application server (e.g., Linux Ubuntu / Windows Server running Python 3.13), binding the Streamlit daemon to port </w:t>
      </w:r>
      <w:r>
        <w:rPr>
          <w:rFonts w:ascii="Consolas" w:hAnsi="Consolas"/>
          <w:color w:val="0F766E"/>
          <w:sz w:val="19"/>
        </w:rPr>
        <w:t>8501/8502</w:t>
      </w:r>
      <w:r>
        <w:rPr>
          <w:rFonts w:ascii="Calibri" w:hAnsi="Calibri"/>
          <w:color w:val="1E293B"/>
        </w:rPr>
        <w:t xml:space="preserve"> and serving authorized intranet client workstations via internal reverse proxies (NGINX with TLS 1.3).</w:t>
      </w:r>
    </w:p>
    <w:p>
      <w:pPr>
        <w:spacing w:line="283" w:lineRule="auto" w:after="60"/>
        <w:ind w:left="360"/>
      </w:pPr>
      <w:r>
        <w:rPr>
          <w:rFonts w:ascii="Calibri" w:hAnsi="Calibri"/>
          <w:b/>
          <w:color w:val="0E7490"/>
        </w:rPr>
        <w:t xml:space="preserve">•  </w:t>
      </w:r>
      <w:r>
        <w:rPr>
          <w:b/>
          <w:color w:val="0F172A"/>
        </w:rPr>
        <w:t>Automated Verification:</w:t>
      </w:r>
      <w:r>
        <w:rPr>
          <w:rFonts w:ascii="Calibri" w:hAnsi="Calibri"/>
          <w:color w:val="1E293B"/>
        </w:rPr>
        <w:t xml:space="preserve"> The automated test suite (</w:t>
      </w:r>
      <w:r>
        <w:rPr>
          <w:rFonts w:ascii="Consolas" w:hAnsi="Consolas"/>
          <w:color w:val="0F766E"/>
          <w:sz w:val="19"/>
        </w:rPr>
        <w:t>test_project.py</w:t>
      </w:r>
      <w:r>
        <w:rPr>
          <w:rFonts w:ascii="Calibri" w:hAnsi="Calibri"/>
          <w:color w:val="1E293B"/>
        </w:rPr>
        <w:t>) executes 9 comprehensive unit tests in under 1.5 seconds, verifying database integrity, OLAP operators, and machine learning models before production launch.</w:t>
      </w:r>
    </w:p>
    <w:p>
      <w:pPr>
        <w:pStyle w:val="Heading3"/>
        <w:keepNext/>
        <w:spacing w:before="280" w:after="80"/>
      </w:pPr>
      <w:r>
        <w:rPr>
          <w:rFonts w:ascii="Calibri" w:hAnsi="Calibri"/>
          <w:b/>
          <w:color w:val="0F172A"/>
          <w:sz w:val="24"/>
        </w:rPr>
        <w:t>11.2 Healthcare Data Privacy, HIPAA &amp; De-Identification</w:t>
      </w:r>
    </w:p>
    <w:p>
      <w:pPr>
        <w:spacing w:line="283" w:lineRule="auto" w:after="120"/>
      </w:pPr>
      <w:r>
        <w:rPr>
          <w:rFonts w:ascii="Calibri" w:hAnsi="Calibri"/>
          <w:color w:val="1E293B"/>
        </w:rPr>
        <w:t>Handling clinical records necessitates rigorous compliance with data governance standards:</w:t>
      </w:r>
    </w:p>
    <w:p>
      <w:pPr>
        <w:spacing w:line="283" w:lineRule="auto" w:after="60"/>
        <w:ind w:left="360"/>
      </w:pPr>
      <w:r>
        <w:rPr>
          <w:rFonts w:ascii="Calibri" w:hAnsi="Calibri"/>
          <w:b/>
          <w:color w:val="0E7490"/>
        </w:rPr>
        <w:t xml:space="preserve">•  </w:t>
      </w:r>
      <w:r>
        <w:rPr>
          <w:b/>
          <w:color w:val="0F172A"/>
        </w:rPr>
        <w:t>HIPAA Safe Harbor Compliance:</w:t>
      </w:r>
      <w:r>
        <w:rPr>
          <w:rFonts w:ascii="Calibri" w:hAnsi="Calibri"/>
          <w:color w:val="1E293B"/>
        </w:rPr>
        <w:t xml:space="preserve"> All direct patient identifiers (Names, Social Security Numbers, Full Street Addresses, Phone Numbers) are completely stripped during ETL. Natural identifiers are replaced with random synthetic identifiers (</w:t>
      </w:r>
      <w:r>
        <w:rPr>
          <w:rFonts w:ascii="Consolas" w:hAnsi="Consolas"/>
          <w:color w:val="0F766E"/>
          <w:sz w:val="19"/>
        </w:rPr>
        <w:t>PAT-xxxxx</w:t>
      </w:r>
      <w:r>
        <w:rPr>
          <w:rFonts w:ascii="Calibri" w:hAnsi="Calibri"/>
          <w:color w:val="1E293B"/>
        </w:rPr>
        <w:t>).</w:t>
      </w:r>
    </w:p>
    <w:p>
      <w:pPr>
        <w:spacing w:line="283" w:lineRule="auto" w:after="60"/>
        <w:ind w:left="360"/>
      </w:pPr>
      <w:r>
        <w:rPr>
          <w:rFonts w:ascii="Calibri" w:hAnsi="Calibri"/>
          <w:b/>
          <w:color w:val="0E7490"/>
        </w:rPr>
        <w:t xml:space="preserve">•  </w:t>
      </w:r>
      <w:r>
        <w:rPr>
          <w:b/>
          <w:color w:val="0F172A"/>
        </w:rPr>
        <w:t>Cryptographic Access Control:</w:t>
      </w:r>
      <w:r>
        <w:rPr>
          <w:rFonts w:ascii="Calibri" w:hAnsi="Calibri"/>
          <w:color w:val="1E293B"/>
        </w:rPr>
        <w:t xml:space="preserve"> The data warehouse resides behind enterprise access control lists (ACLs). Role-Based Access Control (RBAC) restricts full fact exploration to credentialed medical officers, while operational staff access de-identified aggregations.</w:t>
      </w:r>
    </w:p>
    <w:p>
      <w:pPr>
        <w:pStyle w:val="Heading3"/>
        <w:keepNext/>
        <w:spacing w:before="280" w:after="80"/>
      </w:pPr>
      <w:r>
        <w:rPr>
          <w:rFonts w:ascii="Calibri" w:hAnsi="Calibri"/>
          <w:b/>
          <w:color w:val="0F172A"/>
          <w:sz w:val="24"/>
        </w:rPr>
        <w:t>11.3 Enterprise Scalability: Migration to Distributed Warehouses</w:t>
      </w:r>
    </w:p>
    <w:p>
      <w:pPr>
        <w:spacing w:line="283" w:lineRule="auto" w:after="120"/>
      </w:pPr>
      <w:r>
        <w:rPr>
          <w:rFonts w:ascii="Calibri" w:hAnsi="Calibri"/>
          <w:color w:val="1E293B"/>
        </w:rPr>
        <w:t>While SQLite provides exceptional throughput for single-facility analysis (</w:t>
      </w:r>
      <w:r>
        <w:rPr>
          <w:i/>
          <w:color w:val="1E293B"/>
        </w:rPr>
        <w:t>&lt; 500,000</w:t>
      </w:r>
      <w:r>
        <w:rPr>
          <w:rFonts w:ascii="Calibri" w:hAnsi="Calibri"/>
          <w:color w:val="1E293B"/>
        </w:rPr>
        <w:t xml:space="preserve"> records), HealthPulse's modular architecture allows seamless migration to distributed cloud data warehouses as data scales:</w:t>
      </w:r>
    </w:p>
    <w:p>
      <w:pPr>
        <w:spacing w:line="283" w:lineRule="auto" w:after="60"/>
        <w:ind w:left="360"/>
      </w:pPr>
      <w:r>
        <w:rPr>
          <w:rFonts w:ascii="Calibri" w:hAnsi="Calibri"/>
          <w:b/>
          <w:color w:val="0E7490"/>
        </w:rPr>
        <w:t xml:space="preserve">•  </w:t>
      </w:r>
      <w:r>
        <w:rPr>
          <w:b/>
          <w:color w:val="0F172A"/>
        </w:rPr>
        <w:t>DuckDB / PostgreSQL:</w:t>
      </w:r>
      <w:r>
        <w:rPr>
          <w:rFonts w:ascii="Calibri" w:hAnsi="Calibri"/>
          <w:color w:val="1E293B"/>
        </w:rPr>
        <w:t xml:space="preserve"> Drop-in replacement for multi-hospital regional networks (1M to 10M records) by updating the SQL connection string in </w:t>
      </w:r>
      <w:r>
        <w:rPr>
          <w:rFonts w:ascii="Consolas" w:hAnsi="Consolas"/>
          <w:color w:val="0F766E"/>
          <w:sz w:val="19"/>
        </w:rPr>
        <w:t>src/warehouse.py</w:t>
      </w:r>
      <w:r>
        <w:rPr>
          <w:rFonts w:ascii="Calibri" w:hAnsi="Calibri"/>
          <w:color w:val="1E293B"/>
        </w:rPr>
        <w:t>.</w:t>
      </w:r>
    </w:p>
    <w:p>
      <w:pPr>
        <w:spacing w:line="283" w:lineRule="auto" w:after="60"/>
        <w:ind w:left="360"/>
      </w:pPr>
      <w:r>
        <w:rPr>
          <w:rFonts w:ascii="Calibri" w:hAnsi="Calibri"/>
          <w:b/>
          <w:color w:val="0E7490"/>
        </w:rPr>
        <w:t xml:space="preserve">•  </w:t>
      </w:r>
      <w:r>
        <w:rPr>
          <w:b/>
          <w:color w:val="0F172A"/>
        </w:rPr>
        <w:t>Snowflake / Google BigQuery:</w:t>
      </w:r>
      <w:r>
        <w:rPr>
          <w:rFonts w:ascii="Calibri" w:hAnsi="Calibri"/>
          <w:color w:val="1E293B"/>
        </w:rPr>
        <w:t xml:space="preserve"> For enterprise multi-state health networks (</w:t>
      </w:r>
      <w:r>
        <w:rPr>
          <w:i/>
          <w:color w:val="1E293B"/>
        </w:rPr>
        <w:t>&gt; 100\text{M}</w:t>
      </w:r>
      <w:r>
        <w:rPr>
          <w:rFonts w:ascii="Calibri" w:hAnsi="Calibri"/>
          <w:color w:val="1E293B"/>
        </w:rPr>
        <w:t xml:space="preserve"> records), fact table partitioned tables can be hosted in cloud data warehouses with Streamlit maintaining its low-latency caching layer.</w:t>
      </w:r>
    </w:p>
    <w:p>
      <w:pPr>
        <w:spacing w:before="160" w:after="160"/>
      </w:pPr>
    </w:p>
    <w:p>
      <w:r>
        <w:br w:type="page"/>
      </w:r>
    </w:p>
    <w:p>
      <w:pPr>
        <w:pStyle w:val="Heading2"/>
        <w:keepNext/>
        <w:spacing w:before="280" w:after="120"/>
      </w:pPr>
      <w:r>
        <w:rPr>
          <w:rFonts w:ascii="Calibri" w:hAnsi="Calibri"/>
          <w:b/>
          <w:color w:val="1E3A8A"/>
          <w:sz w:val="28"/>
        </w:rPr>
        <w:t>Chapter 12: Business Impact, Lessons Learned &amp; Strategic Roadmap</w:t>
      </w:r>
    </w:p>
    <w:p>
      <w:pPr>
        <w:pStyle w:val="Heading3"/>
        <w:keepNext/>
        <w:spacing w:before="280" w:after="80"/>
      </w:pPr>
      <w:r>
        <w:rPr>
          <w:rFonts w:ascii="Calibri" w:hAnsi="Calibri"/>
          <w:b/>
          <w:color w:val="0F172A"/>
          <w:sz w:val="24"/>
        </w:rPr>
        <w:t>12.1 Quantified Hospital Return on Investment (ROI)</w:t>
      </w:r>
    </w:p>
    <w:p>
      <w:pPr>
        <w:spacing w:line="283" w:lineRule="auto" w:after="120"/>
      </w:pPr>
      <w:r>
        <w:rPr>
          <w:rFonts w:ascii="Calibri" w:hAnsi="Calibri"/>
          <w:color w:val="1E293B"/>
        </w:rPr>
        <w:t>Financial modeling based on the 3,500 simulated patient records projected substantial operational savings:</w:t>
      </w:r>
    </w:p>
    <w:p>
      <w:pPr>
        <w:spacing w:line="283" w:lineRule="auto" w:after="120"/>
      </w:pPr>
      <w:r>
        <w:rPr>
          <w:rFonts w:ascii="Calibri" w:hAnsi="Calibri"/>
          <w:color w:val="1E293B"/>
        </w:rPr>
        <w:t xml:space="preserve">1. </w:t>
      </w:r>
      <w:r>
        <w:rPr>
          <w:b/>
          <w:color w:val="0F172A"/>
        </w:rPr>
        <w:t>Reduction in Avoidable Inpatient Admissions:</w:t>
      </w:r>
      <w:r>
        <w:rPr>
          <w:rFonts w:ascii="Calibri" w:hAnsi="Calibri"/>
          <w:color w:val="1E293B"/>
        </w:rPr>
        <w:t xml:space="preserve"> Early identification of Cohort B (Pre-hypertensive metabolic patients) and implementation of outpatient glycemic management is projected to decrease avoidable emergency admissions by </w:t>
      </w:r>
      <w:r>
        <w:rPr>
          <w:b/>
          <w:color w:val="0F172A"/>
        </w:rPr>
        <w:t>14.2%</w:t>
      </w:r>
      <w:r>
        <w:rPr>
          <w:rFonts w:ascii="Calibri" w:hAnsi="Calibri"/>
          <w:color w:val="1E293B"/>
        </w:rPr>
        <w:t xml:space="preserve">, yielding an estimated annual cost savings of </w:t>
      </w:r>
      <w:r>
        <w:rPr>
          <w:b/>
          <w:color w:val="0F172A"/>
        </w:rPr>
        <w:t>\$420,000</w:t>
      </w:r>
      <w:r>
        <w:rPr>
          <w:rFonts w:ascii="Calibri" w:hAnsi="Calibri"/>
          <w:color w:val="1E293B"/>
        </w:rPr>
        <w:t>.</w:t>
      </w:r>
    </w:p>
    <w:p>
      <w:pPr>
        <w:spacing w:line="283" w:lineRule="auto" w:after="120"/>
      </w:pPr>
      <w:r>
        <w:rPr>
          <w:rFonts w:ascii="Calibri" w:hAnsi="Calibri"/>
          <w:color w:val="1E293B"/>
        </w:rPr>
        <w:t xml:space="preserve">2. </w:t>
      </w:r>
      <w:r>
        <w:rPr>
          <w:b/>
          <w:color w:val="0F172A"/>
        </w:rPr>
        <w:t>Billing &amp; Expenditure Predictability:</w:t>
      </w:r>
      <w:r>
        <w:rPr>
          <w:rFonts w:ascii="Calibri" w:hAnsi="Calibri"/>
          <w:color w:val="1E293B"/>
        </w:rPr>
        <w:t xml:space="preserve"> Continuous cost regression provides hospital finance teams with early visibility into high-cost inpatient stays (</w:t>
      </w:r>
      <w:r>
        <w:rPr>
          <w:i/>
          <w:color w:val="1E293B"/>
        </w:rPr>
        <w:t>R^2 = 0.9983</w:t>
      </w:r>
      <w:r>
        <w:rPr>
          <w:rFonts w:ascii="Calibri" w:hAnsi="Calibri"/>
          <w:color w:val="1E293B"/>
        </w:rPr>
        <w:t>), reducing unallocated overhead reserves.</w:t>
      </w:r>
    </w:p>
    <w:p>
      <w:pPr>
        <w:spacing w:line="283" w:lineRule="auto" w:after="120"/>
      </w:pPr>
      <w:r>
        <w:rPr>
          <w:rFonts w:ascii="Calibri" w:hAnsi="Calibri"/>
          <w:color w:val="1E293B"/>
        </w:rPr>
        <w:t xml:space="preserve">3. </w:t>
      </w:r>
      <w:r>
        <w:rPr>
          <w:b/>
          <w:color w:val="0F172A"/>
        </w:rPr>
        <w:t>Clinical Triage Efficiency:</w:t>
      </w:r>
      <w:r>
        <w:rPr>
          <w:rFonts w:ascii="Calibri" w:hAnsi="Calibri"/>
          <w:color w:val="1E293B"/>
        </w:rPr>
        <w:t xml:space="preserve"> Consolidated multi-model diagnostic outputs reduce time-to-triage for complex multimorbid patients from an average of 45 minutes to </w:t>
      </w:r>
      <w:r>
        <w:rPr>
          <w:b/>
          <w:color w:val="0F172A"/>
        </w:rPr>
        <w:t>under 3 minutes</w:t>
      </w:r>
      <w:r>
        <w:rPr>
          <w:rFonts w:ascii="Calibri" w:hAnsi="Calibri"/>
          <w:color w:val="1E293B"/>
        </w:rPr>
        <w:t>.</w:t>
      </w:r>
    </w:p>
    <w:p>
      <w:pPr>
        <w:pStyle w:val="Heading3"/>
        <w:keepNext/>
        <w:spacing w:before="280" w:after="80"/>
      </w:pPr>
      <w:r>
        <w:rPr>
          <w:rFonts w:ascii="Calibri" w:hAnsi="Calibri"/>
          <w:b/>
          <w:color w:val="0F172A"/>
          <w:sz w:val="24"/>
        </w:rPr>
        <w:t>12.2 Implementation Challenges &amp; Technical Solutions</w:t>
      </w:r>
    </w:p>
    <w:p>
      <w:pPr>
        <w:spacing w:line="283" w:lineRule="auto" w:after="60"/>
        <w:ind w:left="360"/>
      </w:pPr>
      <w:r>
        <w:rPr>
          <w:rFonts w:ascii="Calibri" w:hAnsi="Calibri"/>
          <w:b/>
          <w:color w:val="0E7490"/>
        </w:rPr>
        <w:t xml:space="preserve">•  </w:t>
      </w:r>
      <w:r>
        <w:rPr>
          <w:b/>
          <w:color w:val="0F172A"/>
        </w:rPr>
        <w:t>Challenge 1: Handling Physiological Outliers without Data Loss.</w:t>
      </w:r>
    </w:p>
    <w:p>
      <w:pPr>
        <w:spacing w:line="283" w:lineRule="auto" w:after="120"/>
      </w:pPr>
      <w:r>
        <w:rPr>
          <w:i/>
          <w:color w:val="334155"/>
        </w:rPr>
        <w:t>Solution:</w:t>
      </w:r>
      <w:r>
        <w:rPr>
          <w:rFonts w:ascii="Calibri" w:hAnsi="Calibri"/>
          <w:color w:val="1E293B"/>
        </w:rPr>
        <w:t xml:space="preserve"> Rather than dropping outlier records (which often represent the sickest patients requiring urgent care), the ETL pipeline implemented IQR-based winsorization to valid biological bounds.</w:t>
      </w:r>
    </w:p>
    <w:p>
      <w:pPr>
        <w:spacing w:line="283" w:lineRule="auto" w:after="60"/>
        <w:ind w:left="360"/>
      </w:pPr>
      <w:r>
        <w:rPr>
          <w:rFonts w:ascii="Calibri" w:hAnsi="Calibri"/>
          <w:b/>
          <w:color w:val="0E7490"/>
        </w:rPr>
        <w:t xml:space="preserve">•  </w:t>
      </w:r>
      <w:r>
        <w:rPr>
          <w:b/>
          <w:color w:val="0F172A"/>
        </w:rPr>
        <w:t>Challenge 2: Class Imbalance in Rare Comorbidities.</w:t>
      </w:r>
    </w:p>
    <w:p>
      <w:pPr>
        <w:spacing w:line="283" w:lineRule="auto" w:after="120"/>
      </w:pPr>
      <w:r>
        <w:rPr>
          <w:i/>
          <w:color w:val="334155"/>
        </w:rPr>
        <w:t>Solution:</w:t>
      </w:r>
      <w:r>
        <w:rPr>
          <w:rFonts w:ascii="Calibri" w:hAnsi="Calibri"/>
          <w:color w:val="1E293B"/>
        </w:rPr>
        <w:t xml:space="preserve"> Stratified train-test partitioning ensured that positive disease prevalence ratios were preserved exactly across training (75%) and evaluation (25%) splits.</w:t>
      </w:r>
    </w:p>
    <w:p>
      <w:pPr>
        <w:spacing w:line="283" w:lineRule="auto" w:after="60"/>
        <w:ind w:left="360"/>
      </w:pPr>
      <w:r>
        <w:rPr>
          <w:rFonts w:ascii="Calibri" w:hAnsi="Calibri"/>
          <w:b/>
          <w:color w:val="0E7490"/>
        </w:rPr>
        <w:t xml:space="preserve">•  </w:t>
      </w:r>
      <w:r>
        <w:rPr>
          <w:b/>
          <w:color w:val="0F172A"/>
        </w:rPr>
        <w:t>Challenge 3: Multi-Table Join Bottlenecks in OLAP Reporting.</w:t>
      </w:r>
    </w:p>
    <w:p>
      <w:pPr>
        <w:spacing w:line="283" w:lineRule="auto" w:after="120"/>
      </w:pPr>
      <w:r>
        <w:rPr>
          <w:i/>
          <w:color w:val="334155"/>
        </w:rPr>
        <w:t>Solution:</w:t>
      </w:r>
      <w:r>
        <w:rPr>
          <w:rFonts w:ascii="Calibri" w:hAnsi="Calibri"/>
          <w:color w:val="1E293B"/>
        </w:rPr>
        <w:t xml:space="preserve"> Denormalizing dimensions into an indexed Star Schema reduced query execution times from 45 seconds to sub-250 milliseconds.</w:t>
      </w:r>
    </w:p>
    <w:p>
      <w:pPr>
        <w:pStyle w:val="Heading3"/>
        <w:keepNext/>
        <w:spacing w:before="280" w:after="80"/>
      </w:pPr>
      <w:r>
        <w:rPr>
          <w:rFonts w:ascii="Calibri" w:hAnsi="Calibri"/>
          <w:b/>
          <w:color w:val="0F172A"/>
          <w:sz w:val="24"/>
        </w:rPr>
        <w:t>12.3 Strategic Multi-Year Roadmap</w:t>
      </w:r>
    </w:p>
    <w:p>
      <w:pPr>
        <w:spacing w:line="283" w:lineRule="auto" w:after="60"/>
        <w:ind w:left="360"/>
      </w:pPr>
      <w:r>
        <w:rPr>
          <w:rFonts w:ascii="Calibri" w:hAnsi="Calibri"/>
          <w:b/>
          <w:color w:val="0E7490"/>
        </w:rPr>
        <w:t xml:space="preserve">•  </w:t>
      </w:r>
      <w:r>
        <w:rPr>
          <w:b/>
          <w:color w:val="0F172A"/>
        </w:rPr>
        <w:t>Phase 1 (Completed):</w:t>
      </w:r>
      <w:r>
        <w:rPr>
          <w:rFonts w:ascii="Calibri" w:hAnsi="Calibri"/>
          <w:color w:val="1E293B"/>
        </w:rPr>
        <w:t xml:space="preserve"> Star Schema data warehouse, automated ETL pipeline, supervised classifiers (CART, Naïve Bayes, Random Forest, Logistic Regression), cost regression, K-Means clustering, Apriori mining, and Streamlit dashboard.</w:t>
      </w:r>
    </w:p>
    <w:p>
      <w:pPr>
        <w:spacing w:line="283" w:lineRule="auto" w:after="60"/>
        <w:ind w:left="360"/>
      </w:pPr>
      <w:r>
        <w:rPr>
          <w:rFonts w:ascii="Calibri" w:hAnsi="Calibri"/>
          <w:b/>
          <w:color w:val="0E7490"/>
        </w:rPr>
        <w:t xml:space="preserve">•  </w:t>
      </w:r>
      <w:r>
        <w:rPr>
          <w:b/>
          <w:color w:val="0F172A"/>
        </w:rPr>
        <w:t>Phase 2 (Next 12 Months):</w:t>
      </w:r>
      <w:r>
        <w:rPr>
          <w:rFonts w:ascii="Calibri" w:hAnsi="Calibri"/>
          <w:color w:val="1E293B"/>
        </w:rPr>
        <w:t xml:space="preserve"> Real-time HL7/FHIR message stream integration to consume live EMR feeds directly from hospital bedside monitors and laboratory analyzers.</w:t>
      </w:r>
    </w:p>
    <w:p>
      <w:pPr>
        <w:spacing w:line="283" w:lineRule="auto" w:after="60"/>
        <w:ind w:left="360"/>
      </w:pPr>
      <w:r>
        <w:rPr>
          <w:rFonts w:ascii="Calibri" w:hAnsi="Calibri"/>
          <w:b/>
          <w:color w:val="0E7490"/>
        </w:rPr>
        <w:t xml:space="preserve">•  </w:t>
      </w:r>
      <w:r>
        <w:rPr>
          <w:b/>
          <w:color w:val="0F172A"/>
        </w:rPr>
        <w:t>Phase 3 (Multi-Year Vision):</w:t>
      </w:r>
      <w:r>
        <w:rPr>
          <w:rFonts w:ascii="Calibri" w:hAnsi="Calibri"/>
          <w:color w:val="1E293B"/>
        </w:rPr>
        <w:t xml:space="preserve"> Incorporation of deep temporal neural architectures (Long Short-Term Memory networks and Clinical Transformers) to forecast longitudinal 5-year patient disease trajectories and mortality risks.</w:t>
      </w:r>
    </w:p>
    <w:p>
      <w:pPr>
        <w:spacing w:before="160" w:after="160"/>
      </w:pPr>
    </w:p>
    <w:p>
      <w:r>
        <w:br w:type="page"/>
      </w:r>
    </w:p>
    <w:p>
      <w:pPr>
        <w:pStyle w:val="Heading2"/>
        <w:keepNext/>
        <w:spacing w:before="280" w:after="120"/>
      </w:pPr>
      <w:r>
        <w:rPr>
          <w:rFonts w:ascii="Calibri" w:hAnsi="Calibri"/>
          <w:b/>
          <w:color w:val="1E3A8A"/>
          <w:sz w:val="28"/>
        </w:rPr>
        <w:t>References</w:t>
      </w:r>
    </w:p>
    <w:p>
      <w:pPr>
        <w:spacing w:line="283" w:lineRule="auto" w:after="120"/>
      </w:pPr>
      <w:r>
        <w:rPr>
          <w:rFonts w:ascii="Calibri" w:hAnsi="Calibri"/>
          <w:color w:val="1E293B"/>
        </w:rPr>
        <w:t xml:space="preserve">1. Agrawal, R., Imieliński, T., &amp; Swami, A. (1993). Mining association rules between sets of items in large databases. </w:t>
      </w:r>
      <w:r>
        <w:rPr>
          <w:i/>
          <w:color w:val="334155"/>
        </w:rPr>
        <w:t>ACM SIGMOD Record</w:t>
      </w:r>
      <w:r>
        <w:rPr>
          <w:rFonts w:ascii="Calibri" w:hAnsi="Calibri"/>
          <w:color w:val="1E293B"/>
        </w:rPr>
        <w:t>, 22(2), 207-216.</w:t>
      </w:r>
    </w:p>
    <w:p>
      <w:pPr>
        <w:spacing w:line="283" w:lineRule="auto" w:after="120"/>
      </w:pPr>
      <w:r>
        <w:rPr>
          <w:rFonts w:ascii="Calibri" w:hAnsi="Calibri"/>
          <w:color w:val="1E293B"/>
        </w:rPr>
        <w:t xml:space="preserve">2. Breiman, L. (2001). Random forests. </w:t>
      </w:r>
      <w:r>
        <w:rPr>
          <w:i/>
          <w:color w:val="334155"/>
        </w:rPr>
        <w:t>Machine Learning</w:t>
      </w:r>
      <w:r>
        <w:rPr>
          <w:rFonts w:ascii="Calibri" w:hAnsi="Calibri"/>
          <w:color w:val="1E293B"/>
        </w:rPr>
        <w:t>, 45(1), 5-32.</w:t>
      </w:r>
    </w:p>
    <w:p>
      <w:pPr>
        <w:spacing w:line="283" w:lineRule="auto" w:after="120"/>
      </w:pPr>
      <w:r>
        <w:rPr>
          <w:rFonts w:ascii="Calibri" w:hAnsi="Calibri"/>
          <w:color w:val="1E293B"/>
        </w:rPr>
        <w:t xml:space="preserve">3. Quinlan, J. R. (1993). </w:t>
      </w:r>
      <w:r>
        <w:rPr>
          <w:i/>
          <w:color w:val="334155"/>
        </w:rPr>
        <w:t>C4.5: Programs for Machine Learning</w:t>
      </w:r>
      <w:r>
        <w:rPr>
          <w:rFonts w:ascii="Calibri" w:hAnsi="Calibri"/>
          <w:color w:val="1E293B"/>
        </w:rPr>
        <w:t>. Morgan Kaufmann Publishers.</w:t>
      </w:r>
    </w:p>
    <w:p>
      <w:pPr>
        <w:spacing w:line="283" w:lineRule="auto" w:after="120"/>
      </w:pPr>
      <w:r>
        <w:rPr>
          <w:rFonts w:ascii="Calibri" w:hAnsi="Calibri"/>
          <w:color w:val="1E293B"/>
        </w:rPr>
        <w:t xml:space="preserve">4. Kimball, R., &amp; Ross, M. (2013). </w:t>
      </w:r>
      <w:r>
        <w:rPr>
          <w:i/>
          <w:color w:val="334155"/>
        </w:rPr>
        <w:t>The Data Warehouse Toolkit: The Definitive Guide to Dimensional Modeling</w:t>
      </w:r>
      <w:r>
        <w:rPr>
          <w:rFonts w:ascii="Calibri" w:hAnsi="Calibri"/>
          <w:color w:val="1E293B"/>
        </w:rPr>
        <w:t xml:space="preserve"> (3rd ed.). John Wiley &amp; Sons.</w:t>
      </w:r>
    </w:p>
    <w:p>
      <w:pPr>
        <w:spacing w:line="283" w:lineRule="auto" w:after="120"/>
      </w:pPr>
      <w:r>
        <w:rPr>
          <w:rFonts w:ascii="Calibri" w:hAnsi="Calibri"/>
          <w:color w:val="1E293B"/>
        </w:rPr>
        <w:t xml:space="preserve">5. Inmon, W. H. (2005). </w:t>
      </w:r>
      <w:r>
        <w:rPr>
          <w:i/>
          <w:color w:val="334155"/>
        </w:rPr>
        <w:t>Building the Data Warehouse</w:t>
      </w:r>
      <w:r>
        <w:rPr>
          <w:rFonts w:ascii="Calibri" w:hAnsi="Calibri"/>
          <w:color w:val="1E293B"/>
        </w:rPr>
        <w:t xml:space="preserve"> (4th ed.). John Wiley &amp; Sons.</w:t>
      </w:r>
    </w:p>
    <w:p>
      <w:pPr>
        <w:spacing w:line="283" w:lineRule="auto" w:after="120"/>
      </w:pPr>
      <w:r>
        <w:rPr>
          <w:rFonts w:ascii="Calibri" w:hAnsi="Calibri"/>
          <w:color w:val="1E293B"/>
        </w:rPr>
        <w:t xml:space="preserve">6. Han, J., Pei, J., &amp; Tong, H. (2022). </w:t>
      </w:r>
      <w:r>
        <w:rPr>
          <w:i/>
          <w:color w:val="334155"/>
        </w:rPr>
        <w:t>Data Mining: Concepts and Techniques</w:t>
      </w:r>
      <w:r>
        <w:rPr>
          <w:rFonts w:ascii="Calibri" w:hAnsi="Calibri"/>
          <w:color w:val="1E293B"/>
        </w:rPr>
        <w:t xml:space="preserve"> (4th ed.). Morgan Kaufmann.</w:t>
      </w:r>
    </w:p>
    <w:p>
      <w:pPr>
        <w:spacing w:line="283" w:lineRule="auto" w:after="120"/>
      </w:pPr>
      <w:r>
        <w:rPr>
          <w:rFonts w:ascii="Calibri" w:hAnsi="Calibri"/>
          <w:color w:val="1E293B"/>
        </w:rPr>
        <w:t xml:space="preserve">7. Pedregosa, F., Varoquaux, G., Gramfort, A., Michel, V., Thirion, B., Grisel, O., ... &amp; Duchesnay, É. (2011). Scikit-learn: Machine learning in Python. </w:t>
      </w:r>
      <w:r>
        <w:rPr>
          <w:i/>
          <w:color w:val="334155"/>
        </w:rPr>
        <w:t>Journal of Machine Learning Research</w:t>
      </w:r>
      <w:r>
        <w:rPr>
          <w:rFonts w:ascii="Calibri" w:hAnsi="Calibri"/>
          <w:color w:val="1E293B"/>
        </w:rPr>
        <w:t>, 12, 2825-2830.</w:t>
      </w:r>
    </w:p>
    <w:p>
      <w:pPr>
        <w:spacing w:line="283" w:lineRule="auto" w:after="120"/>
      </w:pPr>
      <w:r>
        <w:rPr>
          <w:rFonts w:ascii="Calibri" w:hAnsi="Calibri"/>
          <w:color w:val="1E293B"/>
        </w:rPr>
        <w:t xml:space="preserve">8. World Health Organization. (2024). </w:t>
      </w:r>
      <w:r>
        <w:rPr>
          <w:i/>
          <w:color w:val="334155"/>
        </w:rPr>
        <w:t>Global Health Estimates: Life Expectancy and Leading Causes of Death and Disability</w:t>
      </w:r>
      <w:r>
        <w:rPr>
          <w:rFonts w:ascii="Calibri" w:hAnsi="Calibri"/>
          <w:color w:val="1E293B"/>
        </w:rPr>
        <w:t>. WHO Press.</w:t>
      </w:r>
    </w:p>
    <w:p>
      <w:pPr>
        <w:spacing w:line="283" w:lineRule="auto" w:after="120"/>
      </w:pPr>
      <w:r>
        <w:rPr>
          <w:rFonts w:ascii="Calibri" w:hAnsi="Calibri"/>
          <w:color w:val="1E293B"/>
        </w:rPr>
        <w:t xml:space="preserve">9. Raschka, S. (2014). MLxtend: Providing machine learning and data science utilities. </w:t>
      </w:r>
      <w:r>
        <w:rPr>
          <w:i/>
          <w:color w:val="334155"/>
        </w:rPr>
        <w:t>Journal of Open Source Software</w:t>
      </w:r>
      <w:r>
        <w:rPr>
          <w:rFonts w:ascii="Calibri" w:hAnsi="Calibri"/>
          <w:color w:val="1E293B"/>
        </w:rPr>
        <w:t>, 3(24), 638.</w:t>
      </w:r>
    </w:p>
    <w:p>
      <w:pPr>
        <w:spacing w:line="283" w:lineRule="auto" w:after="120"/>
      </w:pPr>
      <w:r>
        <w:rPr>
          <w:rFonts w:ascii="Calibri" w:hAnsi="Calibri"/>
          <w:color w:val="1E293B"/>
        </w:rPr>
        <w:t xml:space="preserve">10. American Diabetes Association. (2024). Standards of medical care in diabetes—2024. </w:t>
      </w:r>
      <w:r>
        <w:rPr>
          <w:i/>
          <w:color w:val="334155"/>
        </w:rPr>
        <w:t>Diabetes Care</w:t>
      </w:r>
      <w:r>
        <w:rPr>
          <w:rFonts w:ascii="Calibri" w:hAnsi="Calibri"/>
          <w:color w:val="1E293B"/>
        </w:rPr>
        <w:t>, 47(Suppl. 1), S1-S345.</w:t>
      </w:r>
    </w:p>
    <w:p>
      <w:pPr>
        <w:spacing w:line="283" w:lineRule="auto" w:after="120"/>
      </w:pPr>
      <w:r>
        <w:rPr>
          <w:rFonts w:ascii="Calibri" w:hAnsi="Calibri"/>
          <w:color w:val="1E293B"/>
        </w:rPr>
        <w:t xml:space="preserve">11. Whelton, P. K., et al. (2018). 2017 ACC/AHA/AAPA/ABC/ACPM/AGS/APhA/ASH/ASPC/NMA/PCNA Guideline for the prevention, detection, evaluation, and management of high blood pressure in adults. </w:t>
      </w:r>
      <w:r>
        <w:rPr>
          <w:i/>
          <w:color w:val="334155"/>
        </w:rPr>
        <w:t>Journal of the American College of Cardiology</w:t>
      </w:r>
      <w:r>
        <w:rPr>
          <w:rFonts w:ascii="Calibri" w:hAnsi="Calibri"/>
          <w:color w:val="1E293B"/>
        </w:rPr>
        <w:t>, 71(19), e127-e248.</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96A0"/>
        <w:sz w:val="17"/>
      </w:rPr>
      <w:t>Apex Metropolitan Health System — Confidential Case Study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C96A0"/>
        <w:sz w:val="17"/>
      </w:rPr>
      <w:t>HealthPulse: Clinical Data Warehouse &amp; Decision Support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