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3355" w14:textId="315640C5" w:rsidR="00FE79B7" w:rsidRPr="008F1A29" w:rsidRDefault="00FE79B7" w:rsidP="00FE79B7">
      <w:pPr>
        <w:pStyle w:val="Ttulo"/>
        <w:rPr>
          <w:b/>
          <w:bCs/>
        </w:rPr>
      </w:pPr>
      <w:r w:rsidRPr="008F1A29">
        <w:rPr>
          <w:b/>
          <w:bCs/>
        </w:rPr>
        <w:t>INFORME DE PRUEBAS</w:t>
      </w:r>
    </w:p>
    <w:p w14:paraId="40BF7D94" w14:textId="77777777" w:rsidR="0002550B" w:rsidRDefault="0002550B"/>
    <w:p w14:paraId="2888DEB6" w14:textId="2F2F34F3" w:rsidR="00256867" w:rsidRPr="006B42FA" w:rsidRDefault="00256867">
      <w:pPr>
        <w:rPr>
          <w:b/>
          <w:bCs/>
          <w:color w:val="0070C0"/>
          <w:sz w:val="32"/>
          <w:szCs w:val="32"/>
        </w:rPr>
      </w:pPr>
      <w:r w:rsidRPr="006B42FA">
        <w:rPr>
          <w:b/>
          <w:bCs/>
          <w:color w:val="0070C0"/>
          <w:sz w:val="32"/>
          <w:szCs w:val="32"/>
        </w:rPr>
        <w:t>INTRODUCCIÓN:</w:t>
      </w:r>
    </w:p>
    <w:p w14:paraId="7D073E21" w14:textId="2DA3081A" w:rsidR="00256867" w:rsidRDefault="009D7097">
      <w:r>
        <w:t xml:space="preserve">Para el plan de pruebas hemos decidido enfocarnos en analizar </w:t>
      </w:r>
      <w:r w:rsidR="008231AF">
        <w:t>la estructura de archivos, específicamente aquella que involucra el proceso de ETL</w:t>
      </w:r>
      <w:r w:rsidR="00AC5929">
        <w:t xml:space="preserve"> y de credenciales de AWS</w:t>
      </w:r>
      <w:r w:rsidR="008231AF">
        <w:t xml:space="preserve">. Consideramos que no tienen mucho sentido realizarlo al proceso de entrenamiento </w:t>
      </w:r>
      <w:r w:rsidR="00D72DDA">
        <w:t xml:space="preserve">y preprocesado del entrenamiento, ya que en una situación real estes procesos se realizan </w:t>
      </w:r>
      <w:r w:rsidR="00D03FBB">
        <w:t>de forma muy puntual y no son susceptibles a cambios frecuentes, al contrario que las ingestas de datos</w:t>
      </w:r>
      <w:r w:rsidR="00AC5929">
        <w:t>.</w:t>
      </w:r>
    </w:p>
    <w:p w14:paraId="40A1A56F" w14:textId="45384A7E" w:rsidR="00AC5929" w:rsidRDefault="00A034C0">
      <w:r>
        <w:t xml:space="preserve">Hemos dividido el plan en los siguientes </w:t>
      </w:r>
      <w:r w:rsidR="00D44C80">
        <w:t>apartados:</w:t>
      </w:r>
    </w:p>
    <w:p w14:paraId="488969FC" w14:textId="3505E936" w:rsidR="00D44C80" w:rsidRDefault="00D44C80" w:rsidP="00D44C80">
      <w:pPr>
        <w:pStyle w:val="Prrafodelista"/>
        <w:numPr>
          <w:ilvl w:val="0"/>
          <w:numId w:val="1"/>
        </w:numPr>
      </w:pPr>
      <w:r>
        <w:t xml:space="preserve">Datos: </w:t>
      </w:r>
      <w:r w:rsidR="00C54F74">
        <w:t>Se verifica la existencia de los archivos de ingesta</w:t>
      </w:r>
      <w:r w:rsidR="00CF6A27">
        <w:t xml:space="preserve"> y si se lanzan las excepciones correctas cuando estes faltan</w:t>
      </w:r>
      <w:r w:rsidR="005363C6">
        <w:t>.</w:t>
      </w:r>
    </w:p>
    <w:p w14:paraId="62952424" w14:textId="77777777" w:rsidR="004B6B12" w:rsidRDefault="004B6B12" w:rsidP="004B6B12">
      <w:pPr>
        <w:pStyle w:val="Prrafodelista"/>
      </w:pPr>
    </w:p>
    <w:p w14:paraId="78A2C8B6" w14:textId="771A9E54" w:rsidR="00817694" w:rsidRDefault="00597334" w:rsidP="00817694">
      <w:pPr>
        <w:pStyle w:val="Prrafodelista"/>
        <w:numPr>
          <w:ilvl w:val="0"/>
          <w:numId w:val="1"/>
        </w:numPr>
      </w:pPr>
      <w:r>
        <w:t xml:space="preserve">Estructura: Verificamos que los archivos a procesar tienen una estructura coherente </w:t>
      </w:r>
      <w:r w:rsidR="005363C6">
        <w:t xml:space="preserve">y común </w:t>
      </w:r>
      <w:r>
        <w:t>entre ellos</w:t>
      </w:r>
      <w:r w:rsidR="005363C6">
        <w:t>.</w:t>
      </w:r>
      <w:r w:rsidR="0058027E">
        <w:t xml:space="preserve"> También se comprueba que la estructura de directorios para los ficheros est</w:t>
      </w:r>
      <w:r w:rsidR="004B6B12">
        <w:t>á</w:t>
      </w:r>
      <w:r w:rsidR="0058027E">
        <w:t xml:space="preserve"> presente.</w:t>
      </w:r>
    </w:p>
    <w:p w14:paraId="3A15FD4A" w14:textId="77777777" w:rsidR="00817694" w:rsidRDefault="00817694" w:rsidP="00817694">
      <w:pPr>
        <w:pStyle w:val="Prrafodelista"/>
      </w:pPr>
    </w:p>
    <w:p w14:paraId="080C9FBF" w14:textId="6B8960DF" w:rsidR="004B6B12" w:rsidRDefault="005363C6" w:rsidP="004B6B12">
      <w:pPr>
        <w:pStyle w:val="Prrafodelista"/>
        <w:numPr>
          <w:ilvl w:val="0"/>
          <w:numId w:val="1"/>
        </w:numPr>
      </w:pPr>
      <w:r>
        <w:t xml:space="preserve">Módulos: Se comprueba </w:t>
      </w:r>
      <w:r w:rsidR="0058027E">
        <w:t>que los Módulos están en sus correspondientes carpetas</w:t>
      </w:r>
      <w:r w:rsidR="004B6B12">
        <w:t xml:space="preserve"> y se pueden llamar correctamente.</w:t>
      </w:r>
    </w:p>
    <w:p w14:paraId="2D2FC5D2" w14:textId="77777777" w:rsidR="00817694" w:rsidRDefault="00817694" w:rsidP="00817694">
      <w:pPr>
        <w:pStyle w:val="Prrafodelista"/>
      </w:pPr>
    </w:p>
    <w:p w14:paraId="5626760B" w14:textId="21EDB7B4" w:rsidR="004B6B12" w:rsidRDefault="004B6B12" w:rsidP="004B6B12">
      <w:pPr>
        <w:pStyle w:val="Prrafodelista"/>
        <w:numPr>
          <w:ilvl w:val="0"/>
          <w:numId w:val="1"/>
        </w:numPr>
      </w:pPr>
      <w:r>
        <w:t>Credenciales:</w:t>
      </w:r>
      <w:r w:rsidR="00817694">
        <w:t xml:space="preserve"> </w:t>
      </w:r>
      <w:r w:rsidR="00F7031E">
        <w:t xml:space="preserve">Comprobamos la estructura y existencia de las credenciales mínimas necesarias para </w:t>
      </w:r>
      <w:r w:rsidR="005D1589">
        <w:t>lanzar la ingesta en AWS.</w:t>
      </w:r>
    </w:p>
    <w:p w14:paraId="69AFB7FB" w14:textId="77777777" w:rsidR="005D1589" w:rsidRDefault="005D1589" w:rsidP="005D1589">
      <w:pPr>
        <w:pStyle w:val="Prrafodelista"/>
      </w:pPr>
    </w:p>
    <w:p w14:paraId="0B26C712" w14:textId="786329E9" w:rsidR="005D1589" w:rsidRDefault="005D1589" w:rsidP="005D1589">
      <w:r>
        <w:t>Est</w:t>
      </w:r>
      <w:r w:rsidR="00053ADD">
        <w:t xml:space="preserve">as pruebas se realizan en varias clases distintas. Algunas están distribuidas entre </w:t>
      </w:r>
      <w:r w:rsidR="006B42FA">
        <w:t>v</w:t>
      </w:r>
      <w:r w:rsidR="00053ADD">
        <w:t xml:space="preserve">arios </w:t>
      </w:r>
      <w:proofErr w:type="spellStart"/>
      <w:r w:rsidR="00053ADD">
        <w:t>tests</w:t>
      </w:r>
      <w:proofErr w:type="spellEnd"/>
      <w:r w:rsidR="00053ADD">
        <w:t>, y otras unificadas en uno solo. Por ejemplo</w:t>
      </w:r>
      <w:r w:rsidR="00DA28E4">
        <w:t>,</w:t>
      </w:r>
      <w:r w:rsidR="00053ADD">
        <w:t xml:space="preserve"> la existencia de la estructura necesaria para la ingesta y la de </w:t>
      </w:r>
      <w:r w:rsidR="00DA28E4">
        <w:t xml:space="preserve">la jerarquía de paquetes puede realizarse en un único test que evalúe </w:t>
      </w:r>
      <w:r w:rsidR="00785F63">
        <w:t>el árbol de directorios en su totalidad.</w:t>
      </w:r>
    </w:p>
    <w:p w14:paraId="6B70247D" w14:textId="77777777" w:rsidR="00BF5532" w:rsidRDefault="00BF5532" w:rsidP="005D1589"/>
    <w:p w14:paraId="4A85E202" w14:textId="4201DB66" w:rsidR="00BF5532" w:rsidRDefault="00BF5532" w:rsidP="005D1589">
      <w:r>
        <w:t xml:space="preserve">Es importante destacar que el proyecto tal y como está en GitHub no pasa todos los </w:t>
      </w:r>
      <w:proofErr w:type="spellStart"/>
      <w:r>
        <w:t>tests</w:t>
      </w:r>
      <w:proofErr w:type="spellEnd"/>
      <w:r>
        <w:t xml:space="preserve">. En concreto, faltan las credenciales de AWS por motivos de seguridad, y </w:t>
      </w:r>
      <w:r w:rsidR="0001697C">
        <w:t xml:space="preserve">también los archivos de origen del </w:t>
      </w:r>
      <w:proofErr w:type="spellStart"/>
      <w:r w:rsidR="0001697C">
        <w:t>dataset</w:t>
      </w:r>
      <w:proofErr w:type="spellEnd"/>
      <w:r w:rsidR="0001697C">
        <w:t xml:space="preserve">, ya que supondría tener </w:t>
      </w:r>
      <w:r w:rsidR="00995620">
        <w:t xml:space="preserve">+8GB de </w:t>
      </w:r>
      <w:proofErr w:type="spellStart"/>
      <w:r w:rsidR="00995620">
        <w:t>CSVs</w:t>
      </w:r>
      <w:proofErr w:type="spellEnd"/>
      <w:r w:rsidR="00995620">
        <w:t xml:space="preserve"> en el repositorio.</w:t>
      </w:r>
    </w:p>
    <w:p w14:paraId="1E9AB54A" w14:textId="77777777" w:rsidR="00B06FD9" w:rsidRDefault="00B06FD9" w:rsidP="005D1589"/>
    <w:p w14:paraId="47E4D6CA" w14:textId="55BBDF50" w:rsidR="00B06FD9" w:rsidRDefault="00B06FD9" w:rsidP="005D1589">
      <w:r>
        <w:t xml:space="preserve">Pueden ser lanzadas mediante el archivo “run_tests.py” que se encuentra en la raíz del </w:t>
      </w:r>
      <w:r w:rsidR="006F78D7">
        <w:t>proyecto.</w:t>
      </w:r>
    </w:p>
    <w:p w14:paraId="46CB4A39" w14:textId="023D20AC" w:rsidR="008F1A29" w:rsidRDefault="008F1A29" w:rsidP="005D1589"/>
    <w:p w14:paraId="6BA9B761" w14:textId="4980BDA4" w:rsidR="008F1A29" w:rsidRPr="006B42FA" w:rsidRDefault="008F1A29" w:rsidP="008F1A29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DATOS</w:t>
      </w:r>
      <w:r w:rsidRPr="006B42FA">
        <w:rPr>
          <w:b/>
          <w:bCs/>
          <w:color w:val="0070C0"/>
          <w:sz w:val="32"/>
          <w:szCs w:val="32"/>
        </w:rPr>
        <w:t>:</w:t>
      </w:r>
    </w:p>
    <w:p w14:paraId="486470DB" w14:textId="265EEE7E" w:rsidR="008F1A29" w:rsidRDefault="008F1A29" w:rsidP="005D1589">
      <w:r>
        <w:t xml:space="preserve">A lo largo de la ETL se van guardando y consultando distintos archivos. De esta forma, en caso de haber </w:t>
      </w:r>
      <w:r w:rsidR="005F4371">
        <w:t xml:space="preserve">algún error que detenga la ETL, esta podría resumirse </w:t>
      </w:r>
      <w:r w:rsidR="00097E0D">
        <w:t xml:space="preserve">sin tener que volver a empezar de nuevo. </w:t>
      </w:r>
    </w:p>
    <w:p w14:paraId="70EBE564" w14:textId="11866D60" w:rsidR="00097E0D" w:rsidRDefault="00097E0D" w:rsidP="005D1589">
      <w:r>
        <w:lastRenderedPageBreak/>
        <w:t xml:space="preserve">Este enfoque genera la necesidad de comprobar </w:t>
      </w:r>
      <w:r w:rsidR="00BF5532">
        <w:t>que los datos existen, si se están guardando, y de</w:t>
      </w:r>
      <w:r w:rsidR="0003236F">
        <w:t xml:space="preserve"> </w:t>
      </w:r>
      <w:r w:rsidR="006F78D7">
        <w:t xml:space="preserve">controlar </w:t>
      </w:r>
      <w:r w:rsidR="0003236F">
        <w:t>las ocasiones en las que se intente acceder a un archivo inexistente. Para ello se diseñaron los test</w:t>
      </w:r>
      <w:r w:rsidR="003F45E4">
        <w:t xml:space="preserve"> “</w:t>
      </w:r>
      <w:proofErr w:type="spellStart"/>
      <w:r w:rsidR="003F45E4">
        <w:t>test_merge_files</w:t>
      </w:r>
      <w:proofErr w:type="spellEnd"/>
      <w:r w:rsidR="003F45E4">
        <w:t>” y “</w:t>
      </w:r>
      <w:proofErr w:type="spellStart"/>
      <w:r w:rsidR="003F45E4">
        <w:t>test_parquets</w:t>
      </w:r>
      <w:proofErr w:type="spellEnd"/>
      <w:r w:rsidR="003F45E4">
        <w:t>”</w:t>
      </w:r>
      <w:r w:rsidR="00DD4788">
        <w:t>.</w:t>
      </w:r>
    </w:p>
    <w:p w14:paraId="0EAAFCC8" w14:textId="3C242A4C" w:rsidR="005057BC" w:rsidRDefault="00DD4788" w:rsidP="005D1589">
      <w:proofErr w:type="spellStart"/>
      <w:r w:rsidRPr="00DD4788">
        <w:t>Test_merge_files</w:t>
      </w:r>
      <w:proofErr w:type="spellEnd"/>
      <w:r w:rsidRPr="00DD4788">
        <w:t xml:space="preserve"> evalúa una funció</w:t>
      </w:r>
      <w:r>
        <w:t xml:space="preserve">n que lee todos los </w:t>
      </w:r>
      <w:proofErr w:type="spellStart"/>
      <w:r>
        <w:t>c</w:t>
      </w:r>
      <w:r w:rsidR="00055DA6">
        <w:t>archivos</w:t>
      </w:r>
      <w:proofErr w:type="spellEnd"/>
      <w:r w:rsidR="00055DA6">
        <w:t xml:space="preserve"> CSV de un directorio. Esta función de la capa raw debe lanzar una excepción en la que informa </w:t>
      </w:r>
      <w:r w:rsidR="00C5725F">
        <w:t>al usuario de que el directorio que se le ha indicado está vacío y detener la ejecución.</w:t>
      </w:r>
      <w:r w:rsidR="005057BC">
        <w:t xml:space="preserve"> A través de </w:t>
      </w:r>
      <w:proofErr w:type="spellStart"/>
      <w:r w:rsidR="005057BC">
        <w:t>test_merge_files</w:t>
      </w:r>
      <w:proofErr w:type="spellEnd"/>
      <w:r w:rsidR="005057BC">
        <w:t xml:space="preserve"> nos aseguramos de que efectivamente esta excepción se está lanzando y no se rompe más adelante la ETL al intentar acceder a un </w:t>
      </w:r>
      <w:proofErr w:type="spellStart"/>
      <w:r w:rsidR="005057BC">
        <w:t>dataframe</w:t>
      </w:r>
      <w:proofErr w:type="spellEnd"/>
      <w:r w:rsidR="005057BC">
        <w:t xml:space="preserve"> vacío.</w:t>
      </w:r>
    </w:p>
    <w:p w14:paraId="13FBBB4D" w14:textId="438CC035" w:rsidR="005057BC" w:rsidRDefault="005057BC" w:rsidP="005D1589">
      <w:proofErr w:type="spellStart"/>
      <w:r w:rsidRPr="002265EA">
        <w:t>Test_parquets</w:t>
      </w:r>
      <w:proofErr w:type="spellEnd"/>
      <w:r w:rsidRPr="002265EA">
        <w:t xml:space="preserve"> se asegura de que se han </w:t>
      </w:r>
      <w:r w:rsidR="002265EA" w:rsidRPr="002265EA">
        <w:t>id</w:t>
      </w:r>
      <w:r w:rsidR="002265EA">
        <w:t xml:space="preserve">o guardando los archivos que se generan entre las distintas capas de la </w:t>
      </w:r>
      <w:r w:rsidR="00874270">
        <w:t xml:space="preserve">ETL. En el caso de que no existan, verifica que se lanzan las excepciones adecuadas que </w:t>
      </w:r>
      <w:proofErr w:type="spellStart"/>
      <w:r w:rsidR="00874270">
        <w:t>infroman</w:t>
      </w:r>
      <w:proofErr w:type="spellEnd"/>
      <w:r w:rsidR="00874270">
        <w:t xml:space="preserve"> al usuario de</w:t>
      </w:r>
      <w:r w:rsidR="00336A3B">
        <w:t>l problema para corregirlo de forma eficaz.</w:t>
      </w:r>
    </w:p>
    <w:p w14:paraId="396ABBC1" w14:textId="77777777" w:rsidR="00336A3B" w:rsidRDefault="00336A3B" w:rsidP="005D1589"/>
    <w:p w14:paraId="25AE9C38" w14:textId="27F49C85" w:rsidR="00336A3B" w:rsidRPr="006B42FA" w:rsidRDefault="00336A3B" w:rsidP="00336A3B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ESTRUCTURA</w:t>
      </w:r>
      <w:r w:rsidRPr="006B42FA">
        <w:rPr>
          <w:b/>
          <w:bCs/>
          <w:color w:val="0070C0"/>
          <w:sz w:val="32"/>
          <w:szCs w:val="32"/>
        </w:rPr>
        <w:t>:</w:t>
      </w:r>
    </w:p>
    <w:p w14:paraId="13DC3647" w14:textId="66167F63" w:rsidR="00336A3B" w:rsidRDefault="00C97EEB" w:rsidP="005D1589">
      <w:r>
        <w:t>En este apartado dif</w:t>
      </w:r>
      <w:r w:rsidR="00E32BC0">
        <w:t>ere</w:t>
      </w:r>
      <w:r>
        <w:t>nciamos dos tipos de estructura: la estructura de directorios y la de los ficheros de datos</w:t>
      </w:r>
      <w:r w:rsidR="00E32BC0">
        <w:t>.</w:t>
      </w:r>
    </w:p>
    <w:p w14:paraId="39C119D9" w14:textId="4F989DFD" w:rsidR="00584263" w:rsidRDefault="00E32BC0" w:rsidP="00584263">
      <w:pPr>
        <w:pStyle w:val="Prrafodelista"/>
        <w:numPr>
          <w:ilvl w:val="0"/>
          <w:numId w:val="2"/>
        </w:numPr>
      </w:pPr>
      <w:r>
        <w:t>Estructura de directorios:</w:t>
      </w:r>
      <w:r w:rsidR="004A5D7C">
        <w:t xml:space="preserve"> Se </w:t>
      </w:r>
      <w:proofErr w:type="spellStart"/>
      <w:r w:rsidR="006002BB">
        <w:t>compruba</w:t>
      </w:r>
      <w:proofErr w:type="spellEnd"/>
      <w:r w:rsidR="006002BB">
        <w:t xml:space="preserve"> a través de </w:t>
      </w:r>
      <w:proofErr w:type="spellStart"/>
      <w:r w:rsidR="006002BB">
        <w:t>test_dirs</w:t>
      </w:r>
      <w:proofErr w:type="spellEnd"/>
      <w:r w:rsidR="006002BB">
        <w:t>. Nos sirve para saber que la estructura</w:t>
      </w:r>
      <w:r w:rsidR="00584263">
        <w:t xml:space="preserve"> necesaria para la ingesta está presente.</w:t>
      </w:r>
    </w:p>
    <w:p w14:paraId="50464E9F" w14:textId="77777777" w:rsidR="00584263" w:rsidRDefault="00584263" w:rsidP="00584263">
      <w:pPr>
        <w:pStyle w:val="Prrafodelista"/>
      </w:pPr>
    </w:p>
    <w:p w14:paraId="518567BA" w14:textId="5050E420" w:rsidR="00584263" w:rsidRDefault="00584263" w:rsidP="00584263">
      <w:pPr>
        <w:pStyle w:val="Prrafodelista"/>
        <w:numPr>
          <w:ilvl w:val="0"/>
          <w:numId w:val="2"/>
        </w:numPr>
      </w:pPr>
      <w:r>
        <w:t xml:space="preserve">Estructura de datos: Es necesario verificar que los ficheros que se han enviado a </w:t>
      </w:r>
      <w:r w:rsidR="000D5A1D">
        <w:t xml:space="preserve">la carpeta para la ingesta tienen la misma estructura, ya que esto podría causar problemas </w:t>
      </w:r>
      <w:r w:rsidR="005D16D7">
        <w:t>más adelante durante la ETL</w:t>
      </w:r>
    </w:p>
    <w:p w14:paraId="68CA9567" w14:textId="77777777" w:rsidR="005D16D7" w:rsidRDefault="005D16D7" w:rsidP="005D16D7">
      <w:pPr>
        <w:pStyle w:val="Prrafodelista"/>
      </w:pPr>
    </w:p>
    <w:p w14:paraId="70F5BED4" w14:textId="2A5DB2C3" w:rsidR="005D16D7" w:rsidRPr="006B42FA" w:rsidRDefault="00612BDC" w:rsidP="005D16D7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MÓDULOS</w:t>
      </w:r>
      <w:r w:rsidR="005D16D7" w:rsidRPr="006B42FA">
        <w:rPr>
          <w:b/>
          <w:bCs/>
          <w:color w:val="0070C0"/>
          <w:sz w:val="32"/>
          <w:szCs w:val="32"/>
        </w:rPr>
        <w:t>:</w:t>
      </w:r>
    </w:p>
    <w:p w14:paraId="781662DB" w14:textId="289D9DBD" w:rsidR="00A44317" w:rsidRDefault="00ED51A5" w:rsidP="005D16D7">
      <w:r>
        <w:t xml:space="preserve">Los módulos en </w:t>
      </w:r>
      <w:proofErr w:type="spellStart"/>
      <w:r>
        <w:t>python</w:t>
      </w:r>
      <w:proofErr w:type="spellEnd"/>
      <w:r>
        <w:t xml:space="preserve"> han de seguir una estructura</w:t>
      </w:r>
      <w:r w:rsidR="00E2789B">
        <w:t xml:space="preserve"> fija para poder importarse y relacionarse correctamente. Para </w:t>
      </w:r>
      <w:r w:rsidR="001652B6">
        <w:t>comprobar que esta jerarq</w:t>
      </w:r>
      <w:r w:rsidR="00A775DE">
        <w:t xml:space="preserve">uía de ficheros empleamos el </w:t>
      </w:r>
      <w:proofErr w:type="spellStart"/>
      <w:r w:rsidR="00A775DE">
        <w:t>test_dirs</w:t>
      </w:r>
      <w:proofErr w:type="spellEnd"/>
      <w:r w:rsidR="00E36BD0">
        <w:t xml:space="preserve"> que también usábamos </w:t>
      </w:r>
      <w:r w:rsidR="00C848C0">
        <w:t>para ver la estructura de ingesta.</w:t>
      </w:r>
    </w:p>
    <w:p w14:paraId="7854CC08" w14:textId="77777777" w:rsidR="00A44317" w:rsidRDefault="00A44317" w:rsidP="005D16D7"/>
    <w:p w14:paraId="00D59634" w14:textId="152EACBF" w:rsidR="00A44317" w:rsidRPr="006B42FA" w:rsidRDefault="00A44317" w:rsidP="00A44317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CREDENCIALES</w:t>
      </w:r>
      <w:r w:rsidRPr="006B42FA">
        <w:rPr>
          <w:b/>
          <w:bCs/>
          <w:color w:val="0070C0"/>
          <w:sz w:val="32"/>
          <w:szCs w:val="32"/>
        </w:rPr>
        <w:t>:</w:t>
      </w:r>
    </w:p>
    <w:p w14:paraId="3FDF9EA2" w14:textId="40D766A2" w:rsidR="00A44317" w:rsidRDefault="00A44317" w:rsidP="005D16D7">
      <w:r>
        <w:t>Para poder conectarse a AWS mediante nuestro proyecto, es necesario que exista un fichero .</w:t>
      </w:r>
      <w:proofErr w:type="spellStart"/>
      <w:r>
        <w:t>env</w:t>
      </w:r>
      <w:proofErr w:type="spellEnd"/>
      <w:r>
        <w:t xml:space="preserve"> con las credenciales necesarias en el README.md.</w:t>
      </w:r>
    </w:p>
    <w:p w14:paraId="05D0CDF6" w14:textId="106C52E0" w:rsidR="00A44317" w:rsidRPr="006B0076" w:rsidRDefault="00A44317" w:rsidP="005D16D7">
      <w:pPr>
        <w:rPr>
          <w:u w:val="single"/>
        </w:rPr>
      </w:pPr>
      <w:r>
        <w:t xml:space="preserve">En caso de </w:t>
      </w:r>
      <w:r w:rsidR="006B0076">
        <w:t xml:space="preserve">que no existan, el test fallará e informará al usuario de que credenciales faltan por incluir, o si no existiese </w:t>
      </w:r>
      <w:proofErr w:type="spellStart"/>
      <w:r w:rsidR="006B0076">
        <w:t>el</w:t>
      </w:r>
      <w:proofErr w:type="spellEnd"/>
      <w:r w:rsidR="006B0076">
        <w:t xml:space="preserve"> .</w:t>
      </w:r>
      <w:proofErr w:type="spellStart"/>
      <w:r w:rsidR="006B0076">
        <w:t>env</w:t>
      </w:r>
      <w:proofErr w:type="spellEnd"/>
      <w:r w:rsidR="006B0076">
        <w:t>.</w:t>
      </w:r>
    </w:p>
    <w:p w14:paraId="540CF624" w14:textId="77777777" w:rsidR="00A44317" w:rsidRDefault="00A44317" w:rsidP="005D16D7"/>
    <w:p w14:paraId="42D4F241" w14:textId="77777777" w:rsidR="00A44317" w:rsidRDefault="00A44317" w:rsidP="005D16D7"/>
    <w:p w14:paraId="0B202ABD" w14:textId="77777777" w:rsidR="00A44317" w:rsidRDefault="00A44317" w:rsidP="005D16D7"/>
    <w:p w14:paraId="742FCCA4" w14:textId="043ECBA0" w:rsidR="005D16D7" w:rsidRPr="002265EA" w:rsidRDefault="00ED51A5" w:rsidP="005D16D7">
      <w:r>
        <w:t xml:space="preserve"> </w:t>
      </w:r>
    </w:p>
    <w:p w14:paraId="6A90A9A7" w14:textId="2B534629" w:rsidR="00256867" w:rsidRPr="002265EA" w:rsidRDefault="00256867"/>
    <w:sectPr w:rsidR="00256867" w:rsidRPr="00226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0048"/>
    <w:multiLevelType w:val="hybridMultilevel"/>
    <w:tmpl w:val="EC609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47D97"/>
    <w:multiLevelType w:val="hybridMultilevel"/>
    <w:tmpl w:val="DB8E8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695851">
    <w:abstractNumId w:val="0"/>
  </w:num>
  <w:num w:numId="2" w16cid:durableId="120876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87"/>
    <w:rsid w:val="0001697C"/>
    <w:rsid w:val="0002550B"/>
    <w:rsid w:val="0003236F"/>
    <w:rsid w:val="00053ADD"/>
    <w:rsid w:val="00055DA6"/>
    <w:rsid w:val="00097E0D"/>
    <w:rsid w:val="000D5A1D"/>
    <w:rsid w:val="001652B6"/>
    <w:rsid w:val="002265EA"/>
    <w:rsid w:val="00256867"/>
    <w:rsid w:val="00336A3B"/>
    <w:rsid w:val="003F0CE3"/>
    <w:rsid w:val="003F45E4"/>
    <w:rsid w:val="00411F87"/>
    <w:rsid w:val="00465849"/>
    <w:rsid w:val="004A5D7C"/>
    <w:rsid w:val="004B6B12"/>
    <w:rsid w:val="005057BC"/>
    <w:rsid w:val="005363C6"/>
    <w:rsid w:val="0058027E"/>
    <w:rsid w:val="00584263"/>
    <w:rsid w:val="00597334"/>
    <w:rsid w:val="005D1589"/>
    <w:rsid w:val="005D16D7"/>
    <w:rsid w:val="005F4371"/>
    <w:rsid w:val="006002BB"/>
    <w:rsid w:val="00612BDC"/>
    <w:rsid w:val="006B0076"/>
    <w:rsid w:val="006B42FA"/>
    <w:rsid w:val="006F78D7"/>
    <w:rsid w:val="00785F63"/>
    <w:rsid w:val="00817694"/>
    <w:rsid w:val="008231AF"/>
    <w:rsid w:val="00874270"/>
    <w:rsid w:val="008F1A29"/>
    <w:rsid w:val="00962D3F"/>
    <w:rsid w:val="00995620"/>
    <w:rsid w:val="009D7097"/>
    <w:rsid w:val="00A034C0"/>
    <w:rsid w:val="00A44317"/>
    <w:rsid w:val="00A775DE"/>
    <w:rsid w:val="00AC5929"/>
    <w:rsid w:val="00AC78F1"/>
    <w:rsid w:val="00B06FD9"/>
    <w:rsid w:val="00BE0B7C"/>
    <w:rsid w:val="00BF5532"/>
    <w:rsid w:val="00C54F74"/>
    <w:rsid w:val="00C5725F"/>
    <w:rsid w:val="00C848C0"/>
    <w:rsid w:val="00C97EEB"/>
    <w:rsid w:val="00CF6A27"/>
    <w:rsid w:val="00D03FBB"/>
    <w:rsid w:val="00D44C80"/>
    <w:rsid w:val="00D72DDA"/>
    <w:rsid w:val="00DA28E4"/>
    <w:rsid w:val="00DD4788"/>
    <w:rsid w:val="00E2789B"/>
    <w:rsid w:val="00E32BC0"/>
    <w:rsid w:val="00E36BD0"/>
    <w:rsid w:val="00ED51A5"/>
    <w:rsid w:val="00F7031E"/>
    <w:rsid w:val="00FE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235A"/>
  <w15:chartTrackingRefBased/>
  <w15:docId w15:val="{37B29D48-6A56-4ED7-B06A-1A2F12E7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1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1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1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1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1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1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1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1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1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1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1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1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1F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1F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1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1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1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1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1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1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1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1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1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1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1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1F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1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1F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1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3319</Characters>
  <Application>Microsoft Office Word</Application>
  <DocSecurity>0</DocSecurity>
  <Lines>27</Lines>
  <Paragraphs>7</Paragraphs>
  <ScaleCrop>false</ScaleCrop>
  <Company>NTT Data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Nuñez Loures</dc:creator>
  <cp:keywords/>
  <dc:description/>
  <cp:lastModifiedBy>Iago Nuñez Loures</cp:lastModifiedBy>
  <cp:revision>59</cp:revision>
  <dcterms:created xsi:type="dcterms:W3CDTF">2024-06-18T01:52:00Z</dcterms:created>
  <dcterms:modified xsi:type="dcterms:W3CDTF">2024-06-18T03:04:00Z</dcterms:modified>
</cp:coreProperties>
</file>