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C8A891" w14:textId="77777777" w:rsidR="004816C7" w:rsidRDefault="004816C7">
      <w:pPr>
        <w:spacing w:before="600"/>
      </w:pPr>
    </w:p>
    <w:p w14:paraId="39F7BC6F" w14:textId="77777777" w:rsidR="004816C7" w:rsidRDefault="00000000">
      <w:pPr>
        <w:spacing w:after="120"/>
        <w:jc w:val="center"/>
      </w:pPr>
      <w:r>
        <w:rPr>
          <w:b/>
          <w:bCs/>
          <w:color w:val="1F4E8B"/>
          <w:sz w:val="52"/>
          <w:szCs w:val="52"/>
        </w:rPr>
        <w:t>COE Prices in Singapore</w:t>
      </w:r>
    </w:p>
    <w:p w14:paraId="7004CE9B" w14:textId="77777777" w:rsidR="004816C7" w:rsidRDefault="00000000">
      <w:pPr>
        <w:spacing w:after="80"/>
        <w:jc w:val="center"/>
      </w:pPr>
      <w:r>
        <w:rPr>
          <w:i/>
          <w:iCs/>
          <w:color w:val="555555"/>
          <w:sz w:val="30"/>
          <w:szCs w:val="30"/>
        </w:rPr>
        <w:t>A Statistical Research Project</w:t>
      </w:r>
    </w:p>
    <w:p w14:paraId="0376F9D0" w14:textId="77777777" w:rsidR="004816C7" w:rsidRDefault="004816C7">
      <w:pPr>
        <w:spacing w:before="40"/>
      </w:pPr>
    </w:p>
    <w:p w14:paraId="065A4A74" w14:textId="77777777" w:rsidR="004816C7" w:rsidRDefault="004816C7">
      <w:pPr>
        <w:pBdr>
          <w:bottom w:val="single" w:sz="6" w:space="4" w:color="A8C6E8"/>
        </w:pBdr>
        <w:spacing w:after="40"/>
        <w:jc w:val="center"/>
      </w:pPr>
    </w:p>
    <w:p w14:paraId="50E6E5DC" w14:textId="77777777" w:rsidR="004816C7" w:rsidRDefault="004816C7">
      <w:pPr>
        <w:spacing w:before="60"/>
      </w:pPr>
    </w:p>
    <w:p w14:paraId="450CF8B8" w14:textId="77777777" w:rsidR="004816C7" w:rsidRDefault="00000000">
      <w:pPr>
        <w:spacing w:after="80"/>
        <w:jc w:val="center"/>
      </w:pPr>
      <w:r>
        <w:rPr>
          <w:color w:val="444444"/>
          <w:sz w:val="24"/>
          <w:szCs w:val="24"/>
        </w:rPr>
        <w:t>Research Proposal &amp; Methodology</w:t>
      </w:r>
    </w:p>
    <w:p w14:paraId="1DAE95D8" w14:textId="77777777" w:rsidR="004816C7" w:rsidRDefault="00000000">
      <w:pPr>
        <w:spacing w:after="800"/>
        <w:jc w:val="center"/>
      </w:pPr>
      <w:r>
        <w:rPr>
          <w:color w:val="888888"/>
        </w:rPr>
        <w:t>Statistics Project  |  2025</w:t>
      </w:r>
    </w:p>
    <w:p w14:paraId="4DB741A1" w14:textId="77777777" w:rsidR="004816C7" w:rsidRDefault="00000000">
      <w:r>
        <w:br w:type="page"/>
      </w:r>
    </w:p>
    <w:p w14:paraId="0A5DA63E" w14:textId="77777777" w:rsidR="004816C7" w:rsidRDefault="00000000">
      <w:pPr>
        <w:pStyle w:val="Heading1"/>
        <w:pBdr>
          <w:bottom w:val="single" w:sz="6" w:space="4" w:color="1F4E8B"/>
        </w:pBdr>
      </w:pPr>
      <w:r>
        <w:lastRenderedPageBreak/>
        <w:t>Table of Contents</w:t>
      </w:r>
    </w:p>
    <w:p w14:paraId="45BF4974" w14:textId="77777777" w:rsidR="004816C7" w:rsidRDefault="004816C7">
      <w:pPr>
        <w:spacing w:before="40"/>
      </w:pPr>
    </w:p>
    <w:p w14:paraId="5671B211" w14:textId="77777777" w:rsidR="004816C7" w:rsidRDefault="00000000">
      <w:pPr>
        <w:tabs>
          <w:tab w:val="right" w:pos="9360"/>
        </w:tabs>
        <w:spacing w:after="80"/>
      </w:pPr>
      <w:r>
        <w:rPr>
          <w:color w:val="222222"/>
        </w:rPr>
        <w:t>1.  Introduction</w:t>
      </w:r>
      <w:r>
        <w:rPr>
          <w:color w:val="888888"/>
        </w:rPr>
        <w:tab/>
        <w:t>3</w:t>
      </w:r>
    </w:p>
    <w:p w14:paraId="62C92897" w14:textId="77777777" w:rsidR="004816C7" w:rsidRDefault="00000000">
      <w:pPr>
        <w:tabs>
          <w:tab w:val="right" w:pos="9360"/>
        </w:tabs>
        <w:spacing w:after="80"/>
      </w:pPr>
      <w:r>
        <w:rPr>
          <w:color w:val="222222"/>
        </w:rPr>
        <w:t>2.  Project Framing &amp; Objectives</w:t>
      </w:r>
      <w:r>
        <w:rPr>
          <w:color w:val="888888"/>
        </w:rPr>
        <w:tab/>
        <w:t>3</w:t>
      </w:r>
    </w:p>
    <w:p w14:paraId="5A2710B4" w14:textId="77777777" w:rsidR="004816C7" w:rsidRDefault="00000000">
      <w:pPr>
        <w:tabs>
          <w:tab w:val="right" w:pos="9360"/>
        </w:tabs>
        <w:spacing w:after="80"/>
      </w:pPr>
      <w:r>
        <w:rPr>
          <w:color w:val="222222"/>
        </w:rPr>
        <w:t>3.  Research Questions</w:t>
      </w:r>
      <w:r>
        <w:rPr>
          <w:color w:val="888888"/>
        </w:rPr>
        <w:tab/>
        <w:t>4</w:t>
      </w:r>
    </w:p>
    <w:p w14:paraId="27B8C027" w14:textId="77777777" w:rsidR="004816C7" w:rsidRDefault="00000000">
      <w:pPr>
        <w:tabs>
          <w:tab w:val="right" w:pos="9360"/>
        </w:tabs>
        <w:spacing w:after="80"/>
      </w:pPr>
      <w:r>
        <w:rPr>
          <w:color w:val="222222"/>
        </w:rPr>
        <w:t>4.  Key Variables &amp; Data Sources</w:t>
      </w:r>
      <w:r>
        <w:rPr>
          <w:color w:val="888888"/>
        </w:rPr>
        <w:tab/>
        <w:t>6</w:t>
      </w:r>
    </w:p>
    <w:p w14:paraId="75B06E2F" w14:textId="77777777" w:rsidR="004816C7" w:rsidRDefault="00000000">
      <w:pPr>
        <w:tabs>
          <w:tab w:val="right" w:pos="9360"/>
        </w:tabs>
        <w:spacing w:after="80"/>
      </w:pPr>
      <w:r>
        <w:rPr>
          <w:color w:val="222222"/>
        </w:rPr>
        <w:t>5.  The Role of PQP (Prevailing Quota Premium)</w:t>
      </w:r>
      <w:r>
        <w:rPr>
          <w:color w:val="888888"/>
        </w:rPr>
        <w:tab/>
        <w:t>8</w:t>
      </w:r>
    </w:p>
    <w:p w14:paraId="0C7FEEFF" w14:textId="77777777" w:rsidR="004816C7" w:rsidRDefault="00000000">
      <w:pPr>
        <w:tabs>
          <w:tab w:val="right" w:pos="9360"/>
        </w:tabs>
        <w:spacing w:after="80"/>
      </w:pPr>
      <w:r>
        <w:rPr>
          <w:color w:val="222222"/>
        </w:rPr>
        <w:t>6.  Statistical Methods &amp; Analyses</w:t>
      </w:r>
      <w:r>
        <w:rPr>
          <w:color w:val="888888"/>
        </w:rPr>
        <w:tab/>
        <w:t>9</w:t>
      </w:r>
    </w:p>
    <w:p w14:paraId="23007219" w14:textId="77777777" w:rsidR="004816C7" w:rsidRDefault="00000000">
      <w:pPr>
        <w:tabs>
          <w:tab w:val="right" w:pos="9360"/>
        </w:tabs>
        <w:spacing w:after="80"/>
      </w:pPr>
      <w:r>
        <w:rPr>
          <w:color w:val="222222"/>
        </w:rPr>
        <w:t>7.  Advanced Techniques &amp; Simulations</w:t>
      </w:r>
      <w:r>
        <w:rPr>
          <w:color w:val="888888"/>
        </w:rPr>
        <w:tab/>
        <w:t>11</w:t>
      </w:r>
    </w:p>
    <w:p w14:paraId="6325EB2B" w14:textId="77777777" w:rsidR="004816C7" w:rsidRDefault="00000000">
      <w:pPr>
        <w:tabs>
          <w:tab w:val="right" w:pos="9360"/>
        </w:tabs>
        <w:spacing w:after="80"/>
      </w:pPr>
      <w:r>
        <w:rPr>
          <w:color w:val="222222"/>
        </w:rPr>
        <w:t>8.  Proposed Project Structure</w:t>
      </w:r>
      <w:r>
        <w:rPr>
          <w:color w:val="888888"/>
        </w:rPr>
        <w:tab/>
        <w:t>12</w:t>
      </w:r>
    </w:p>
    <w:p w14:paraId="40BBB267" w14:textId="77777777" w:rsidR="004816C7" w:rsidRDefault="00000000">
      <w:pPr>
        <w:tabs>
          <w:tab w:val="right" w:pos="9360"/>
        </w:tabs>
        <w:spacing w:after="80"/>
      </w:pPr>
      <w:r>
        <w:rPr>
          <w:color w:val="222222"/>
        </w:rPr>
        <w:t>9.  Target Novel Conclusions</w:t>
      </w:r>
      <w:r>
        <w:rPr>
          <w:color w:val="888888"/>
        </w:rPr>
        <w:tab/>
        <w:t>13</w:t>
      </w:r>
    </w:p>
    <w:p w14:paraId="7BB7F4D4" w14:textId="77777777" w:rsidR="004816C7" w:rsidRDefault="00000000">
      <w:pPr>
        <w:tabs>
          <w:tab w:val="right" w:pos="9360"/>
        </w:tabs>
        <w:spacing w:after="80"/>
      </w:pPr>
      <w:r>
        <w:rPr>
          <w:color w:val="222222"/>
        </w:rPr>
        <w:t>10. Limitations &amp; Considerations</w:t>
      </w:r>
      <w:r>
        <w:rPr>
          <w:color w:val="888888"/>
        </w:rPr>
        <w:tab/>
        <w:t>14</w:t>
      </w:r>
    </w:p>
    <w:p w14:paraId="5B3859EE" w14:textId="77777777" w:rsidR="004816C7" w:rsidRDefault="00000000">
      <w:r>
        <w:br w:type="page"/>
      </w:r>
    </w:p>
    <w:p w14:paraId="1BDEF57A" w14:textId="77777777" w:rsidR="004816C7" w:rsidRDefault="00000000">
      <w:pPr>
        <w:pStyle w:val="Heading1"/>
        <w:pBdr>
          <w:bottom w:val="single" w:sz="6" w:space="4" w:color="1F4E8B"/>
        </w:pBdr>
      </w:pPr>
      <w:r>
        <w:lastRenderedPageBreak/>
        <w:t>1. Introduction</w:t>
      </w:r>
    </w:p>
    <w:p w14:paraId="537C0004" w14:textId="77777777" w:rsidR="004816C7" w:rsidRDefault="00000000">
      <w:pPr>
        <w:spacing w:after="120" w:line="276" w:lineRule="auto"/>
      </w:pPr>
      <w:r>
        <w:rPr>
          <w:color w:val="222222"/>
        </w:rPr>
        <w:t>The Certificate of Entitlement (COE) is a unique instrument in Singapore's transportation policy. Introduced in 1990, it grants the holder the right to own and operate a vehicle in Singapore for ten years. Because the number of COEs is controlled by the Land Transport Authority (LTA) through a fixed quota system, COE prices are determined through a competitive bidding process — making them effectively an auction-driven asset price.</w:t>
      </w:r>
    </w:p>
    <w:p w14:paraId="57198A38" w14:textId="77777777" w:rsidR="004816C7" w:rsidRDefault="004816C7">
      <w:pPr>
        <w:spacing w:before="60"/>
      </w:pPr>
    </w:p>
    <w:p w14:paraId="09D86E59" w14:textId="77777777" w:rsidR="004816C7" w:rsidRDefault="00000000">
      <w:pPr>
        <w:spacing w:after="120" w:line="276" w:lineRule="auto"/>
      </w:pPr>
      <w:r>
        <w:rPr>
          <w:color w:val="222222"/>
        </w:rPr>
        <w:t>COE prices have historically been highly volatile, reaching peaks above SGD 100,000 and troughs below SGD 10,000 within the same decade. This volatility, combined with the significant financial burden it places on car buyers and the broader implications for Singapore's cost of living and transport policy, makes COE prices an ideal subject for rigorous statistical investigation.</w:t>
      </w:r>
    </w:p>
    <w:p w14:paraId="4F0E044E" w14:textId="77777777" w:rsidR="004816C7" w:rsidRDefault="004816C7">
      <w:pPr>
        <w:spacing w:before="60"/>
      </w:pPr>
    </w:p>
    <w:p w14:paraId="67C7F21C" w14:textId="77777777" w:rsidR="004816C7" w:rsidRDefault="00000000">
      <w:pPr>
        <w:spacing w:after="120" w:line="276" w:lineRule="auto"/>
      </w:pPr>
      <w:r>
        <w:rPr>
          <w:color w:val="222222"/>
        </w:rPr>
        <w:t>This research project investigates the key determinants of COE prices, explores whether popular beliefs (such as election-year price drops) hold statistical validity, and attempts to identify optimal purchasing strategies using publicly available data.</w:t>
      </w:r>
    </w:p>
    <w:p w14:paraId="7CA00AD6" w14:textId="77777777" w:rsidR="004816C7" w:rsidRDefault="004816C7">
      <w:pPr>
        <w:spacing w:before="120"/>
      </w:pPr>
    </w:p>
    <w:p w14:paraId="22CCBED0" w14:textId="77777777" w:rsidR="004816C7" w:rsidRDefault="00000000">
      <w:pPr>
        <w:pStyle w:val="Heading1"/>
        <w:pBdr>
          <w:bottom w:val="single" w:sz="6" w:space="4" w:color="1F4E8B"/>
        </w:pBdr>
      </w:pPr>
      <w:r>
        <w:t>2. Project Framing &amp; Objectives</w:t>
      </w:r>
    </w:p>
    <w:p w14:paraId="23C0E9D6" w14:textId="77777777" w:rsidR="004816C7" w:rsidRDefault="00000000">
      <w:pPr>
        <w:pStyle w:val="Heading2"/>
      </w:pPr>
      <w:r>
        <w:t>2.1 Central Research Theme</w:t>
      </w:r>
    </w:p>
    <w:p w14:paraId="3AD77A07" w14:textId="77777777" w:rsidR="004816C7" w:rsidRDefault="00000000">
      <w:pPr>
        <w:spacing w:after="120" w:line="276" w:lineRule="auto"/>
      </w:pPr>
      <w:r>
        <w:rPr>
          <w:color w:val="222222"/>
        </w:rPr>
        <w:t>The project is structured around a central question:</w:t>
      </w:r>
    </w:p>
    <w:p w14:paraId="77713CBA" w14:textId="77777777" w:rsidR="004816C7" w:rsidRDefault="004816C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16C7" w14:paraId="1F23901C" w14:textId="77777777">
        <w:tblPrEx>
          <w:tblCellMar>
            <w:top w:w="0" w:type="dxa"/>
            <w:bottom w:w="0" w:type="dxa"/>
          </w:tblCellMar>
        </w:tblPrEx>
        <w:tc>
          <w:tcPr>
            <w:tcW w:w="9360" w:type="dxa"/>
            <w:tcBorders>
              <w:top w:val="single" w:sz="12" w:space="0" w:color="1F4E8B"/>
              <w:left w:val="single" w:sz="12" w:space="0" w:color="1F4E8B"/>
              <w:bottom w:val="single" w:sz="1" w:space="0" w:color="CCCCCC"/>
              <w:right w:val="single" w:sz="1" w:space="0" w:color="CCCCCC"/>
            </w:tcBorders>
            <w:shd w:val="clear" w:color="auto" w:fill="D6E4F7"/>
            <w:tcMar>
              <w:top w:w="120" w:type="dxa"/>
              <w:left w:w="200" w:type="dxa"/>
              <w:bottom w:w="120" w:type="dxa"/>
              <w:right w:w="200" w:type="dxa"/>
            </w:tcMar>
          </w:tcPr>
          <w:p w14:paraId="4E3391C6" w14:textId="77777777" w:rsidR="004816C7" w:rsidRDefault="00000000">
            <w:pPr>
              <w:spacing w:before="80" w:after="100"/>
            </w:pPr>
            <w:r>
              <w:rPr>
                <w:b/>
                <w:bCs/>
                <w:color w:val="1F4E8B"/>
              </w:rPr>
              <w:t>Core Research Question</w:t>
            </w:r>
          </w:p>
          <w:p w14:paraId="2B6C297B" w14:textId="77777777" w:rsidR="004816C7" w:rsidRDefault="00000000">
            <w:pPr>
              <w:spacing w:after="60"/>
            </w:pPr>
            <w:r>
              <w:rPr>
                <w:color w:val="333333"/>
                <w:sz w:val="20"/>
                <w:szCs w:val="20"/>
              </w:rPr>
              <w:t>"What are the key determinants of COE prices in Singapore, and can we identify</w:t>
            </w:r>
          </w:p>
          <w:p w14:paraId="6F801146" w14:textId="77777777" w:rsidR="004816C7" w:rsidRDefault="00000000">
            <w:pPr>
              <w:spacing w:after="60"/>
            </w:pPr>
            <w:r>
              <w:rPr>
                <w:color w:val="333333"/>
                <w:sz w:val="20"/>
                <w:szCs w:val="20"/>
              </w:rPr>
              <w:t xml:space="preserve"> statistically significant patterns to inform optimal purchase timing?"</w:t>
            </w:r>
          </w:p>
        </w:tc>
      </w:tr>
    </w:tbl>
    <w:p w14:paraId="325C4861" w14:textId="77777777" w:rsidR="004816C7" w:rsidRDefault="004816C7">
      <w:pPr>
        <w:spacing w:before="100"/>
      </w:pPr>
    </w:p>
    <w:p w14:paraId="195192A6" w14:textId="77777777" w:rsidR="004816C7" w:rsidRDefault="00000000">
      <w:pPr>
        <w:spacing w:after="120" w:line="276" w:lineRule="auto"/>
      </w:pPr>
      <w:r>
        <w:rPr>
          <w:color w:val="222222"/>
        </w:rPr>
        <w:t>Alternative framings that may sharpen specific analyses include:</w:t>
      </w:r>
    </w:p>
    <w:p w14:paraId="6973A2E0" w14:textId="77777777" w:rsidR="004816C7" w:rsidRDefault="00000000">
      <w:pPr>
        <w:pStyle w:val="ListParagraph"/>
        <w:numPr>
          <w:ilvl w:val="0"/>
          <w:numId w:val="2"/>
        </w:numPr>
        <w:spacing w:after="80"/>
      </w:pPr>
      <w:r>
        <w:rPr>
          <w:color w:val="222222"/>
        </w:rPr>
        <w:t>Are COE prices driven more by economic fundamentals or policy interventions?</w:t>
      </w:r>
    </w:p>
    <w:p w14:paraId="143C4A89" w14:textId="77777777" w:rsidR="004816C7" w:rsidRDefault="00000000">
      <w:pPr>
        <w:pStyle w:val="ListParagraph"/>
        <w:numPr>
          <w:ilvl w:val="0"/>
          <w:numId w:val="2"/>
        </w:numPr>
        <w:spacing w:after="80"/>
      </w:pPr>
      <w:r>
        <w:rPr>
          <w:color w:val="222222"/>
        </w:rPr>
        <w:t>Do behavioural and political cycles (e.g. elections, PQP dynamics) influence COE prices beyond macroeconomic factors?</w:t>
      </w:r>
    </w:p>
    <w:p w14:paraId="68043778" w14:textId="77777777" w:rsidR="004816C7" w:rsidRDefault="00000000">
      <w:pPr>
        <w:pStyle w:val="ListParagraph"/>
        <w:numPr>
          <w:ilvl w:val="0"/>
          <w:numId w:val="2"/>
        </w:numPr>
        <w:spacing w:after="80"/>
      </w:pPr>
      <w:r>
        <w:rPr>
          <w:color w:val="222222"/>
        </w:rPr>
        <w:t>How does revenue collected from COEs interact with Singapore's broader cost-of-living indicators?</w:t>
      </w:r>
    </w:p>
    <w:p w14:paraId="04D0DE4C" w14:textId="77777777" w:rsidR="004816C7" w:rsidRDefault="004816C7">
      <w:pPr>
        <w:spacing w:before="80"/>
      </w:pPr>
    </w:p>
    <w:p w14:paraId="5BECCC12" w14:textId="77777777" w:rsidR="004816C7" w:rsidRDefault="00000000">
      <w:pPr>
        <w:pStyle w:val="Heading2"/>
      </w:pPr>
      <w:r>
        <w:t>2.2 Objectives</w:t>
      </w:r>
    </w:p>
    <w:p w14:paraId="265DACCD" w14:textId="77777777" w:rsidR="004816C7" w:rsidRDefault="00000000">
      <w:pPr>
        <w:pStyle w:val="ListParagraph"/>
        <w:numPr>
          <w:ilvl w:val="0"/>
          <w:numId w:val="3"/>
        </w:numPr>
        <w:spacing w:after="80"/>
      </w:pPr>
      <w:r>
        <w:rPr>
          <w:color w:val="222222"/>
        </w:rPr>
        <w:t>Identify macroeconomic and policy variables that significantly predict COE prices.</w:t>
      </w:r>
    </w:p>
    <w:p w14:paraId="72BAFB47" w14:textId="77777777" w:rsidR="004816C7" w:rsidRDefault="00000000">
      <w:pPr>
        <w:pStyle w:val="ListParagraph"/>
        <w:numPr>
          <w:ilvl w:val="0"/>
          <w:numId w:val="3"/>
        </w:numPr>
        <w:spacing w:after="80"/>
      </w:pPr>
      <w:r>
        <w:rPr>
          <w:color w:val="222222"/>
        </w:rPr>
        <w:lastRenderedPageBreak/>
        <w:t>Quantify the relative contribution of supply-side (quota) vs. demand-side (income, spending) factors.</w:t>
      </w:r>
    </w:p>
    <w:p w14:paraId="0A46C596" w14:textId="77777777" w:rsidR="004816C7" w:rsidRDefault="00000000">
      <w:pPr>
        <w:pStyle w:val="ListParagraph"/>
        <w:numPr>
          <w:ilvl w:val="0"/>
          <w:numId w:val="3"/>
        </w:numPr>
        <w:spacing w:after="80"/>
      </w:pPr>
      <w:r>
        <w:rPr>
          <w:color w:val="222222"/>
        </w:rPr>
        <w:t>Test popular hypotheses — e.g. election-year price drops — using formal statistical tests.</w:t>
      </w:r>
    </w:p>
    <w:p w14:paraId="5816C975" w14:textId="77777777" w:rsidR="004816C7" w:rsidRDefault="00000000">
      <w:pPr>
        <w:pStyle w:val="ListParagraph"/>
        <w:numPr>
          <w:ilvl w:val="0"/>
          <w:numId w:val="3"/>
        </w:numPr>
        <w:spacing w:after="80"/>
      </w:pPr>
      <w:r>
        <w:rPr>
          <w:color w:val="222222"/>
        </w:rPr>
        <w:t>Model the PQP's behavioural effect on bidding demand.</w:t>
      </w:r>
    </w:p>
    <w:p w14:paraId="7D3B6FA8" w14:textId="77777777" w:rsidR="004816C7" w:rsidRDefault="00000000">
      <w:pPr>
        <w:pStyle w:val="ListParagraph"/>
        <w:numPr>
          <w:ilvl w:val="0"/>
          <w:numId w:val="3"/>
        </w:numPr>
        <w:spacing w:after="80"/>
      </w:pPr>
      <w:r>
        <w:rPr>
          <w:color w:val="222222"/>
        </w:rPr>
        <w:t>Determine if there are seasonal or cyclical patterns in COE prices that suggest optimal purchasing windows.</w:t>
      </w:r>
    </w:p>
    <w:p w14:paraId="6C377E48" w14:textId="77777777" w:rsidR="004816C7" w:rsidRDefault="00000000">
      <w:r>
        <w:br w:type="page"/>
      </w:r>
    </w:p>
    <w:p w14:paraId="27F492E8" w14:textId="77777777" w:rsidR="004816C7" w:rsidRDefault="00000000">
      <w:pPr>
        <w:pStyle w:val="Heading1"/>
        <w:pBdr>
          <w:bottom w:val="single" w:sz="6" w:space="4" w:color="1F4E8B"/>
        </w:pBdr>
      </w:pPr>
      <w:r>
        <w:lastRenderedPageBreak/>
        <w:t>3. Research Questions</w:t>
      </w:r>
    </w:p>
    <w:p w14:paraId="6CB4A6C5" w14:textId="77777777" w:rsidR="004816C7" w:rsidRDefault="00000000">
      <w:pPr>
        <w:spacing w:after="120" w:line="276" w:lineRule="auto"/>
      </w:pPr>
      <w:r>
        <w:rPr>
          <w:color w:val="222222"/>
        </w:rPr>
        <w:t>The following research questions are organised by theme. It is recommended that the group selects 2–3 primary questions and treats the remaining as supplementary analyses.</w:t>
      </w:r>
    </w:p>
    <w:p w14:paraId="696EC142" w14:textId="77777777" w:rsidR="004816C7" w:rsidRDefault="004816C7">
      <w:pPr>
        <w:spacing w:before="80"/>
      </w:pPr>
    </w:p>
    <w:p w14:paraId="58F8FE2E" w14:textId="77777777" w:rsidR="004816C7" w:rsidRDefault="00000000">
      <w:pPr>
        <w:pStyle w:val="Heading2"/>
      </w:pPr>
      <w:r>
        <w:t>3.1 Core Determinants</w:t>
      </w:r>
    </w:p>
    <w:p w14:paraId="633C188E" w14:textId="77777777" w:rsidR="004816C7" w:rsidRDefault="00000000">
      <w:pPr>
        <w:pStyle w:val="Heading3"/>
      </w:pPr>
      <w:r>
        <w:t>RQ1 — What variables significantly affect COE prices?</w:t>
      </w:r>
    </w:p>
    <w:p w14:paraId="1386E45E" w14:textId="77777777" w:rsidR="004816C7" w:rsidRDefault="00000000">
      <w:pPr>
        <w:spacing w:after="120" w:line="276" w:lineRule="auto"/>
      </w:pPr>
      <w:r>
        <w:rPr>
          <w:color w:val="222222"/>
        </w:rPr>
        <w:t>This is the foundational analysis. A multiple regression model will be built with COE price as the dependent variable and economic, policy, and behavioural variables as predictors. Key candidates include household income, COE quota supply, retail sales index, CPI, and PQP.</w:t>
      </w:r>
    </w:p>
    <w:p w14:paraId="38F3A964" w14:textId="77777777" w:rsidR="004816C7" w:rsidRDefault="004816C7">
      <w:pPr>
        <w:spacing w:before="40"/>
      </w:pPr>
    </w:p>
    <w:p w14:paraId="76B6207D" w14:textId="77777777" w:rsidR="004816C7" w:rsidRDefault="00000000">
      <w:pPr>
        <w:pStyle w:val="Heading3"/>
      </w:pPr>
      <w:r>
        <w:t>RQ2 — Can we build a reliable predictive model for COE prices?</w:t>
      </w:r>
    </w:p>
    <w:p w14:paraId="44096055" w14:textId="77777777" w:rsidR="004816C7" w:rsidRDefault="00000000">
      <w:pPr>
        <w:spacing w:after="120" w:line="276" w:lineRule="auto"/>
      </w:pPr>
      <w:r>
        <w:rPr>
          <w:color w:val="222222"/>
        </w:rPr>
        <w:t>Using the variables identified in RQ1, a prediction model will be constructed and validated. This could be a linear regression, a lagged regression, or a machine learning model (e.g. Random Forest) depending on the group's coding capacity.</w:t>
      </w:r>
    </w:p>
    <w:p w14:paraId="36C17F8F" w14:textId="77777777" w:rsidR="004816C7" w:rsidRDefault="004816C7">
      <w:pPr>
        <w:spacing w:before="80"/>
      </w:pPr>
    </w:p>
    <w:p w14:paraId="38477342" w14:textId="77777777" w:rsidR="004816C7" w:rsidRDefault="00000000">
      <w:pPr>
        <w:pStyle w:val="Heading2"/>
      </w:pPr>
      <w:r>
        <w:t>3.2 Supply vs. Demand</w:t>
      </w:r>
    </w:p>
    <w:p w14:paraId="281D6A71" w14:textId="77777777" w:rsidR="004816C7" w:rsidRDefault="00000000">
      <w:pPr>
        <w:pStyle w:val="Heading3"/>
      </w:pPr>
      <w:r>
        <w:t>RQ3 — Is COE price more sensitive to supply (quota) or demand (income/spending)?</w:t>
      </w:r>
    </w:p>
    <w:p w14:paraId="0B894520" w14:textId="77777777" w:rsidR="004816C7" w:rsidRDefault="00000000">
      <w:pPr>
        <w:spacing w:after="120" w:line="276" w:lineRule="auto"/>
      </w:pPr>
      <w:r>
        <w:rPr>
          <w:color w:val="222222"/>
        </w:rPr>
        <w:t>This is likely the strongest and most empirically interesting question. By comparing standardised regression coefficients for quota supply versus demand-side variables, we can determine which side of the market drives price more powerfully.</w:t>
      </w:r>
    </w:p>
    <w:p w14:paraId="2C2D8876" w14:textId="77777777" w:rsidR="004816C7" w:rsidRDefault="004816C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16C7" w14:paraId="62AB9A49" w14:textId="77777777">
        <w:tblPrEx>
          <w:tblCellMar>
            <w:top w:w="0" w:type="dxa"/>
            <w:bottom w:w="0" w:type="dxa"/>
          </w:tblCellMar>
        </w:tblPrEx>
        <w:tc>
          <w:tcPr>
            <w:tcW w:w="9360" w:type="dxa"/>
            <w:tcBorders>
              <w:top w:val="single" w:sz="12" w:space="0" w:color="1F4E8B"/>
              <w:left w:val="single" w:sz="12" w:space="0" w:color="1F4E8B"/>
              <w:bottom w:val="single" w:sz="1" w:space="0" w:color="CCCCCC"/>
              <w:right w:val="single" w:sz="1" w:space="0" w:color="CCCCCC"/>
            </w:tcBorders>
            <w:shd w:val="clear" w:color="auto" w:fill="D6E4F7"/>
            <w:tcMar>
              <w:top w:w="120" w:type="dxa"/>
              <w:left w:w="200" w:type="dxa"/>
              <w:bottom w:w="120" w:type="dxa"/>
              <w:right w:w="200" w:type="dxa"/>
            </w:tcMar>
          </w:tcPr>
          <w:p w14:paraId="69D8D44E" w14:textId="77777777" w:rsidR="004816C7" w:rsidRDefault="00000000">
            <w:pPr>
              <w:spacing w:before="80" w:after="100"/>
            </w:pPr>
            <w:r>
              <w:rPr>
                <w:b/>
                <w:bCs/>
                <w:color w:val="1F4E8B"/>
              </w:rPr>
              <w:t>Hypothesis</w:t>
            </w:r>
          </w:p>
          <w:p w14:paraId="3E55B271" w14:textId="77777777" w:rsidR="004816C7" w:rsidRDefault="00000000">
            <w:pPr>
              <w:spacing w:after="60"/>
            </w:pPr>
            <w:r>
              <w:rPr>
                <w:color w:val="333333"/>
                <w:sz w:val="20"/>
                <w:szCs w:val="20"/>
              </w:rPr>
              <w:t>H0: Supply (quota) changes have no greater effect on COE price than demand changes.</w:t>
            </w:r>
          </w:p>
          <w:p w14:paraId="78AB676C" w14:textId="77777777" w:rsidR="004816C7" w:rsidRDefault="00000000">
            <w:pPr>
              <w:spacing w:after="60"/>
            </w:pPr>
            <w:r>
              <w:rPr>
                <w:color w:val="333333"/>
                <w:sz w:val="20"/>
                <w:szCs w:val="20"/>
              </w:rPr>
              <w:t>H1: Quota supply is the dominant determinant of COE prices.</w:t>
            </w:r>
          </w:p>
        </w:tc>
      </w:tr>
    </w:tbl>
    <w:p w14:paraId="6C4ACCB1" w14:textId="77777777" w:rsidR="004816C7" w:rsidRDefault="004816C7">
      <w:pPr>
        <w:spacing w:before="80"/>
      </w:pPr>
    </w:p>
    <w:p w14:paraId="0C9B8AE7" w14:textId="77777777" w:rsidR="004816C7" w:rsidRDefault="00000000">
      <w:pPr>
        <w:pStyle w:val="Heading2"/>
      </w:pPr>
      <w:r>
        <w:t>3.3 Behavioural &amp; Political Effects</w:t>
      </w:r>
    </w:p>
    <w:p w14:paraId="462C8946" w14:textId="77777777" w:rsidR="004816C7" w:rsidRDefault="00000000">
      <w:pPr>
        <w:pStyle w:val="Heading3"/>
      </w:pPr>
      <w:r>
        <w:t>RQ4 — Do COE prices drop during election years?</w:t>
      </w:r>
    </w:p>
    <w:p w14:paraId="359B159A" w14:textId="77777777" w:rsidR="004816C7" w:rsidRDefault="00000000">
      <w:pPr>
        <w:spacing w:after="120" w:line="276" w:lineRule="auto"/>
      </w:pPr>
      <w:r>
        <w:rPr>
          <w:color w:val="222222"/>
        </w:rPr>
        <w:t>A widely cited belief in Singapore is that the government manages COE prices around election cycles. This can be tested formally using a dummy variable regression or an independent samples t-test comparing COE prices in election vs. non-election periods.</w:t>
      </w:r>
    </w:p>
    <w:p w14:paraId="19988040" w14:textId="77777777" w:rsidR="004816C7" w:rsidRDefault="004816C7">
      <w:pPr>
        <w:spacing w:before="40"/>
      </w:pPr>
    </w:p>
    <w:p w14:paraId="0A7CDFC9" w14:textId="77777777" w:rsidR="004816C7" w:rsidRDefault="00000000">
      <w:pPr>
        <w:pStyle w:val="ListParagraph"/>
        <w:numPr>
          <w:ilvl w:val="0"/>
          <w:numId w:val="2"/>
        </w:numPr>
        <w:spacing w:after="80"/>
      </w:pPr>
      <w:r>
        <w:rPr>
          <w:color w:val="222222"/>
        </w:rPr>
        <w:t>Election years (General Elections): 2011, 2015, 2020, and 2025.</w:t>
      </w:r>
    </w:p>
    <w:p w14:paraId="73A1CEE6" w14:textId="77777777" w:rsidR="004816C7" w:rsidRDefault="00000000">
      <w:pPr>
        <w:pStyle w:val="ListParagraph"/>
        <w:numPr>
          <w:ilvl w:val="0"/>
          <w:numId w:val="2"/>
        </w:numPr>
        <w:spacing w:after="80"/>
      </w:pPr>
      <w:r>
        <w:rPr>
          <w:color w:val="222222"/>
        </w:rPr>
        <w:lastRenderedPageBreak/>
        <w:t>A "pre-election window" of 6–12 months before the election date could also be tested.</w:t>
      </w:r>
    </w:p>
    <w:p w14:paraId="218B4631" w14:textId="77777777" w:rsidR="004816C7" w:rsidRDefault="00000000">
      <w:pPr>
        <w:pStyle w:val="ListParagraph"/>
        <w:numPr>
          <w:ilvl w:val="0"/>
          <w:numId w:val="2"/>
        </w:numPr>
        <w:spacing w:after="80"/>
      </w:pPr>
      <w:r>
        <w:rPr>
          <w:color w:val="222222"/>
        </w:rPr>
        <w:t>Expected outcome: This hypothesis may be debunked — which is itself a strong novel finding.</w:t>
      </w:r>
    </w:p>
    <w:p w14:paraId="77108A35" w14:textId="77777777" w:rsidR="004816C7" w:rsidRDefault="004816C7">
      <w:pPr>
        <w:spacing w:before="80"/>
      </w:pPr>
    </w:p>
    <w:p w14:paraId="50930D3D" w14:textId="77777777" w:rsidR="004816C7" w:rsidRDefault="00000000">
      <w:pPr>
        <w:pStyle w:val="Heading2"/>
      </w:pPr>
      <w:r>
        <w:t>3.4 Timing &amp; Seasonality</w:t>
      </w:r>
    </w:p>
    <w:p w14:paraId="346FABE9" w14:textId="77777777" w:rsidR="004816C7" w:rsidRDefault="00000000">
      <w:pPr>
        <w:pStyle w:val="Heading3"/>
      </w:pPr>
      <w:r>
        <w:t>RQ5 — Is there a statistically optimal month or cycle to purchase a COE?</w:t>
      </w:r>
    </w:p>
    <w:p w14:paraId="3B22DFD0" w14:textId="77777777" w:rsidR="004816C7" w:rsidRDefault="00000000">
      <w:pPr>
        <w:spacing w:after="120" w:line="276" w:lineRule="auto"/>
      </w:pPr>
      <w:r>
        <w:rPr>
          <w:color w:val="222222"/>
        </w:rPr>
        <w:t>Using time-series decomposition, we can separate trend, seasonality, and residual noise from historical COE price data. If a consistent seasonal pattern exists (e.g. prices dip in Q1 or around Lunar New Year), this provides a data-backed purchasing strategy.</w:t>
      </w:r>
    </w:p>
    <w:p w14:paraId="43F1040E" w14:textId="77777777" w:rsidR="004816C7" w:rsidRDefault="004816C7">
      <w:pPr>
        <w:spacing w:before="80"/>
      </w:pPr>
    </w:p>
    <w:p w14:paraId="10357098" w14:textId="77777777" w:rsidR="004816C7" w:rsidRDefault="00000000">
      <w:pPr>
        <w:pStyle w:val="Heading2"/>
      </w:pPr>
      <w:r>
        <w:t>3.5 Cost-of-Living Pathway</w:t>
      </w:r>
    </w:p>
    <w:p w14:paraId="6D2D3316" w14:textId="77777777" w:rsidR="004816C7" w:rsidRDefault="00000000">
      <w:pPr>
        <w:pStyle w:val="Heading3"/>
      </w:pPr>
      <w:r>
        <w:t>RQ6 — How does COE revenue interact with Singapore's cost-of-living indicators?</w:t>
      </w:r>
    </w:p>
    <w:p w14:paraId="7A0DB1D9" w14:textId="77777777" w:rsidR="004816C7" w:rsidRDefault="00000000">
      <w:pPr>
        <w:spacing w:after="120" w:line="276" w:lineRule="auto"/>
      </w:pPr>
      <w:r>
        <w:rPr>
          <w:color w:val="222222"/>
        </w:rPr>
        <w:t>This is a more ambitious and original angle. COE revenue collected by the government is substantial. The hypothesis is that high COE prices may crowd out private vehicle ownership and push commuters toward subsidised public transport, which creates a feedback loop with the cost of living. Relevant relationships to test:</w:t>
      </w:r>
    </w:p>
    <w:p w14:paraId="7A6CD062" w14:textId="77777777" w:rsidR="004816C7" w:rsidRDefault="00000000">
      <w:pPr>
        <w:pStyle w:val="ListParagraph"/>
        <w:numPr>
          <w:ilvl w:val="0"/>
          <w:numId w:val="2"/>
        </w:numPr>
        <w:spacing w:after="80"/>
      </w:pPr>
      <w:r>
        <w:rPr>
          <w:color w:val="222222"/>
        </w:rPr>
        <w:t>COE revenue (proxy: price × quota) vs. public transport subsidy levels</w:t>
      </w:r>
    </w:p>
    <w:p w14:paraId="3B8337DD" w14:textId="77777777" w:rsidR="004816C7" w:rsidRDefault="00000000">
      <w:pPr>
        <w:pStyle w:val="ListParagraph"/>
        <w:numPr>
          <w:ilvl w:val="0"/>
          <w:numId w:val="2"/>
        </w:numPr>
        <w:spacing w:after="80"/>
      </w:pPr>
      <w:r>
        <w:rPr>
          <w:color w:val="222222"/>
        </w:rPr>
        <w:t>COE prices vs. overall CPI (transport component)</w:t>
      </w:r>
    </w:p>
    <w:p w14:paraId="3402E14B" w14:textId="77777777" w:rsidR="004816C7" w:rsidRDefault="00000000">
      <w:pPr>
        <w:pStyle w:val="ListParagraph"/>
        <w:numPr>
          <w:ilvl w:val="0"/>
          <w:numId w:val="2"/>
        </w:numPr>
        <w:spacing w:after="80"/>
      </w:pPr>
      <w:r>
        <w:rPr>
          <w:color w:val="222222"/>
        </w:rPr>
        <w:t>High COE periods vs. household transport expenditure share</w:t>
      </w:r>
    </w:p>
    <w:p w14:paraId="6D89C313" w14:textId="77777777" w:rsidR="004816C7" w:rsidRDefault="00000000">
      <w:r>
        <w:br w:type="page"/>
      </w:r>
    </w:p>
    <w:p w14:paraId="590D9F05" w14:textId="77777777" w:rsidR="004816C7" w:rsidRDefault="00000000">
      <w:pPr>
        <w:pStyle w:val="Heading1"/>
        <w:pBdr>
          <w:bottom w:val="single" w:sz="6" w:space="4" w:color="1F4E8B"/>
        </w:pBdr>
      </w:pPr>
      <w:r>
        <w:lastRenderedPageBreak/>
        <w:t>4. Key Variables &amp; Data Sources</w:t>
      </w:r>
    </w:p>
    <w:p w14:paraId="7A9A6B0A" w14:textId="77777777" w:rsidR="004816C7" w:rsidRDefault="00000000">
      <w:pPr>
        <w:pStyle w:val="Heading2"/>
      </w:pPr>
      <w:r>
        <w:t>4.1 Primary Dataset — COE Prices</w:t>
      </w:r>
    </w:p>
    <w:p w14:paraId="110951E0" w14:textId="77777777" w:rsidR="004816C7" w:rsidRDefault="00000000">
      <w:pPr>
        <w:spacing w:after="120" w:line="276" w:lineRule="auto"/>
      </w:pPr>
      <w:r>
        <w:rPr>
          <w:color w:val="222222"/>
        </w:rPr>
        <w:t>The core dataset is available from data.gov.sg and contains historical COE prices, quota released, number of bids received, and the Prevailing Quota Premium (PQP) by vehicle category.</w:t>
      </w:r>
    </w:p>
    <w:p w14:paraId="2D96BFCA" w14:textId="77777777" w:rsidR="004816C7" w:rsidRDefault="004816C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4816C7" w14:paraId="29314A9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F4E8B"/>
            <w:tcMar>
              <w:top w:w="80" w:type="dxa"/>
              <w:left w:w="140" w:type="dxa"/>
              <w:bottom w:w="80" w:type="dxa"/>
              <w:right w:w="140" w:type="dxa"/>
            </w:tcMar>
          </w:tcPr>
          <w:p w14:paraId="0B4871D1" w14:textId="77777777" w:rsidR="004816C7" w:rsidRDefault="00000000">
            <w:r>
              <w:rPr>
                <w:b/>
                <w:bCs/>
                <w:color w:val="FFFFFF"/>
                <w:sz w:val="20"/>
                <w:szCs w:val="20"/>
              </w:rPr>
              <w:t>Variable</w:t>
            </w:r>
          </w:p>
        </w:tc>
        <w:tc>
          <w:tcPr>
            <w:tcW w:w="5360" w:type="dxa"/>
            <w:tcBorders>
              <w:top w:val="single" w:sz="1" w:space="0" w:color="CCCCCC"/>
              <w:left w:val="single" w:sz="1" w:space="0" w:color="CCCCCC"/>
              <w:bottom w:val="single" w:sz="1" w:space="0" w:color="CCCCCC"/>
              <w:right w:val="single" w:sz="1" w:space="0" w:color="CCCCCC"/>
            </w:tcBorders>
            <w:shd w:val="clear" w:color="auto" w:fill="1F4E8B"/>
            <w:tcMar>
              <w:top w:w="80" w:type="dxa"/>
              <w:left w:w="140" w:type="dxa"/>
              <w:bottom w:w="80" w:type="dxa"/>
              <w:right w:w="140" w:type="dxa"/>
            </w:tcMar>
          </w:tcPr>
          <w:p w14:paraId="754312B3" w14:textId="77777777" w:rsidR="004816C7" w:rsidRDefault="00000000">
            <w:r>
              <w:rPr>
                <w:b/>
                <w:bCs/>
                <w:color w:val="FFFFFF"/>
                <w:sz w:val="20"/>
                <w:szCs w:val="20"/>
              </w:rPr>
              <w:t>Role in Analysis</w:t>
            </w:r>
          </w:p>
        </w:tc>
      </w:tr>
      <w:tr w:rsidR="004816C7" w14:paraId="1B61234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06B24E" w14:textId="77777777" w:rsidR="004816C7" w:rsidRDefault="00000000">
            <w:r>
              <w:rPr>
                <w:color w:val="222222"/>
                <w:sz w:val="20"/>
                <w:szCs w:val="20"/>
              </w:rPr>
              <w:t>COE Closing Price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F3506D" w14:textId="77777777" w:rsidR="004816C7" w:rsidRDefault="00000000">
            <w:r>
              <w:rPr>
                <w:color w:val="222222"/>
                <w:sz w:val="20"/>
                <w:szCs w:val="20"/>
              </w:rPr>
              <w:t>Dependent variable — monthly/bidding cycle average by category</w:t>
            </w:r>
          </w:p>
        </w:tc>
      </w:tr>
      <w:tr w:rsidR="004816C7" w14:paraId="09DD2CA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892ADFC" w14:textId="77777777" w:rsidR="004816C7" w:rsidRDefault="00000000">
            <w:r>
              <w:rPr>
                <w:color w:val="222222"/>
                <w:sz w:val="20"/>
                <w:szCs w:val="20"/>
              </w:rPr>
              <w:t>COE Quota</w:t>
            </w:r>
          </w:p>
        </w:tc>
        <w:tc>
          <w:tcPr>
            <w:tcW w:w="5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E2984EC" w14:textId="77777777" w:rsidR="004816C7" w:rsidRDefault="00000000">
            <w:r>
              <w:rPr>
                <w:color w:val="222222"/>
                <w:sz w:val="20"/>
                <w:szCs w:val="20"/>
              </w:rPr>
              <w:t>Number of COEs released per cycle — key supply variable</w:t>
            </w:r>
          </w:p>
        </w:tc>
      </w:tr>
      <w:tr w:rsidR="004816C7" w14:paraId="4DDF504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05B644" w14:textId="77777777" w:rsidR="004816C7" w:rsidRDefault="00000000">
            <w:r>
              <w:rPr>
                <w:color w:val="222222"/>
                <w:sz w:val="20"/>
                <w:szCs w:val="20"/>
              </w:rPr>
              <w:t>Number of Bids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2E14C3" w14:textId="77777777" w:rsidR="004816C7" w:rsidRDefault="00000000">
            <w:r>
              <w:rPr>
                <w:color w:val="222222"/>
                <w:sz w:val="20"/>
                <w:szCs w:val="20"/>
              </w:rPr>
              <w:t>Proxy for latent demand</w:t>
            </w:r>
          </w:p>
        </w:tc>
      </w:tr>
      <w:tr w:rsidR="004816C7" w14:paraId="58553BC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B18CDE1" w14:textId="77777777" w:rsidR="004816C7" w:rsidRDefault="00000000">
            <w:r>
              <w:rPr>
                <w:color w:val="222222"/>
                <w:sz w:val="20"/>
                <w:szCs w:val="20"/>
              </w:rPr>
              <w:t>PQP</w:t>
            </w:r>
          </w:p>
        </w:tc>
        <w:tc>
          <w:tcPr>
            <w:tcW w:w="5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19EE8C9" w14:textId="77777777" w:rsidR="004816C7" w:rsidRDefault="00000000">
            <w:r>
              <w:rPr>
                <w:color w:val="222222"/>
                <w:sz w:val="20"/>
                <w:szCs w:val="20"/>
              </w:rPr>
              <w:t>3-month rolling average COE price — affects renewal decisions</w:t>
            </w:r>
          </w:p>
        </w:tc>
      </w:tr>
      <w:tr w:rsidR="004816C7" w14:paraId="0F92121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E29263" w14:textId="77777777" w:rsidR="004816C7" w:rsidRDefault="00000000">
            <w:r>
              <w:rPr>
                <w:color w:val="222222"/>
                <w:sz w:val="20"/>
                <w:szCs w:val="20"/>
              </w:rPr>
              <w:t>Category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16C50C" w14:textId="77777777" w:rsidR="004816C7" w:rsidRDefault="00000000">
            <w:r>
              <w:rPr>
                <w:color w:val="222222"/>
                <w:sz w:val="20"/>
                <w:szCs w:val="20"/>
              </w:rPr>
              <w:t>Cat A (small cars), Cat B (large cars), Cat E (open)</w:t>
            </w:r>
          </w:p>
        </w:tc>
      </w:tr>
    </w:tbl>
    <w:p w14:paraId="71CD9136" w14:textId="77777777" w:rsidR="004816C7" w:rsidRDefault="004816C7">
      <w:pPr>
        <w:spacing w:before="100"/>
      </w:pPr>
    </w:p>
    <w:p w14:paraId="7648CB09" w14:textId="77777777" w:rsidR="004816C7" w:rsidRDefault="00000000">
      <w:pPr>
        <w:pStyle w:val="Heading2"/>
      </w:pPr>
      <w:r>
        <w:t>4.2 Economic &amp; Household Data (</w:t>
      </w:r>
      <w:proofErr w:type="spellStart"/>
      <w:r>
        <w:t>SingStat</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4816C7" w14:paraId="2234046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F4E8B"/>
            <w:tcMar>
              <w:top w:w="80" w:type="dxa"/>
              <w:left w:w="140" w:type="dxa"/>
              <w:bottom w:w="80" w:type="dxa"/>
              <w:right w:w="140" w:type="dxa"/>
            </w:tcMar>
          </w:tcPr>
          <w:p w14:paraId="61A2133A" w14:textId="77777777" w:rsidR="004816C7" w:rsidRDefault="00000000">
            <w:r>
              <w:rPr>
                <w:b/>
                <w:bCs/>
                <w:color w:val="FFFFFF"/>
                <w:sz w:val="20"/>
                <w:szCs w:val="20"/>
              </w:rPr>
              <w:t>Dataset</w:t>
            </w:r>
          </w:p>
        </w:tc>
        <w:tc>
          <w:tcPr>
            <w:tcW w:w="5360" w:type="dxa"/>
            <w:tcBorders>
              <w:top w:val="single" w:sz="1" w:space="0" w:color="CCCCCC"/>
              <w:left w:val="single" w:sz="1" w:space="0" w:color="CCCCCC"/>
              <w:bottom w:val="single" w:sz="1" w:space="0" w:color="CCCCCC"/>
              <w:right w:val="single" w:sz="1" w:space="0" w:color="CCCCCC"/>
            </w:tcBorders>
            <w:shd w:val="clear" w:color="auto" w:fill="1F4E8B"/>
            <w:tcMar>
              <w:top w:w="80" w:type="dxa"/>
              <w:left w:w="140" w:type="dxa"/>
              <w:bottom w:w="80" w:type="dxa"/>
              <w:right w:w="140" w:type="dxa"/>
            </w:tcMar>
          </w:tcPr>
          <w:p w14:paraId="21C874C2" w14:textId="77777777" w:rsidR="004816C7" w:rsidRDefault="00000000">
            <w:r>
              <w:rPr>
                <w:b/>
                <w:bCs/>
                <w:color w:val="FFFFFF"/>
                <w:sz w:val="20"/>
                <w:szCs w:val="20"/>
              </w:rPr>
              <w:t>Notes</w:t>
            </w:r>
          </w:p>
        </w:tc>
      </w:tr>
      <w:tr w:rsidR="004816C7" w14:paraId="604E04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99B9A9" w14:textId="77777777" w:rsidR="004816C7" w:rsidRDefault="00000000">
            <w:r>
              <w:rPr>
                <w:color w:val="222222"/>
                <w:sz w:val="20"/>
                <w:szCs w:val="20"/>
              </w:rPr>
              <w:t>Household Income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7464DB" w14:textId="77777777" w:rsidR="004816C7" w:rsidRDefault="00000000">
            <w:r>
              <w:rPr>
                <w:color w:val="222222"/>
                <w:sz w:val="20"/>
                <w:szCs w:val="20"/>
              </w:rPr>
              <w:t>https://tablebuilder.singstat.gov.sg — proxy for bidding power</w:t>
            </w:r>
          </w:p>
        </w:tc>
      </w:tr>
      <w:tr w:rsidR="004816C7" w14:paraId="645C179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C207428" w14:textId="77777777" w:rsidR="004816C7" w:rsidRDefault="00000000">
            <w:r>
              <w:rPr>
                <w:color w:val="222222"/>
                <w:sz w:val="20"/>
                <w:szCs w:val="20"/>
              </w:rPr>
              <w:t>Retail Sales Index (RSI)</w:t>
            </w:r>
          </w:p>
        </w:tc>
        <w:tc>
          <w:tcPr>
            <w:tcW w:w="5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414FDDE" w14:textId="77777777" w:rsidR="004816C7" w:rsidRDefault="00000000">
            <w:r>
              <w:rPr>
                <w:color w:val="222222"/>
                <w:sz w:val="20"/>
                <w:szCs w:val="20"/>
              </w:rPr>
              <w:t>Monthly consumer spending proxy — better than 5-yr expenditure data</w:t>
            </w:r>
          </w:p>
        </w:tc>
      </w:tr>
      <w:tr w:rsidR="004816C7" w14:paraId="7EF164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021C47" w14:textId="77777777" w:rsidR="004816C7" w:rsidRDefault="00000000">
            <w:r>
              <w:rPr>
                <w:color w:val="222222"/>
                <w:sz w:val="20"/>
                <w:szCs w:val="20"/>
              </w:rPr>
              <w:t>Consumer Price Index (CPI)</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03A583" w14:textId="77777777" w:rsidR="004816C7" w:rsidRDefault="00000000">
            <w:r>
              <w:rPr>
                <w:color w:val="222222"/>
                <w:sz w:val="20"/>
                <w:szCs w:val="20"/>
              </w:rPr>
              <w:t>Inflation indicator — overall and transport component</w:t>
            </w:r>
          </w:p>
        </w:tc>
      </w:tr>
      <w:tr w:rsidR="004816C7" w14:paraId="1D43B4A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DAE9716" w14:textId="77777777" w:rsidR="004816C7" w:rsidRDefault="00000000">
            <w:r>
              <w:rPr>
                <w:color w:val="222222"/>
                <w:sz w:val="20"/>
                <w:szCs w:val="20"/>
              </w:rPr>
              <w:t>GDP Growth Rate</w:t>
            </w:r>
          </w:p>
        </w:tc>
        <w:tc>
          <w:tcPr>
            <w:tcW w:w="5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DE6E09C" w14:textId="77777777" w:rsidR="004816C7" w:rsidRDefault="00000000">
            <w:r>
              <w:rPr>
                <w:color w:val="222222"/>
                <w:sz w:val="20"/>
                <w:szCs w:val="20"/>
              </w:rPr>
              <w:t>Overall economic health indicator</w:t>
            </w:r>
          </w:p>
        </w:tc>
      </w:tr>
      <w:tr w:rsidR="004816C7" w14:paraId="3637EE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769820" w14:textId="77777777" w:rsidR="004816C7" w:rsidRDefault="00000000">
            <w:r>
              <w:rPr>
                <w:color w:val="222222"/>
                <w:sz w:val="20"/>
                <w:szCs w:val="20"/>
              </w:rPr>
              <w:t>Average Monthly HH Expenditure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B6F092" w14:textId="77777777" w:rsidR="004816C7" w:rsidRDefault="00000000">
            <w:r>
              <w:rPr>
                <w:color w:val="222222"/>
                <w:sz w:val="20"/>
                <w:szCs w:val="20"/>
              </w:rPr>
              <w:t>Available every 5 years — useful for long-run structural analysis</w:t>
            </w:r>
          </w:p>
        </w:tc>
      </w:tr>
    </w:tbl>
    <w:p w14:paraId="1AD5C46E" w14:textId="77777777" w:rsidR="004816C7" w:rsidRDefault="004816C7">
      <w:pPr>
        <w:spacing w:before="100"/>
      </w:pPr>
    </w:p>
    <w:p w14:paraId="15DD6AA2" w14:textId="77777777" w:rsidR="004816C7" w:rsidRDefault="00000000">
      <w:pPr>
        <w:pStyle w:val="Heading2"/>
      </w:pPr>
      <w:r>
        <w:t>4.3 Additional High-Value Datasets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4816C7" w14:paraId="2B1DC04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F4E8B"/>
            <w:tcMar>
              <w:top w:w="80" w:type="dxa"/>
              <w:left w:w="140" w:type="dxa"/>
              <w:bottom w:w="80" w:type="dxa"/>
              <w:right w:w="140" w:type="dxa"/>
            </w:tcMar>
          </w:tcPr>
          <w:p w14:paraId="6A5084F1" w14:textId="77777777" w:rsidR="004816C7" w:rsidRDefault="00000000">
            <w:r>
              <w:rPr>
                <w:b/>
                <w:bCs/>
                <w:color w:val="FFFFFF"/>
                <w:sz w:val="20"/>
                <w:szCs w:val="20"/>
              </w:rPr>
              <w:t>Dataset</w:t>
            </w:r>
          </w:p>
        </w:tc>
        <w:tc>
          <w:tcPr>
            <w:tcW w:w="5360" w:type="dxa"/>
            <w:tcBorders>
              <w:top w:val="single" w:sz="1" w:space="0" w:color="CCCCCC"/>
              <w:left w:val="single" w:sz="1" w:space="0" w:color="CCCCCC"/>
              <w:bottom w:val="single" w:sz="1" w:space="0" w:color="CCCCCC"/>
              <w:right w:val="single" w:sz="1" w:space="0" w:color="CCCCCC"/>
            </w:tcBorders>
            <w:shd w:val="clear" w:color="auto" w:fill="1F4E8B"/>
            <w:tcMar>
              <w:top w:w="80" w:type="dxa"/>
              <w:left w:w="140" w:type="dxa"/>
              <w:bottom w:w="80" w:type="dxa"/>
              <w:right w:w="140" w:type="dxa"/>
            </w:tcMar>
          </w:tcPr>
          <w:p w14:paraId="2E090551" w14:textId="77777777" w:rsidR="004816C7" w:rsidRDefault="00000000">
            <w:r>
              <w:rPr>
                <w:b/>
                <w:bCs/>
                <w:color w:val="FFFFFF"/>
                <w:sz w:val="20"/>
                <w:szCs w:val="20"/>
              </w:rPr>
              <w:t>Notes</w:t>
            </w:r>
          </w:p>
        </w:tc>
      </w:tr>
      <w:tr w:rsidR="004816C7" w14:paraId="4034CD0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65508F" w14:textId="77777777" w:rsidR="004816C7" w:rsidRDefault="00000000">
            <w:r>
              <w:rPr>
                <w:color w:val="222222"/>
                <w:sz w:val="20"/>
                <w:szCs w:val="20"/>
              </w:rPr>
              <w:t>Vehicle Population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D05AB6" w14:textId="77777777" w:rsidR="004816C7" w:rsidRDefault="00000000">
            <w:r>
              <w:rPr>
                <w:color w:val="222222"/>
                <w:sz w:val="20"/>
                <w:szCs w:val="20"/>
              </w:rPr>
              <w:t>Number of registered vehicles — proxy for demand saturation</w:t>
            </w:r>
          </w:p>
        </w:tc>
      </w:tr>
      <w:tr w:rsidR="004816C7" w14:paraId="0A7F100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4A9BE36" w14:textId="77777777" w:rsidR="004816C7" w:rsidRDefault="00000000">
            <w:r>
              <w:rPr>
                <w:color w:val="222222"/>
                <w:sz w:val="20"/>
                <w:szCs w:val="20"/>
              </w:rPr>
              <w:t>Car Loan Interest Rates (MAS)</w:t>
            </w:r>
          </w:p>
        </w:tc>
        <w:tc>
          <w:tcPr>
            <w:tcW w:w="5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3EF2FA74" w14:textId="77777777" w:rsidR="004816C7" w:rsidRDefault="00000000">
            <w:r>
              <w:rPr>
                <w:color w:val="222222"/>
                <w:sz w:val="20"/>
                <w:szCs w:val="20"/>
              </w:rPr>
              <w:t>Affects affordability; higher rates dampen bidding</w:t>
            </w:r>
          </w:p>
        </w:tc>
      </w:tr>
      <w:tr w:rsidR="004816C7" w14:paraId="70820EF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95C45D" w14:textId="77777777" w:rsidR="004816C7" w:rsidRDefault="00000000">
            <w:r>
              <w:rPr>
                <w:color w:val="222222"/>
                <w:sz w:val="20"/>
                <w:szCs w:val="20"/>
              </w:rPr>
              <w:t>Fuel Prices (EMA)</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9B00FF" w14:textId="77777777" w:rsidR="004816C7" w:rsidRDefault="00000000">
            <w:r>
              <w:rPr>
                <w:color w:val="222222"/>
                <w:sz w:val="20"/>
                <w:szCs w:val="20"/>
              </w:rPr>
              <w:t>May influence demand for car ownership at the margin</w:t>
            </w:r>
          </w:p>
        </w:tc>
      </w:tr>
      <w:tr w:rsidR="004816C7" w14:paraId="302E99E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8856C94" w14:textId="77777777" w:rsidR="004816C7" w:rsidRDefault="00000000">
            <w:r>
              <w:rPr>
                <w:color w:val="222222"/>
                <w:sz w:val="20"/>
                <w:szCs w:val="20"/>
              </w:rPr>
              <w:lastRenderedPageBreak/>
              <w:t>General Election Dates</w:t>
            </w:r>
          </w:p>
        </w:tc>
        <w:tc>
          <w:tcPr>
            <w:tcW w:w="5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41A348DA" w14:textId="77777777" w:rsidR="004816C7" w:rsidRDefault="00000000">
            <w:r>
              <w:rPr>
                <w:color w:val="222222"/>
                <w:sz w:val="20"/>
                <w:szCs w:val="20"/>
              </w:rPr>
              <w:t>Manually compiled: 2011, 2015, 2020, 2025 — for political cycle tests</w:t>
            </w:r>
          </w:p>
        </w:tc>
      </w:tr>
      <w:tr w:rsidR="004816C7" w14:paraId="7FACC11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D404EC" w14:textId="77777777" w:rsidR="004816C7" w:rsidRDefault="00000000">
            <w:r>
              <w:rPr>
                <w:color w:val="222222"/>
                <w:sz w:val="20"/>
                <w:szCs w:val="20"/>
              </w:rPr>
              <w:t>Public Transport Subsidies / Fares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CD93D3" w14:textId="77777777" w:rsidR="004816C7" w:rsidRDefault="00000000">
            <w:r>
              <w:rPr>
                <w:color w:val="222222"/>
                <w:sz w:val="20"/>
                <w:szCs w:val="20"/>
              </w:rPr>
              <w:t>For cost-of-living analysis (LTA annual reports)</w:t>
            </w:r>
          </w:p>
        </w:tc>
      </w:tr>
      <w:tr w:rsidR="004816C7" w14:paraId="44FAD6B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177AAF4" w14:textId="77777777" w:rsidR="004816C7" w:rsidRDefault="00000000">
            <w:r>
              <w:rPr>
                <w:color w:val="222222"/>
                <w:sz w:val="20"/>
                <w:szCs w:val="20"/>
              </w:rPr>
              <w:t>COE Revenue (LTA annual reports)</w:t>
            </w:r>
          </w:p>
        </w:tc>
        <w:tc>
          <w:tcPr>
            <w:tcW w:w="5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6E61D33" w14:textId="77777777" w:rsidR="004816C7" w:rsidRDefault="00000000">
            <w:r>
              <w:rPr>
                <w:color w:val="222222"/>
                <w:sz w:val="20"/>
                <w:szCs w:val="20"/>
              </w:rPr>
              <w:t>For government revenue analysis</w:t>
            </w:r>
          </w:p>
        </w:tc>
      </w:tr>
    </w:tbl>
    <w:p w14:paraId="660CE6C0" w14:textId="77777777" w:rsidR="004816C7" w:rsidRDefault="004816C7">
      <w:pPr>
        <w:spacing w:before="100"/>
      </w:pPr>
    </w:p>
    <w:p w14:paraId="17FD48A4" w14:textId="77777777" w:rsidR="004816C7" w:rsidRDefault="00000000">
      <w:pPr>
        <w:pStyle w:val="Heading2"/>
      </w:pPr>
      <w:r>
        <w:t>4.4 Variable Selection Notes</w:t>
      </w:r>
    </w:p>
    <w:p w14:paraId="6AD87CD7" w14:textId="77777777" w:rsidR="004816C7" w:rsidRDefault="00000000">
      <w:pPr>
        <w:pStyle w:val="ListParagraph"/>
        <w:numPr>
          <w:ilvl w:val="0"/>
          <w:numId w:val="2"/>
        </w:numPr>
        <w:spacing w:after="80"/>
      </w:pPr>
      <w:r>
        <w:rPr>
          <w:color w:val="222222"/>
        </w:rPr>
        <w:t>Prioritise monthly data where possible for time-series continuity.</w:t>
      </w:r>
    </w:p>
    <w:p w14:paraId="0E3A25F7" w14:textId="77777777" w:rsidR="004816C7" w:rsidRDefault="00000000">
      <w:pPr>
        <w:pStyle w:val="ListParagraph"/>
        <w:numPr>
          <w:ilvl w:val="0"/>
          <w:numId w:val="2"/>
        </w:numPr>
        <w:spacing w:after="80"/>
      </w:pPr>
      <w:r>
        <w:rPr>
          <w:color w:val="222222"/>
        </w:rPr>
        <w:t>The 5-yearly household expenditure data can still be used for structural break analysis or as a long-run benchmark.</w:t>
      </w:r>
    </w:p>
    <w:p w14:paraId="67CF30BF" w14:textId="77777777" w:rsidR="004816C7" w:rsidRDefault="00000000">
      <w:pPr>
        <w:pStyle w:val="ListParagraph"/>
        <w:numPr>
          <w:ilvl w:val="0"/>
          <w:numId w:val="2"/>
        </w:numPr>
        <w:spacing w:after="80"/>
      </w:pPr>
      <w:r>
        <w:rPr>
          <w:color w:val="222222"/>
        </w:rPr>
        <w:t>Income and spending variables likely have lagged effects — use lag regression to capture delayed impact.</w:t>
      </w:r>
    </w:p>
    <w:p w14:paraId="128DFC30" w14:textId="77777777" w:rsidR="004816C7" w:rsidRDefault="00000000">
      <w:pPr>
        <w:pStyle w:val="ListParagraph"/>
        <w:numPr>
          <w:ilvl w:val="0"/>
          <w:numId w:val="2"/>
        </w:numPr>
        <w:spacing w:after="80"/>
      </w:pPr>
      <w:r>
        <w:rPr>
          <w:color w:val="222222"/>
        </w:rPr>
        <w:t>For election analysis, create a binary dummy variable (1 = election year, 0 = otherwise).</w:t>
      </w:r>
    </w:p>
    <w:p w14:paraId="6C106705" w14:textId="77777777" w:rsidR="004816C7" w:rsidRDefault="00000000">
      <w:r>
        <w:br w:type="page"/>
      </w:r>
    </w:p>
    <w:p w14:paraId="4C4D23C0" w14:textId="77777777" w:rsidR="004816C7" w:rsidRDefault="00000000">
      <w:pPr>
        <w:pStyle w:val="Heading1"/>
        <w:pBdr>
          <w:bottom w:val="single" w:sz="6" w:space="4" w:color="1F4E8B"/>
        </w:pBdr>
      </w:pPr>
      <w:r>
        <w:lastRenderedPageBreak/>
        <w:t>5. The Role of PQP (Prevailing Quota Premium)</w:t>
      </w:r>
    </w:p>
    <w:p w14:paraId="46615D08" w14:textId="77777777" w:rsidR="004816C7" w:rsidRDefault="00000000">
      <w:pPr>
        <w:pStyle w:val="Heading2"/>
      </w:pPr>
      <w:r>
        <w:t>5.1 What is the PQP?</w:t>
      </w:r>
    </w:p>
    <w:p w14:paraId="203AE568" w14:textId="77777777" w:rsidR="004816C7" w:rsidRDefault="00000000">
      <w:pPr>
        <w:spacing w:after="120" w:line="276" w:lineRule="auto"/>
      </w:pPr>
      <w:r>
        <w:rPr>
          <w:color w:val="222222"/>
        </w:rPr>
        <w:t>The Prevailing Quota Premium (PQP) is calculated as the moving average of COE closing prices over the preceding three months. It determines the cost of renewing an existing vehicle's COE at the end of its 10-year lifespan.</w:t>
      </w:r>
    </w:p>
    <w:p w14:paraId="0E7F9708" w14:textId="77777777" w:rsidR="004816C7" w:rsidRDefault="004816C7">
      <w:pPr>
        <w:spacing w:before="60"/>
      </w:pPr>
    </w:p>
    <w:p w14:paraId="4FD1D5FD" w14:textId="77777777" w:rsidR="004816C7" w:rsidRDefault="00000000">
      <w:pPr>
        <w:spacing w:after="120" w:line="276" w:lineRule="auto"/>
      </w:pPr>
      <w:r>
        <w:rPr>
          <w:color w:val="222222"/>
        </w:rPr>
        <w:t>This creates a critical decision point for every vehicle owner approaching the end of their COE:</w:t>
      </w:r>
    </w:p>
    <w:p w14:paraId="400B1AB6" w14:textId="77777777" w:rsidR="004816C7" w:rsidRDefault="00000000">
      <w:pPr>
        <w:pStyle w:val="ListParagraph"/>
        <w:numPr>
          <w:ilvl w:val="0"/>
          <w:numId w:val="2"/>
        </w:numPr>
        <w:spacing w:after="80"/>
      </w:pPr>
      <w:r>
        <w:rPr>
          <w:color w:val="222222"/>
        </w:rPr>
        <w:t>Renew at the PQP (lower risk, avoids bidding)</w:t>
      </w:r>
    </w:p>
    <w:p w14:paraId="050C7CC1" w14:textId="77777777" w:rsidR="004816C7" w:rsidRDefault="00000000">
      <w:pPr>
        <w:pStyle w:val="ListParagraph"/>
        <w:numPr>
          <w:ilvl w:val="0"/>
          <w:numId w:val="2"/>
        </w:numPr>
        <w:spacing w:after="80"/>
      </w:pPr>
      <w:r>
        <w:rPr>
          <w:color w:val="222222"/>
        </w:rPr>
        <w:t>Bid for a new COE in the open market (potentially cheaper, but uncertain)</w:t>
      </w:r>
    </w:p>
    <w:p w14:paraId="4B1ABA46" w14:textId="77777777" w:rsidR="004816C7" w:rsidRDefault="00000000">
      <w:pPr>
        <w:pStyle w:val="ListParagraph"/>
        <w:numPr>
          <w:ilvl w:val="0"/>
          <w:numId w:val="2"/>
        </w:numPr>
        <w:spacing w:after="80"/>
      </w:pPr>
      <w:r>
        <w:rPr>
          <w:color w:val="222222"/>
        </w:rPr>
        <w:t>Deregister the vehicle and exit the market</w:t>
      </w:r>
    </w:p>
    <w:p w14:paraId="5B68F82E" w14:textId="77777777" w:rsidR="004816C7" w:rsidRDefault="004816C7">
      <w:pPr>
        <w:spacing w:before="60"/>
      </w:pPr>
    </w:p>
    <w:p w14:paraId="6505D400" w14:textId="77777777" w:rsidR="004816C7" w:rsidRDefault="00000000">
      <w:pPr>
        <w:spacing w:after="120" w:line="276" w:lineRule="auto"/>
      </w:pPr>
      <w:r>
        <w:rPr>
          <w:color w:val="222222"/>
        </w:rPr>
        <w:t>This behavioural mechanism means the PQP is not just a lagging indicator — it actively shapes future demand, making it one of the most analytically interesting variables in the project.</w:t>
      </w:r>
    </w:p>
    <w:p w14:paraId="2BA2F54B" w14:textId="77777777" w:rsidR="004816C7" w:rsidRDefault="004816C7">
      <w:pPr>
        <w:spacing w:before="80"/>
      </w:pPr>
    </w:p>
    <w:p w14:paraId="25A90A4D" w14:textId="77777777" w:rsidR="004816C7" w:rsidRDefault="00000000">
      <w:pPr>
        <w:pStyle w:val="Heading2"/>
      </w:pPr>
      <w:r>
        <w:t>5.2 Research Angles Involving PQP</w:t>
      </w:r>
    </w:p>
    <w:p w14:paraId="60FCED75" w14:textId="77777777" w:rsidR="004816C7" w:rsidRDefault="00000000">
      <w:pPr>
        <w:pStyle w:val="Heading3"/>
      </w:pPr>
      <w:r>
        <w:t>A. The Substitution Effect</w:t>
      </w:r>
    </w:p>
    <w:p w14:paraId="622E9843" w14:textId="77777777" w:rsidR="004816C7" w:rsidRDefault="00000000">
      <w:pPr>
        <w:spacing w:after="120" w:line="276" w:lineRule="auto"/>
      </w:pPr>
      <w:r>
        <w:rPr>
          <w:color w:val="222222"/>
        </w:rPr>
        <w:t>When PQP is high, renewal becomes expensive, pushing more owners to bid for new COEs instead. This increases demand and may further push up prices — a potential self-reinforcing 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16C7" w14:paraId="516C25F9" w14:textId="77777777">
        <w:tblPrEx>
          <w:tblCellMar>
            <w:top w:w="0" w:type="dxa"/>
            <w:bottom w:w="0" w:type="dxa"/>
          </w:tblCellMar>
        </w:tblPrEx>
        <w:tc>
          <w:tcPr>
            <w:tcW w:w="9360" w:type="dxa"/>
            <w:tcBorders>
              <w:top w:val="single" w:sz="12" w:space="0" w:color="1F4E8B"/>
              <w:left w:val="single" w:sz="12" w:space="0" w:color="1F4E8B"/>
              <w:bottom w:val="single" w:sz="1" w:space="0" w:color="CCCCCC"/>
              <w:right w:val="single" w:sz="1" w:space="0" w:color="CCCCCC"/>
            </w:tcBorders>
            <w:shd w:val="clear" w:color="auto" w:fill="D6E4F7"/>
            <w:tcMar>
              <w:top w:w="120" w:type="dxa"/>
              <w:left w:w="200" w:type="dxa"/>
              <w:bottom w:w="120" w:type="dxa"/>
              <w:right w:w="200" w:type="dxa"/>
            </w:tcMar>
          </w:tcPr>
          <w:p w14:paraId="30943EB9" w14:textId="77777777" w:rsidR="004816C7" w:rsidRDefault="00000000">
            <w:pPr>
              <w:spacing w:before="80" w:after="100"/>
            </w:pPr>
            <w:r>
              <w:rPr>
                <w:b/>
                <w:bCs/>
                <w:color w:val="1F4E8B"/>
              </w:rPr>
              <w:t>Test</w:t>
            </w:r>
          </w:p>
          <w:p w14:paraId="423706C4" w14:textId="77777777" w:rsidR="004816C7" w:rsidRDefault="00000000">
            <w:pPr>
              <w:spacing w:after="60"/>
            </w:pPr>
            <w:r>
              <w:rPr>
                <w:color w:val="333333"/>
                <w:sz w:val="20"/>
                <w:szCs w:val="20"/>
              </w:rPr>
              <w:t>Correlation: PQP vs. number of bids vs. COE price</w:t>
            </w:r>
          </w:p>
          <w:p w14:paraId="540B5296" w14:textId="77777777" w:rsidR="004816C7" w:rsidRDefault="00000000">
            <w:pPr>
              <w:spacing w:after="60"/>
            </w:pPr>
            <w:r>
              <w:rPr>
                <w:color w:val="333333"/>
                <w:sz w:val="20"/>
                <w:szCs w:val="20"/>
              </w:rPr>
              <w:t>Granger causality test: Does PQP Granger-cause COE prices?</w:t>
            </w:r>
          </w:p>
        </w:tc>
      </w:tr>
    </w:tbl>
    <w:p w14:paraId="3CF9A75C" w14:textId="77777777" w:rsidR="004816C7" w:rsidRDefault="004816C7">
      <w:pPr>
        <w:spacing w:before="60"/>
      </w:pPr>
    </w:p>
    <w:p w14:paraId="50964F76" w14:textId="77777777" w:rsidR="004816C7" w:rsidRDefault="00000000">
      <w:pPr>
        <w:pStyle w:val="Heading3"/>
      </w:pPr>
      <w:r>
        <w:t>B. The Price Gap Strategy</w:t>
      </w:r>
    </w:p>
    <w:p w14:paraId="31732FF2" w14:textId="77777777" w:rsidR="004816C7" w:rsidRDefault="00000000">
      <w:pPr>
        <w:spacing w:after="120" w:line="276" w:lineRule="auto"/>
      </w:pPr>
      <w:r>
        <w:rPr>
          <w:color w:val="222222"/>
        </w:rPr>
        <w:t>Define a "Price Gap" as:  Gap = PQP − Current COE Price</w:t>
      </w:r>
    </w:p>
    <w:p w14:paraId="2B0314BB" w14:textId="77777777" w:rsidR="004816C7" w:rsidRDefault="004816C7">
      <w:pPr>
        <w:spacing w:before="40"/>
      </w:pPr>
    </w:p>
    <w:p w14:paraId="303F1E27" w14:textId="77777777" w:rsidR="004816C7" w:rsidRDefault="00000000">
      <w:pPr>
        <w:spacing w:after="120" w:line="276" w:lineRule="auto"/>
      </w:pPr>
      <w:r>
        <w:rPr>
          <w:color w:val="222222"/>
        </w:rPr>
        <w:t>When the gap is large (PQP &gt;&gt; COE price), more people choose to bid for a new COE instead of renewing — increasing demand and raising future prices. This variable may be a leading indicator of price movements.</w:t>
      </w:r>
    </w:p>
    <w:p w14:paraId="00749E4E" w14:textId="77777777" w:rsidR="004816C7" w:rsidRDefault="004816C7">
      <w:pPr>
        <w:spacing w:before="40"/>
      </w:pPr>
    </w:p>
    <w:p w14:paraId="14E9CB8A" w14:textId="77777777" w:rsidR="004816C7" w:rsidRDefault="00000000">
      <w:pPr>
        <w:pStyle w:val="ListParagraph"/>
        <w:numPr>
          <w:ilvl w:val="0"/>
          <w:numId w:val="2"/>
        </w:numPr>
        <w:spacing w:after="80"/>
      </w:pPr>
      <w:r>
        <w:rPr>
          <w:color w:val="222222"/>
        </w:rPr>
        <w:t>Potential novel conclusion: the Price Gap predicts next-cycle COE prices better than income alone.</w:t>
      </w:r>
    </w:p>
    <w:p w14:paraId="68321F42" w14:textId="77777777" w:rsidR="004816C7" w:rsidRDefault="004816C7">
      <w:pPr>
        <w:spacing w:before="60"/>
      </w:pPr>
    </w:p>
    <w:p w14:paraId="65E6202C" w14:textId="77777777" w:rsidR="004816C7" w:rsidRDefault="00000000">
      <w:pPr>
        <w:pStyle w:val="Heading3"/>
      </w:pPr>
      <w:r>
        <w:t>C. Lagged PQP Effect</w:t>
      </w:r>
    </w:p>
    <w:p w14:paraId="486D1D83" w14:textId="77777777" w:rsidR="004816C7" w:rsidRDefault="00000000">
      <w:pPr>
        <w:spacing w:after="120" w:line="276" w:lineRule="auto"/>
      </w:pPr>
      <w:r>
        <w:rPr>
          <w:color w:val="222222"/>
        </w:rPr>
        <w:lastRenderedPageBreak/>
        <w:t>Because behavioural responses take time, PQP at time t may influence COE prices at t+1 or t+2 rather than immediately. Lag regression can test:</w:t>
      </w:r>
    </w:p>
    <w:p w14:paraId="1D120927" w14:textId="77777777" w:rsidR="004816C7" w:rsidRDefault="004816C7">
      <w:pPr>
        <w:spacing w:before="20"/>
      </w:pPr>
    </w:p>
    <w:p w14:paraId="57F5D97C" w14:textId="77777777" w:rsidR="004816C7" w:rsidRDefault="00000000">
      <w:pPr>
        <w:spacing w:after="80"/>
        <w:jc w:val="center"/>
      </w:pPr>
      <w:r>
        <w:rPr>
          <w:rFonts w:ascii="Courier New" w:eastAsia="Courier New" w:hAnsi="Courier New" w:cs="Courier New"/>
          <w:b/>
          <w:bCs/>
          <w:color w:val="333333"/>
        </w:rPr>
        <w:t>COE(t) = β₁·PQP(t−1) + β₂·PQP(t−2) + β₃·Quota(t) + ε</w:t>
      </w:r>
    </w:p>
    <w:p w14:paraId="0DA54C5B" w14:textId="77777777" w:rsidR="004816C7" w:rsidRDefault="004816C7">
      <w:pPr>
        <w:spacing w:before="20"/>
      </w:pPr>
    </w:p>
    <w:p w14:paraId="196EFE87" w14:textId="77777777" w:rsidR="004816C7" w:rsidRDefault="00000000">
      <w:pPr>
        <w:pStyle w:val="Heading3"/>
      </w:pPr>
      <w:r>
        <w:t>D. Volatility Comparison</w:t>
      </w:r>
    </w:p>
    <w:p w14:paraId="52272EC0" w14:textId="77777777" w:rsidR="004816C7" w:rsidRDefault="00000000">
      <w:pPr>
        <w:spacing w:after="120" w:line="276" w:lineRule="auto"/>
      </w:pPr>
      <w:r>
        <w:rPr>
          <w:color w:val="222222"/>
        </w:rPr>
        <w:t>PQP is a smoothed average while raw COE prices are highly volatile. Comparing the standard deviations of PQP and COE prices over time tests whether the PQP mechanism actually stabilises market expectations.</w:t>
      </w:r>
    </w:p>
    <w:p w14:paraId="44394DF2" w14:textId="77777777" w:rsidR="004816C7" w:rsidRDefault="004816C7">
      <w:pPr>
        <w:spacing w:before="60"/>
      </w:pPr>
    </w:p>
    <w:p w14:paraId="657020B7" w14:textId="77777777" w:rsidR="004816C7" w:rsidRDefault="00000000">
      <w:pPr>
        <w:pStyle w:val="Heading2"/>
      </w:pPr>
      <w:r>
        <w:t>5.3 PQP Decision Threshold Model</w:t>
      </w:r>
    </w:p>
    <w:p w14:paraId="19A40A96" w14:textId="77777777" w:rsidR="004816C7" w:rsidRDefault="00000000">
      <w:pPr>
        <w:spacing w:after="120" w:line="276" w:lineRule="auto"/>
      </w:pPr>
      <w:r>
        <w:rPr>
          <w:color w:val="222222"/>
        </w:rPr>
        <w:t>A more sophisticated approach models the binary decision: renew (at PQP) vs. bid (at market price). If the proportion of owners choosing each option is approximated from LTA data, a behavioural threshold model can be estimated and simulated.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16C7" w14:paraId="364EE5A3" w14:textId="77777777">
        <w:tblPrEx>
          <w:tblCellMar>
            <w:top w:w="0" w:type="dxa"/>
            <w:bottom w:w="0" w:type="dxa"/>
          </w:tblCellMar>
        </w:tblPrEx>
        <w:tc>
          <w:tcPr>
            <w:tcW w:w="9360" w:type="dxa"/>
            <w:tcBorders>
              <w:top w:val="single" w:sz="12" w:space="0" w:color="1F4E8B"/>
              <w:left w:val="single" w:sz="12" w:space="0" w:color="1F4E8B"/>
              <w:bottom w:val="single" w:sz="1" w:space="0" w:color="CCCCCC"/>
              <w:right w:val="single" w:sz="1" w:space="0" w:color="CCCCCC"/>
            </w:tcBorders>
            <w:shd w:val="clear" w:color="auto" w:fill="D6E4F7"/>
            <w:tcMar>
              <w:top w:w="120" w:type="dxa"/>
              <w:left w:w="200" w:type="dxa"/>
              <w:bottom w:w="120" w:type="dxa"/>
              <w:right w:w="200" w:type="dxa"/>
            </w:tcMar>
          </w:tcPr>
          <w:p w14:paraId="4536EADE" w14:textId="77777777" w:rsidR="004816C7" w:rsidRDefault="00000000">
            <w:pPr>
              <w:spacing w:before="80" w:after="100"/>
            </w:pPr>
            <w:r>
              <w:rPr>
                <w:b/>
                <w:bCs/>
                <w:color w:val="1F4E8B"/>
              </w:rPr>
              <w:t>Simulation Premise</w:t>
            </w:r>
          </w:p>
          <w:p w14:paraId="66DD2056" w14:textId="77777777" w:rsidR="004816C7" w:rsidRDefault="00000000">
            <w:pPr>
              <w:spacing w:after="60"/>
            </w:pPr>
            <w:r>
              <w:rPr>
                <w:color w:val="333333"/>
                <w:sz w:val="20"/>
                <w:szCs w:val="20"/>
              </w:rPr>
              <w:t>If PQP &gt; Market COE Price: owners prefer bidding → demand rises → prices increase</w:t>
            </w:r>
          </w:p>
          <w:p w14:paraId="4C2E6D57" w14:textId="77777777" w:rsidR="004816C7" w:rsidRDefault="00000000">
            <w:pPr>
              <w:spacing w:after="60"/>
            </w:pPr>
            <w:r>
              <w:rPr>
                <w:color w:val="333333"/>
                <w:sz w:val="20"/>
                <w:szCs w:val="20"/>
              </w:rPr>
              <w:t>If PQP &lt; Market COE Price: owners prefer renewal → demand falls → prices stabilise</w:t>
            </w:r>
          </w:p>
          <w:p w14:paraId="2C25843D" w14:textId="77777777" w:rsidR="004816C7" w:rsidRDefault="00000000">
            <w:pPr>
              <w:spacing w:after="60"/>
            </w:pPr>
            <w:r>
              <w:rPr>
                <w:color w:val="333333"/>
                <w:sz w:val="20"/>
                <w:szCs w:val="20"/>
              </w:rPr>
              <w:t>Simulate price cycles by varying the PQP/COE price ratio</w:t>
            </w:r>
          </w:p>
        </w:tc>
      </w:tr>
    </w:tbl>
    <w:p w14:paraId="0BCC7104" w14:textId="77777777" w:rsidR="004816C7" w:rsidRDefault="00000000">
      <w:r>
        <w:br w:type="page"/>
      </w:r>
    </w:p>
    <w:p w14:paraId="3D184EEA" w14:textId="77777777" w:rsidR="004816C7" w:rsidRDefault="00000000">
      <w:pPr>
        <w:pStyle w:val="Heading1"/>
        <w:pBdr>
          <w:bottom w:val="single" w:sz="6" w:space="4" w:color="1F4E8B"/>
        </w:pBdr>
      </w:pPr>
      <w:r>
        <w:lastRenderedPageBreak/>
        <w:t>6. Statistical Methods &amp; Analyses</w:t>
      </w:r>
    </w:p>
    <w:p w14:paraId="68984424" w14:textId="77777777" w:rsidR="004816C7" w:rsidRDefault="00000000">
      <w:pPr>
        <w:spacing w:after="120" w:line="276" w:lineRule="auto"/>
      </w:pPr>
      <w:r>
        <w:rPr>
          <w:color w:val="222222"/>
        </w:rPr>
        <w:t>The following methods are organised from foundational to advanced. It is recommended to implement them in this order, as each method builds on the previous.</w:t>
      </w:r>
    </w:p>
    <w:p w14:paraId="347B10D1" w14:textId="77777777" w:rsidR="004816C7" w:rsidRDefault="004816C7">
      <w:pPr>
        <w:spacing w:before="80"/>
      </w:pPr>
    </w:p>
    <w:p w14:paraId="7040DF70" w14:textId="77777777" w:rsidR="004816C7" w:rsidRDefault="00000000">
      <w:pPr>
        <w:pStyle w:val="Heading2"/>
      </w:pPr>
      <w:r>
        <w:t>6.1 Descriptive Statistics &amp; Data Cleaning</w:t>
      </w:r>
    </w:p>
    <w:p w14:paraId="03C8D0C4" w14:textId="77777777" w:rsidR="004816C7" w:rsidRDefault="00000000">
      <w:pPr>
        <w:pStyle w:val="ListParagraph"/>
        <w:numPr>
          <w:ilvl w:val="0"/>
          <w:numId w:val="2"/>
        </w:numPr>
        <w:spacing w:after="80"/>
      </w:pPr>
      <w:r>
        <w:rPr>
          <w:color w:val="222222"/>
        </w:rPr>
        <w:t>Plot COE price time series by category (Cat A, B, E)</w:t>
      </w:r>
    </w:p>
    <w:p w14:paraId="49FD9318" w14:textId="77777777" w:rsidR="004816C7" w:rsidRDefault="00000000">
      <w:pPr>
        <w:pStyle w:val="ListParagraph"/>
        <w:numPr>
          <w:ilvl w:val="0"/>
          <w:numId w:val="2"/>
        </w:numPr>
        <w:spacing w:after="80"/>
      </w:pPr>
      <w:r>
        <w:rPr>
          <w:color w:val="222222"/>
        </w:rPr>
        <w:t>Summary statistics: mean, median, standard deviation, skewness by year</w:t>
      </w:r>
    </w:p>
    <w:p w14:paraId="2000D9C9" w14:textId="77777777" w:rsidR="004816C7" w:rsidRDefault="00000000">
      <w:pPr>
        <w:pStyle w:val="ListParagraph"/>
        <w:numPr>
          <w:ilvl w:val="0"/>
          <w:numId w:val="2"/>
        </w:numPr>
        <w:spacing w:after="80"/>
      </w:pPr>
      <w:r>
        <w:rPr>
          <w:color w:val="222222"/>
        </w:rPr>
        <w:t>Identify structural breaks (e.g. 2008 financial crisis, COVID-19 2020)</w:t>
      </w:r>
    </w:p>
    <w:p w14:paraId="5BAFB43B" w14:textId="77777777" w:rsidR="004816C7" w:rsidRDefault="00000000">
      <w:pPr>
        <w:pStyle w:val="ListParagraph"/>
        <w:numPr>
          <w:ilvl w:val="0"/>
          <w:numId w:val="2"/>
        </w:numPr>
        <w:spacing w:after="80"/>
      </w:pPr>
      <w:r>
        <w:rPr>
          <w:color w:val="222222"/>
        </w:rPr>
        <w:t>Handle missing data via interpolation or exclusion with justification</w:t>
      </w:r>
    </w:p>
    <w:p w14:paraId="7EA22ED2" w14:textId="77777777" w:rsidR="004816C7" w:rsidRDefault="004816C7">
      <w:pPr>
        <w:spacing w:before="80"/>
      </w:pPr>
    </w:p>
    <w:p w14:paraId="2EEB2401" w14:textId="77777777" w:rsidR="004816C7" w:rsidRDefault="00000000">
      <w:pPr>
        <w:pStyle w:val="Heading2"/>
      </w:pPr>
      <w:r>
        <w:t>6.2 Correlation Analysis</w:t>
      </w:r>
    </w:p>
    <w:p w14:paraId="0DD0FBA1" w14:textId="77777777" w:rsidR="004816C7" w:rsidRDefault="00000000">
      <w:pPr>
        <w:spacing w:after="120" w:line="276" w:lineRule="auto"/>
      </w:pPr>
      <w:r>
        <w:rPr>
          <w:color w:val="222222"/>
        </w:rPr>
        <w:t>Compute Pearson correlation coefficients between all candidate variables:</w:t>
      </w:r>
    </w:p>
    <w:p w14:paraId="25520AFC" w14:textId="77777777" w:rsidR="004816C7" w:rsidRDefault="00000000">
      <w:pPr>
        <w:pStyle w:val="ListParagraph"/>
        <w:numPr>
          <w:ilvl w:val="0"/>
          <w:numId w:val="2"/>
        </w:numPr>
        <w:spacing w:after="80"/>
      </w:pPr>
      <w:r>
        <w:rPr>
          <w:color w:val="222222"/>
        </w:rPr>
        <w:t>COE price vs. household income</w:t>
      </w:r>
    </w:p>
    <w:p w14:paraId="577C2190" w14:textId="77777777" w:rsidR="004816C7" w:rsidRDefault="00000000">
      <w:pPr>
        <w:pStyle w:val="ListParagraph"/>
        <w:numPr>
          <w:ilvl w:val="0"/>
          <w:numId w:val="2"/>
        </w:numPr>
        <w:spacing w:after="80"/>
      </w:pPr>
      <w:r>
        <w:rPr>
          <w:color w:val="222222"/>
        </w:rPr>
        <w:t>COE price vs. COE quota</w:t>
      </w:r>
    </w:p>
    <w:p w14:paraId="50207E1C" w14:textId="77777777" w:rsidR="004816C7" w:rsidRDefault="00000000">
      <w:pPr>
        <w:pStyle w:val="ListParagraph"/>
        <w:numPr>
          <w:ilvl w:val="0"/>
          <w:numId w:val="2"/>
        </w:numPr>
        <w:spacing w:after="80"/>
      </w:pPr>
      <w:r>
        <w:rPr>
          <w:color w:val="222222"/>
        </w:rPr>
        <w:t>COE price vs. retail sales index</w:t>
      </w:r>
    </w:p>
    <w:p w14:paraId="0992C820" w14:textId="77777777" w:rsidR="004816C7" w:rsidRDefault="00000000">
      <w:pPr>
        <w:pStyle w:val="ListParagraph"/>
        <w:numPr>
          <w:ilvl w:val="0"/>
          <w:numId w:val="2"/>
        </w:numPr>
        <w:spacing w:after="80"/>
      </w:pPr>
      <w:r>
        <w:rPr>
          <w:color w:val="222222"/>
        </w:rPr>
        <w:t>COE price vs. PQP</w:t>
      </w:r>
    </w:p>
    <w:p w14:paraId="5F141FD5" w14:textId="77777777" w:rsidR="004816C7" w:rsidRDefault="00000000">
      <w:pPr>
        <w:pStyle w:val="ListParagraph"/>
        <w:numPr>
          <w:ilvl w:val="0"/>
          <w:numId w:val="2"/>
        </w:numPr>
        <w:spacing w:after="80"/>
      </w:pPr>
      <w:r>
        <w:rPr>
          <w:color w:val="222222"/>
        </w:rPr>
        <w:t>COE price vs. CPI (transport)</w:t>
      </w:r>
    </w:p>
    <w:p w14:paraId="22160EAA" w14:textId="77777777" w:rsidR="004816C7" w:rsidRDefault="004816C7">
      <w:pPr>
        <w:spacing w:before="40"/>
      </w:pPr>
    </w:p>
    <w:p w14:paraId="433D52E5" w14:textId="77777777" w:rsidR="004816C7" w:rsidRDefault="00000000">
      <w:pPr>
        <w:spacing w:after="120" w:line="276" w:lineRule="auto"/>
      </w:pPr>
      <w:r>
        <w:rPr>
          <w:color w:val="222222"/>
        </w:rPr>
        <w:t>Produce a correlation heatmap for visual presentation. Note: high correlations between predictors signal multicollinearity, which must be addressed in regression.</w:t>
      </w:r>
    </w:p>
    <w:p w14:paraId="22A1EB71" w14:textId="77777777" w:rsidR="004816C7" w:rsidRDefault="004816C7">
      <w:pPr>
        <w:spacing w:before="80"/>
      </w:pPr>
    </w:p>
    <w:p w14:paraId="38D21622" w14:textId="77777777" w:rsidR="004816C7" w:rsidRDefault="00000000">
      <w:pPr>
        <w:pStyle w:val="Heading2"/>
      </w:pPr>
      <w:r>
        <w:t>6.3 Multiple Linear Regression</w:t>
      </w:r>
    </w:p>
    <w:p w14:paraId="6EA7E626" w14:textId="77777777" w:rsidR="004816C7" w:rsidRDefault="00000000">
      <w:pPr>
        <w:spacing w:after="120" w:line="276" w:lineRule="auto"/>
      </w:pPr>
      <w:r>
        <w:rPr>
          <w:color w:val="222222"/>
        </w:rPr>
        <w:t>The core quantitative model:</w:t>
      </w:r>
    </w:p>
    <w:p w14:paraId="3A352ACE" w14:textId="77777777" w:rsidR="004816C7" w:rsidRDefault="004816C7">
      <w:pPr>
        <w:spacing w:before="20"/>
      </w:pPr>
    </w:p>
    <w:p w14:paraId="24B7E300" w14:textId="77777777" w:rsidR="004816C7" w:rsidRDefault="00000000">
      <w:pPr>
        <w:spacing w:after="80"/>
        <w:jc w:val="center"/>
      </w:pPr>
      <w:r>
        <w:rPr>
          <w:rFonts w:ascii="Courier New" w:eastAsia="Courier New" w:hAnsi="Courier New" w:cs="Courier New"/>
          <w:b/>
          <w:bCs/>
          <w:color w:val="333333"/>
          <w:sz w:val="21"/>
          <w:szCs w:val="21"/>
        </w:rPr>
        <w:t>COE Price = β₀ + β₁(Income) + β₂(Quota) + β₃(RSI) + β₄(PQP) + β₅(Election) + ε</w:t>
      </w:r>
    </w:p>
    <w:p w14:paraId="3D8C3963" w14:textId="77777777" w:rsidR="004816C7" w:rsidRDefault="004816C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100"/>
        <w:gridCol w:w="3460"/>
      </w:tblGrid>
      <w:tr w:rsidR="004816C7" w14:paraId="68217C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8B"/>
            <w:tcMar>
              <w:top w:w="80" w:type="dxa"/>
              <w:left w:w="140" w:type="dxa"/>
              <w:bottom w:w="80" w:type="dxa"/>
              <w:right w:w="140" w:type="dxa"/>
            </w:tcMar>
          </w:tcPr>
          <w:p w14:paraId="47826242" w14:textId="77777777" w:rsidR="004816C7" w:rsidRDefault="00000000">
            <w:r>
              <w:rPr>
                <w:b/>
                <w:bCs/>
                <w:color w:val="FFFFFF"/>
                <w:sz w:val="20"/>
                <w:szCs w:val="20"/>
              </w:rPr>
              <w:t>Variable</w:t>
            </w:r>
          </w:p>
        </w:tc>
        <w:tc>
          <w:tcPr>
            <w:tcW w:w="3100" w:type="dxa"/>
            <w:tcBorders>
              <w:top w:val="single" w:sz="1" w:space="0" w:color="CCCCCC"/>
              <w:left w:val="single" w:sz="1" w:space="0" w:color="CCCCCC"/>
              <w:bottom w:val="single" w:sz="1" w:space="0" w:color="CCCCCC"/>
              <w:right w:val="single" w:sz="1" w:space="0" w:color="CCCCCC"/>
            </w:tcBorders>
            <w:shd w:val="clear" w:color="auto" w:fill="1F4E8B"/>
            <w:tcMar>
              <w:top w:w="80" w:type="dxa"/>
              <w:left w:w="140" w:type="dxa"/>
              <w:bottom w:w="80" w:type="dxa"/>
              <w:right w:w="140" w:type="dxa"/>
            </w:tcMar>
          </w:tcPr>
          <w:p w14:paraId="700048E7" w14:textId="77777777" w:rsidR="004816C7" w:rsidRDefault="00000000">
            <w:r>
              <w:rPr>
                <w:b/>
                <w:bCs/>
                <w:color w:val="FFFFFF"/>
                <w:sz w:val="20"/>
                <w:szCs w:val="20"/>
              </w:rPr>
              <w:t>Rationale</w:t>
            </w:r>
          </w:p>
        </w:tc>
        <w:tc>
          <w:tcPr>
            <w:tcW w:w="3460" w:type="dxa"/>
            <w:tcBorders>
              <w:top w:val="single" w:sz="1" w:space="0" w:color="CCCCCC"/>
              <w:left w:val="single" w:sz="1" w:space="0" w:color="CCCCCC"/>
              <w:bottom w:val="single" w:sz="1" w:space="0" w:color="CCCCCC"/>
              <w:right w:val="single" w:sz="1" w:space="0" w:color="CCCCCC"/>
            </w:tcBorders>
            <w:shd w:val="clear" w:color="auto" w:fill="1F4E8B"/>
            <w:tcMar>
              <w:top w:w="80" w:type="dxa"/>
              <w:left w:w="140" w:type="dxa"/>
              <w:bottom w:w="80" w:type="dxa"/>
              <w:right w:w="140" w:type="dxa"/>
            </w:tcMar>
          </w:tcPr>
          <w:p w14:paraId="55F9B855" w14:textId="77777777" w:rsidR="004816C7" w:rsidRDefault="00000000">
            <w:r>
              <w:rPr>
                <w:b/>
                <w:bCs/>
                <w:color w:val="FFFFFF"/>
                <w:sz w:val="20"/>
                <w:szCs w:val="20"/>
              </w:rPr>
              <w:t>Expected Sign</w:t>
            </w:r>
          </w:p>
        </w:tc>
      </w:tr>
      <w:tr w:rsidR="004816C7" w14:paraId="6849E4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BDC233" w14:textId="77777777" w:rsidR="004816C7" w:rsidRDefault="00000000">
            <w:r>
              <w:rPr>
                <w:color w:val="222222"/>
                <w:sz w:val="20"/>
                <w:szCs w:val="20"/>
              </w:rPr>
              <w:t>Income</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D016C9" w14:textId="77777777" w:rsidR="004816C7" w:rsidRDefault="00000000">
            <w:r>
              <w:rPr>
                <w:color w:val="222222"/>
                <w:sz w:val="20"/>
                <w:szCs w:val="20"/>
              </w:rPr>
              <w:t>Demand-side economic power</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070B50" w14:textId="77777777" w:rsidR="004816C7" w:rsidRDefault="00000000">
            <w:r>
              <w:rPr>
                <w:color w:val="222222"/>
                <w:sz w:val="20"/>
                <w:szCs w:val="20"/>
              </w:rPr>
              <w:t>Positive</w:t>
            </w:r>
          </w:p>
        </w:tc>
      </w:tr>
      <w:tr w:rsidR="004816C7" w14:paraId="4AB048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5C7B7C2" w14:textId="77777777" w:rsidR="004816C7" w:rsidRDefault="00000000">
            <w:r>
              <w:rPr>
                <w:color w:val="222222"/>
                <w:sz w:val="20"/>
                <w:szCs w:val="20"/>
              </w:rPr>
              <w:t>Quota</w:t>
            </w:r>
          </w:p>
        </w:tc>
        <w:tc>
          <w:tcPr>
            <w:tcW w:w="3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9E17542" w14:textId="77777777" w:rsidR="004816C7" w:rsidRDefault="00000000">
            <w:r>
              <w:rPr>
                <w:color w:val="222222"/>
                <w:sz w:val="20"/>
                <w:szCs w:val="20"/>
              </w:rPr>
              <w:t>Supply-side control variable</w:t>
            </w:r>
          </w:p>
        </w:tc>
        <w:tc>
          <w:tcPr>
            <w:tcW w:w="34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295C081F" w14:textId="77777777" w:rsidR="004816C7" w:rsidRDefault="00000000">
            <w:r>
              <w:rPr>
                <w:color w:val="222222"/>
                <w:sz w:val="20"/>
                <w:szCs w:val="20"/>
              </w:rPr>
              <w:t>Negative (key)</w:t>
            </w:r>
          </w:p>
        </w:tc>
      </w:tr>
      <w:tr w:rsidR="004816C7" w14:paraId="3556CE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C737C9" w14:textId="77777777" w:rsidR="004816C7" w:rsidRDefault="00000000">
            <w:r>
              <w:rPr>
                <w:color w:val="222222"/>
                <w:sz w:val="20"/>
                <w:szCs w:val="20"/>
              </w:rPr>
              <w:t>RSI (Retail Sales)</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B409A9" w14:textId="77777777" w:rsidR="004816C7" w:rsidRDefault="00000000">
            <w:r>
              <w:rPr>
                <w:color w:val="222222"/>
                <w:sz w:val="20"/>
                <w:szCs w:val="20"/>
              </w:rPr>
              <w:t>Consumer activity proxy</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E38AF5" w14:textId="77777777" w:rsidR="004816C7" w:rsidRDefault="00000000">
            <w:r>
              <w:rPr>
                <w:color w:val="222222"/>
                <w:sz w:val="20"/>
                <w:szCs w:val="20"/>
              </w:rPr>
              <w:t>Positive</w:t>
            </w:r>
          </w:p>
        </w:tc>
      </w:tr>
      <w:tr w:rsidR="004816C7" w14:paraId="3D6B05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5E4809E7" w14:textId="77777777" w:rsidR="004816C7" w:rsidRDefault="00000000">
            <w:r>
              <w:rPr>
                <w:color w:val="222222"/>
                <w:sz w:val="20"/>
                <w:szCs w:val="20"/>
              </w:rPr>
              <w:t>PQP</w:t>
            </w:r>
          </w:p>
        </w:tc>
        <w:tc>
          <w:tcPr>
            <w:tcW w:w="31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0CB0B9B0" w14:textId="77777777" w:rsidR="004816C7" w:rsidRDefault="00000000">
            <w:r>
              <w:rPr>
                <w:color w:val="222222"/>
                <w:sz w:val="20"/>
                <w:szCs w:val="20"/>
              </w:rPr>
              <w:t>Behavioural demand driver</w:t>
            </w:r>
          </w:p>
        </w:tc>
        <w:tc>
          <w:tcPr>
            <w:tcW w:w="34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40" w:type="dxa"/>
              <w:bottom w:w="80" w:type="dxa"/>
              <w:right w:w="140" w:type="dxa"/>
            </w:tcMar>
          </w:tcPr>
          <w:p w14:paraId="72D05573" w14:textId="77777777" w:rsidR="004816C7" w:rsidRDefault="00000000">
            <w:r>
              <w:rPr>
                <w:color w:val="222222"/>
                <w:sz w:val="20"/>
                <w:szCs w:val="20"/>
              </w:rPr>
              <w:t>Positive</w:t>
            </w:r>
          </w:p>
        </w:tc>
      </w:tr>
      <w:tr w:rsidR="004816C7" w14:paraId="74EA50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5A313" w14:textId="77777777" w:rsidR="004816C7" w:rsidRDefault="00000000">
            <w:r>
              <w:rPr>
                <w:color w:val="222222"/>
                <w:sz w:val="20"/>
                <w:szCs w:val="20"/>
              </w:rPr>
              <w:t>Election Dummy</w:t>
            </w:r>
          </w:p>
        </w:tc>
        <w:tc>
          <w:tcPr>
            <w:tcW w:w="3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0DF8F4" w14:textId="77777777" w:rsidR="004816C7" w:rsidRDefault="00000000">
            <w:r>
              <w:rPr>
                <w:color w:val="222222"/>
                <w:sz w:val="20"/>
                <w:szCs w:val="20"/>
              </w:rPr>
              <w:t>Policy cycle test</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147571" w14:textId="77777777" w:rsidR="004816C7" w:rsidRDefault="00000000">
            <w:r>
              <w:rPr>
                <w:color w:val="222222"/>
                <w:sz w:val="20"/>
                <w:szCs w:val="20"/>
              </w:rPr>
              <w:t>Negative (if hypothesis true)</w:t>
            </w:r>
          </w:p>
        </w:tc>
      </w:tr>
    </w:tbl>
    <w:p w14:paraId="5C2CD579" w14:textId="77777777" w:rsidR="004816C7" w:rsidRDefault="004816C7">
      <w:pPr>
        <w:spacing w:before="80"/>
      </w:pPr>
    </w:p>
    <w:p w14:paraId="3F065CCC" w14:textId="77777777" w:rsidR="004816C7" w:rsidRDefault="00000000">
      <w:pPr>
        <w:spacing w:after="120" w:line="276" w:lineRule="auto"/>
      </w:pPr>
      <w:r>
        <w:rPr>
          <w:color w:val="222222"/>
        </w:rPr>
        <w:lastRenderedPageBreak/>
        <w:t>Evaluate the model using: R², Adjusted R², p-values per coefficient, residual plots, and VIF (Variance Inflation Factor) for multicollinearity.</w:t>
      </w:r>
    </w:p>
    <w:p w14:paraId="7222CFC7" w14:textId="77777777" w:rsidR="004816C7" w:rsidRDefault="004816C7">
      <w:pPr>
        <w:spacing w:before="80"/>
      </w:pPr>
    </w:p>
    <w:p w14:paraId="3C8A050C" w14:textId="77777777" w:rsidR="004816C7" w:rsidRDefault="00000000">
      <w:pPr>
        <w:pStyle w:val="Heading2"/>
      </w:pPr>
      <w:r>
        <w:t>6.4 Hypothesis Testing</w:t>
      </w:r>
    </w:p>
    <w:p w14:paraId="15F06BAA" w14:textId="77777777" w:rsidR="004816C7" w:rsidRDefault="00000000">
      <w:pPr>
        <w:pStyle w:val="Heading3"/>
      </w:pPr>
      <w:r>
        <w:t>Test 1 — Election Year Effect</w:t>
      </w:r>
    </w:p>
    <w:p w14:paraId="435F051E" w14:textId="77777777" w:rsidR="004816C7" w:rsidRDefault="00000000">
      <w:pPr>
        <w:pStyle w:val="ListParagraph"/>
        <w:numPr>
          <w:ilvl w:val="0"/>
          <w:numId w:val="2"/>
        </w:numPr>
        <w:spacing w:after="80"/>
      </w:pPr>
      <w:r>
        <w:rPr>
          <w:color w:val="222222"/>
        </w:rPr>
        <w:t>Null hypothesis (H0): Mean COE price in election years = mean in non-election years</w:t>
      </w:r>
    </w:p>
    <w:p w14:paraId="2F5417C2" w14:textId="77777777" w:rsidR="004816C7" w:rsidRDefault="00000000">
      <w:pPr>
        <w:pStyle w:val="ListParagraph"/>
        <w:numPr>
          <w:ilvl w:val="0"/>
          <w:numId w:val="2"/>
        </w:numPr>
        <w:spacing w:after="80"/>
      </w:pPr>
      <w:r>
        <w:rPr>
          <w:color w:val="222222"/>
        </w:rPr>
        <w:t>Alternative (H1): Mean COE price is lower in election years</w:t>
      </w:r>
    </w:p>
    <w:p w14:paraId="4820285F" w14:textId="77777777" w:rsidR="004816C7" w:rsidRPr="00583A07" w:rsidRDefault="00000000">
      <w:pPr>
        <w:pStyle w:val="ListParagraph"/>
        <w:numPr>
          <w:ilvl w:val="0"/>
          <w:numId w:val="2"/>
        </w:numPr>
        <w:spacing w:after="80"/>
      </w:pPr>
      <w:r>
        <w:rPr>
          <w:color w:val="222222"/>
        </w:rPr>
        <w:t>Method: Independent samples t-test or Mann-Whitney U (if non-normal)</w:t>
      </w:r>
    </w:p>
    <w:p w14:paraId="3C5D5025" w14:textId="1E7A2C54" w:rsidR="00583A07" w:rsidRDefault="00583A07">
      <w:pPr>
        <w:pStyle w:val="ListParagraph"/>
        <w:numPr>
          <w:ilvl w:val="0"/>
          <w:numId w:val="2"/>
        </w:numPr>
        <w:spacing w:after="80"/>
      </w:pPr>
      <w:r>
        <w:rPr>
          <w:color w:val="222222"/>
        </w:rPr>
        <w:t>Alternate test showing drop from previous year might be better</w:t>
      </w:r>
    </w:p>
    <w:p w14:paraId="14B99583" w14:textId="77777777" w:rsidR="004816C7" w:rsidRDefault="004816C7">
      <w:pPr>
        <w:spacing w:before="40"/>
      </w:pPr>
    </w:p>
    <w:p w14:paraId="2EA983A1" w14:textId="77777777" w:rsidR="004816C7" w:rsidRDefault="00000000">
      <w:pPr>
        <w:pStyle w:val="Heading3"/>
      </w:pPr>
      <w:r>
        <w:t>Test 2 — PQP Price Gap Effect</w:t>
      </w:r>
    </w:p>
    <w:p w14:paraId="382B8471" w14:textId="77777777" w:rsidR="004816C7" w:rsidRDefault="00000000">
      <w:pPr>
        <w:pStyle w:val="ListParagraph"/>
        <w:numPr>
          <w:ilvl w:val="0"/>
          <w:numId w:val="2"/>
        </w:numPr>
        <w:spacing w:after="80"/>
      </w:pPr>
      <w:r>
        <w:rPr>
          <w:color w:val="222222"/>
        </w:rPr>
        <w:t>H0: Next-cycle price change is the same regardless of PQP-COE gap</w:t>
      </w:r>
    </w:p>
    <w:p w14:paraId="7884AB6E" w14:textId="77777777" w:rsidR="004816C7" w:rsidRDefault="00000000">
      <w:pPr>
        <w:pStyle w:val="ListParagraph"/>
        <w:numPr>
          <w:ilvl w:val="0"/>
          <w:numId w:val="2"/>
        </w:numPr>
        <w:spacing w:after="80"/>
      </w:pPr>
      <w:r>
        <w:rPr>
          <w:color w:val="222222"/>
        </w:rPr>
        <w:t>H1: When PQP &gt; COE price, the next cycle sees higher prices</w:t>
      </w:r>
    </w:p>
    <w:p w14:paraId="14B186A3" w14:textId="77777777" w:rsidR="004816C7" w:rsidRDefault="00000000">
      <w:pPr>
        <w:pStyle w:val="ListParagraph"/>
        <w:numPr>
          <w:ilvl w:val="0"/>
          <w:numId w:val="2"/>
        </w:numPr>
        <w:spacing w:after="80"/>
      </w:pPr>
      <w:r>
        <w:rPr>
          <w:color w:val="222222"/>
        </w:rPr>
        <w:t>Method: Split data into two groups (PQP &gt; COE vs PQP ≤ COE); compare next-cycle changes</w:t>
      </w:r>
    </w:p>
    <w:p w14:paraId="7986CF70" w14:textId="77777777" w:rsidR="004816C7" w:rsidRDefault="004816C7">
      <w:pPr>
        <w:spacing w:before="80"/>
      </w:pPr>
    </w:p>
    <w:p w14:paraId="43D0ECAE" w14:textId="77777777" w:rsidR="004816C7" w:rsidRDefault="00000000">
      <w:pPr>
        <w:pStyle w:val="Heading2"/>
      </w:pPr>
      <w:r>
        <w:t>6.5 Time Series Analysis</w:t>
      </w:r>
    </w:p>
    <w:p w14:paraId="4114A5C1" w14:textId="77777777" w:rsidR="004816C7" w:rsidRDefault="00000000">
      <w:pPr>
        <w:pStyle w:val="ListParagraph"/>
        <w:numPr>
          <w:ilvl w:val="0"/>
          <w:numId w:val="2"/>
        </w:numPr>
        <w:spacing w:after="80"/>
      </w:pPr>
      <w:r>
        <w:rPr>
          <w:color w:val="222222"/>
        </w:rPr>
        <w:t>Decompose COE prices into: Trend + Seasonality + Residual (STL decomposition)</w:t>
      </w:r>
    </w:p>
    <w:p w14:paraId="5027AF16" w14:textId="77777777" w:rsidR="004816C7" w:rsidRDefault="00000000">
      <w:pPr>
        <w:pStyle w:val="ListParagraph"/>
        <w:numPr>
          <w:ilvl w:val="0"/>
          <w:numId w:val="2"/>
        </w:numPr>
        <w:spacing w:after="80"/>
      </w:pPr>
      <w:r>
        <w:rPr>
          <w:color w:val="222222"/>
        </w:rPr>
        <w:t>Test for stationarity using Augmented Dickey-Fuller (ADF) test</w:t>
      </w:r>
    </w:p>
    <w:p w14:paraId="1D74ADE5" w14:textId="77777777" w:rsidR="004816C7" w:rsidRDefault="00000000">
      <w:pPr>
        <w:pStyle w:val="ListParagraph"/>
        <w:numPr>
          <w:ilvl w:val="0"/>
          <w:numId w:val="2"/>
        </w:numPr>
        <w:spacing w:after="80"/>
      </w:pPr>
      <w:r>
        <w:rPr>
          <w:color w:val="222222"/>
        </w:rPr>
        <w:t>Apply first-differencing if non-stationary</w:t>
      </w:r>
    </w:p>
    <w:p w14:paraId="203FE7EF" w14:textId="77777777" w:rsidR="004816C7" w:rsidRDefault="00000000">
      <w:pPr>
        <w:pStyle w:val="ListParagraph"/>
        <w:numPr>
          <w:ilvl w:val="0"/>
          <w:numId w:val="2"/>
        </w:numPr>
        <w:spacing w:after="80"/>
      </w:pPr>
      <w:r>
        <w:rPr>
          <w:color w:val="222222"/>
        </w:rPr>
        <w:t>Compute autocorrelation (ACF) and partial autocorrelation (PACF) plots</w:t>
      </w:r>
    </w:p>
    <w:p w14:paraId="4EB18913" w14:textId="77777777" w:rsidR="004816C7" w:rsidRDefault="00000000">
      <w:pPr>
        <w:pStyle w:val="ListParagraph"/>
        <w:numPr>
          <w:ilvl w:val="0"/>
          <w:numId w:val="2"/>
        </w:numPr>
        <w:spacing w:after="80"/>
      </w:pPr>
      <w:r>
        <w:rPr>
          <w:color w:val="222222"/>
        </w:rPr>
        <w:t>Identify ARIMA model order and fit if appropriate</w:t>
      </w:r>
    </w:p>
    <w:p w14:paraId="0BE48229" w14:textId="77777777" w:rsidR="004816C7" w:rsidRDefault="00000000">
      <w:pPr>
        <w:spacing w:after="120" w:line="276" w:lineRule="auto"/>
      </w:pPr>
      <w:r>
        <w:rPr>
          <w:color w:val="222222"/>
        </w:rPr>
        <w:t>Seasonality analysis will reveal whether there is a consistently optimal time of year to purchase.</w:t>
      </w:r>
    </w:p>
    <w:p w14:paraId="586213B8" w14:textId="77777777" w:rsidR="004816C7" w:rsidRDefault="00000000">
      <w:r>
        <w:br w:type="page"/>
      </w:r>
    </w:p>
    <w:p w14:paraId="459B55DB" w14:textId="77777777" w:rsidR="004816C7" w:rsidRDefault="00000000">
      <w:pPr>
        <w:pStyle w:val="Heading1"/>
        <w:pBdr>
          <w:bottom w:val="single" w:sz="6" w:space="4" w:color="1F4E8B"/>
        </w:pBdr>
      </w:pPr>
      <w:r>
        <w:lastRenderedPageBreak/>
        <w:t>7. Advanced Techniques &amp; Simulations</w:t>
      </w:r>
    </w:p>
    <w:p w14:paraId="73398E7E" w14:textId="77777777" w:rsidR="004816C7" w:rsidRDefault="00000000">
      <w:pPr>
        <w:pStyle w:val="Heading2"/>
      </w:pPr>
      <w:r>
        <w:t>7.1 Lag Regression</w:t>
      </w:r>
    </w:p>
    <w:p w14:paraId="021C731C" w14:textId="77777777" w:rsidR="004816C7" w:rsidRDefault="00000000">
      <w:pPr>
        <w:spacing w:after="120" w:line="276" w:lineRule="auto"/>
      </w:pPr>
      <w:r>
        <w:rPr>
          <w:color w:val="222222"/>
        </w:rPr>
        <w:t>Economic variables typically have delayed effects on asset prices. Lag regression tests whether income or PQP at time t−k predicts COE prices at time t:</w:t>
      </w:r>
    </w:p>
    <w:p w14:paraId="1878ABE7" w14:textId="77777777" w:rsidR="004816C7" w:rsidRDefault="00000000">
      <w:pPr>
        <w:pStyle w:val="ListParagraph"/>
        <w:numPr>
          <w:ilvl w:val="0"/>
          <w:numId w:val="2"/>
        </w:numPr>
        <w:spacing w:after="80"/>
      </w:pPr>
      <w:r>
        <w:rPr>
          <w:color w:val="222222"/>
        </w:rPr>
        <w:t>Test lags of 1, 2, 3, 6, and 12 months</w:t>
      </w:r>
    </w:p>
    <w:p w14:paraId="68676F45" w14:textId="77777777" w:rsidR="004816C7" w:rsidRDefault="00000000">
      <w:pPr>
        <w:pStyle w:val="ListParagraph"/>
        <w:numPr>
          <w:ilvl w:val="0"/>
          <w:numId w:val="2"/>
        </w:numPr>
        <w:spacing w:after="80"/>
      </w:pPr>
      <w:r>
        <w:rPr>
          <w:color w:val="222222"/>
        </w:rPr>
        <w:t>Select optimal lag using AIC/BIC criterion</w:t>
      </w:r>
    </w:p>
    <w:p w14:paraId="63249D4E" w14:textId="77777777" w:rsidR="004816C7" w:rsidRDefault="00000000">
      <w:pPr>
        <w:pStyle w:val="ListParagraph"/>
        <w:numPr>
          <w:ilvl w:val="0"/>
          <w:numId w:val="2"/>
        </w:numPr>
        <w:spacing w:after="80"/>
      </w:pPr>
      <w:r>
        <w:rPr>
          <w:color w:val="222222"/>
        </w:rPr>
        <w:t>Potential finding: income has a 3–6 month lagged effect on COE prices</w:t>
      </w:r>
    </w:p>
    <w:p w14:paraId="0EB3A11D" w14:textId="77777777" w:rsidR="004816C7" w:rsidRDefault="004816C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16C7" w14:paraId="6992DE43" w14:textId="77777777">
        <w:tblPrEx>
          <w:tblCellMar>
            <w:top w:w="0" w:type="dxa"/>
            <w:bottom w:w="0" w:type="dxa"/>
          </w:tblCellMar>
        </w:tblPrEx>
        <w:tc>
          <w:tcPr>
            <w:tcW w:w="9360" w:type="dxa"/>
            <w:tcBorders>
              <w:top w:val="single" w:sz="12" w:space="0" w:color="1F4E8B"/>
              <w:left w:val="single" w:sz="12" w:space="0" w:color="1F4E8B"/>
              <w:bottom w:val="single" w:sz="1" w:space="0" w:color="CCCCCC"/>
              <w:right w:val="single" w:sz="1" w:space="0" w:color="CCCCCC"/>
            </w:tcBorders>
            <w:shd w:val="clear" w:color="auto" w:fill="D6E4F7"/>
            <w:tcMar>
              <w:top w:w="120" w:type="dxa"/>
              <w:left w:w="200" w:type="dxa"/>
              <w:bottom w:w="120" w:type="dxa"/>
              <w:right w:w="200" w:type="dxa"/>
            </w:tcMar>
          </w:tcPr>
          <w:p w14:paraId="1C389EF8" w14:textId="77777777" w:rsidR="004816C7" w:rsidRDefault="00000000">
            <w:pPr>
              <w:spacing w:before="80" w:after="100"/>
            </w:pPr>
            <w:r>
              <w:rPr>
                <w:b/>
                <w:bCs/>
                <w:color w:val="1F4E8B"/>
              </w:rPr>
              <w:t>Why This Matters</w:t>
            </w:r>
          </w:p>
          <w:p w14:paraId="433743DF" w14:textId="77777777" w:rsidR="004816C7" w:rsidRDefault="00000000">
            <w:pPr>
              <w:spacing w:after="60"/>
            </w:pPr>
            <w:r>
              <w:rPr>
                <w:color w:val="333333"/>
                <w:sz w:val="20"/>
                <w:szCs w:val="20"/>
              </w:rPr>
              <w:t>If income at t−3 predicts COE at t better than contemporaneous income,</w:t>
            </w:r>
          </w:p>
          <w:p w14:paraId="3A338932" w14:textId="77777777" w:rsidR="004816C7" w:rsidRDefault="00000000">
            <w:pPr>
              <w:spacing w:after="60"/>
            </w:pPr>
            <w:r>
              <w:rPr>
                <w:color w:val="333333"/>
                <w:sz w:val="20"/>
                <w:szCs w:val="20"/>
              </w:rPr>
              <w:t>this suggests consumers need time to adjust financial behaviour after income changes,</w:t>
            </w:r>
          </w:p>
          <w:p w14:paraId="66230C11" w14:textId="77777777" w:rsidR="004816C7" w:rsidRDefault="00000000">
            <w:pPr>
              <w:spacing w:after="60"/>
            </w:pPr>
            <w:r>
              <w:rPr>
                <w:color w:val="333333"/>
                <w:sz w:val="20"/>
                <w:szCs w:val="20"/>
              </w:rPr>
              <w:t>which has practical implications for purchase timing.</w:t>
            </w:r>
          </w:p>
        </w:tc>
      </w:tr>
    </w:tbl>
    <w:p w14:paraId="4265945F" w14:textId="77777777" w:rsidR="004816C7" w:rsidRDefault="004816C7">
      <w:pPr>
        <w:spacing w:before="80"/>
      </w:pPr>
    </w:p>
    <w:p w14:paraId="4DF9C6CB" w14:textId="77777777" w:rsidR="004816C7" w:rsidRDefault="00000000">
      <w:pPr>
        <w:pStyle w:val="Heading2"/>
      </w:pPr>
      <w:r>
        <w:t>7.2 Machine Learning Prediction Model (Python)</w:t>
      </w:r>
    </w:p>
    <w:p w14:paraId="024C4220" w14:textId="77777777" w:rsidR="004816C7" w:rsidRDefault="00000000">
      <w:pPr>
        <w:spacing w:after="120" w:line="276" w:lineRule="auto"/>
      </w:pPr>
      <w:r>
        <w:rPr>
          <w:color w:val="222222"/>
        </w:rPr>
        <w:t>A Random Forest or Gradient Boosting model can be trained on historical data to predict future COE prices. This approach automatically captures non-linear interactions between variables.</w:t>
      </w:r>
    </w:p>
    <w:p w14:paraId="42917A13" w14:textId="77777777" w:rsidR="004816C7" w:rsidRDefault="00000000">
      <w:pPr>
        <w:pStyle w:val="ListParagraph"/>
        <w:numPr>
          <w:ilvl w:val="0"/>
          <w:numId w:val="2"/>
        </w:numPr>
        <w:spacing w:after="80"/>
      </w:pPr>
      <w:r>
        <w:rPr>
          <w:color w:val="222222"/>
        </w:rPr>
        <w:t>Split data into training (70%) and testing (30%) sets</w:t>
      </w:r>
    </w:p>
    <w:p w14:paraId="62050A70" w14:textId="77777777" w:rsidR="004816C7" w:rsidRDefault="00000000">
      <w:pPr>
        <w:pStyle w:val="ListParagraph"/>
        <w:numPr>
          <w:ilvl w:val="0"/>
          <w:numId w:val="2"/>
        </w:numPr>
        <w:spacing w:after="80"/>
      </w:pPr>
      <w:r>
        <w:rPr>
          <w:color w:val="222222"/>
        </w:rPr>
        <w:t>Features: income, quota, RSI, PQP, CPI, month, election dummy, lagged COE prices</w:t>
      </w:r>
    </w:p>
    <w:p w14:paraId="766E4BDE" w14:textId="77777777" w:rsidR="004816C7" w:rsidRDefault="00000000">
      <w:pPr>
        <w:pStyle w:val="ListParagraph"/>
        <w:numPr>
          <w:ilvl w:val="0"/>
          <w:numId w:val="2"/>
        </w:numPr>
        <w:spacing w:after="80"/>
      </w:pPr>
      <w:r>
        <w:rPr>
          <w:color w:val="222222"/>
        </w:rPr>
        <w:t>Evaluation: RMSE, MAE, and R² on test set</w:t>
      </w:r>
    </w:p>
    <w:p w14:paraId="0061740C" w14:textId="77777777" w:rsidR="004816C7" w:rsidRDefault="00000000">
      <w:pPr>
        <w:pStyle w:val="ListParagraph"/>
        <w:numPr>
          <w:ilvl w:val="0"/>
          <w:numId w:val="2"/>
        </w:numPr>
        <w:spacing w:after="80"/>
      </w:pPr>
      <w:r>
        <w:rPr>
          <w:color w:val="222222"/>
        </w:rPr>
        <w:t>Feature importance chart: shows which variables the model relies on most</w:t>
      </w:r>
    </w:p>
    <w:p w14:paraId="35AD8F28" w14:textId="77777777" w:rsidR="004816C7" w:rsidRDefault="004816C7">
      <w:pPr>
        <w:spacing w:before="40"/>
      </w:pPr>
    </w:p>
    <w:p w14:paraId="5E59BE1C" w14:textId="77777777" w:rsidR="004816C7" w:rsidRDefault="00000000">
      <w:pPr>
        <w:spacing w:after="120" w:line="276" w:lineRule="auto"/>
      </w:pPr>
      <w:r>
        <w:rPr>
          <w:color w:val="222222"/>
        </w:rPr>
        <w:t>Comparing the ML model's accuracy against the linear regression model quantifies the non-linearity of COE price dynamics.</w:t>
      </w:r>
    </w:p>
    <w:p w14:paraId="33DF1276" w14:textId="77777777" w:rsidR="004816C7" w:rsidRDefault="004816C7">
      <w:pPr>
        <w:spacing w:before="80"/>
      </w:pPr>
    </w:p>
    <w:p w14:paraId="0FD40DFD" w14:textId="77777777" w:rsidR="004816C7" w:rsidRDefault="00000000">
      <w:pPr>
        <w:pStyle w:val="Heading2"/>
      </w:pPr>
      <w:r>
        <w:t>7.3 Monte Carlo Bidding Simulation</w:t>
      </w:r>
    </w:p>
    <w:p w14:paraId="55296393" w14:textId="77777777" w:rsidR="004816C7" w:rsidRDefault="00000000">
      <w:pPr>
        <w:spacing w:after="120" w:line="276" w:lineRule="auto"/>
      </w:pPr>
      <w:r>
        <w:rPr>
          <w:color w:val="222222"/>
        </w:rPr>
        <w:t>This is the most distinctive component of the project and represents distinction-level work. The simulation models the COE bidding market from first principles:</w:t>
      </w:r>
    </w:p>
    <w:p w14:paraId="2FDDCEE0" w14:textId="77777777" w:rsidR="004816C7" w:rsidRDefault="004816C7">
      <w:pPr>
        <w:spacing w:before="40"/>
      </w:pPr>
    </w:p>
    <w:p w14:paraId="6B56445C" w14:textId="77777777" w:rsidR="004816C7" w:rsidRDefault="00000000">
      <w:pPr>
        <w:pStyle w:val="ListParagraph"/>
        <w:numPr>
          <w:ilvl w:val="0"/>
          <w:numId w:val="3"/>
        </w:numPr>
        <w:spacing w:after="80"/>
      </w:pPr>
      <w:r>
        <w:rPr>
          <w:color w:val="222222"/>
        </w:rPr>
        <w:t>Assume N bidders with willingness-to-pay drawn from a distribution (e.g. log-normal)</w:t>
      </w:r>
    </w:p>
    <w:p w14:paraId="67896738" w14:textId="77777777" w:rsidR="004816C7" w:rsidRDefault="00000000">
      <w:pPr>
        <w:pStyle w:val="ListParagraph"/>
        <w:numPr>
          <w:ilvl w:val="0"/>
          <w:numId w:val="3"/>
        </w:numPr>
        <w:spacing w:after="80"/>
      </w:pPr>
      <w:r>
        <w:rPr>
          <w:color w:val="222222"/>
        </w:rPr>
        <w:t>Set a quota Q (number of COEs available)</w:t>
      </w:r>
    </w:p>
    <w:p w14:paraId="1D49BB78" w14:textId="77777777" w:rsidR="004816C7" w:rsidRDefault="00000000">
      <w:pPr>
        <w:pStyle w:val="ListParagraph"/>
        <w:numPr>
          <w:ilvl w:val="0"/>
          <w:numId w:val="3"/>
        </w:numPr>
        <w:spacing w:after="80"/>
      </w:pPr>
      <w:r>
        <w:rPr>
          <w:color w:val="222222"/>
        </w:rPr>
        <w:t>The clearing price = the Q-</w:t>
      </w:r>
      <w:proofErr w:type="spellStart"/>
      <w:r>
        <w:rPr>
          <w:color w:val="222222"/>
        </w:rPr>
        <w:t>th</w:t>
      </w:r>
      <w:proofErr w:type="spellEnd"/>
      <w:r>
        <w:rPr>
          <w:color w:val="222222"/>
        </w:rPr>
        <w:t xml:space="preserve"> highest bid</w:t>
      </w:r>
    </w:p>
    <w:p w14:paraId="30A9A231" w14:textId="77777777" w:rsidR="004816C7" w:rsidRDefault="00000000">
      <w:pPr>
        <w:pStyle w:val="ListParagraph"/>
        <w:numPr>
          <w:ilvl w:val="0"/>
          <w:numId w:val="3"/>
        </w:numPr>
        <w:spacing w:after="80"/>
      </w:pPr>
      <w:r>
        <w:rPr>
          <w:color w:val="222222"/>
        </w:rPr>
        <w:t>Vary parameters: increase N (demand shock), decrease Q (supply shock), shift PQP</w:t>
      </w:r>
    </w:p>
    <w:p w14:paraId="76C00318" w14:textId="77777777" w:rsidR="004816C7" w:rsidRDefault="00000000">
      <w:pPr>
        <w:pStyle w:val="ListParagraph"/>
        <w:numPr>
          <w:ilvl w:val="0"/>
          <w:numId w:val="3"/>
        </w:numPr>
        <w:spacing w:after="80"/>
      </w:pPr>
      <w:r>
        <w:rPr>
          <w:color w:val="222222"/>
        </w:rPr>
        <w:t>Record clearing prices across 10,000 simulated rounds</w:t>
      </w:r>
    </w:p>
    <w:p w14:paraId="3F43B2FE" w14:textId="77777777" w:rsidR="004816C7" w:rsidRDefault="004816C7">
      <w:pPr>
        <w:spacing w:before="40"/>
      </w:pPr>
    </w:p>
    <w:p w14:paraId="23369D1B" w14:textId="77777777" w:rsidR="004816C7" w:rsidRDefault="00000000">
      <w:pPr>
        <w:spacing w:after="120" w:line="276" w:lineRule="auto"/>
      </w:pPr>
      <w:r>
        <w:rPr>
          <w:color w:val="222222"/>
        </w:rPr>
        <w:lastRenderedPageBreak/>
        <w:t>This allows the project to independently verify whether the empirical patterns observed in real data (e.g. quota changes driving prices more than income changes) are theoretically consistent with auction dynamics.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16C7" w14:paraId="54829FDE" w14:textId="77777777">
        <w:tblPrEx>
          <w:tblCellMar>
            <w:top w:w="0" w:type="dxa"/>
            <w:bottom w:w="0" w:type="dxa"/>
          </w:tblCellMar>
        </w:tblPrEx>
        <w:tc>
          <w:tcPr>
            <w:tcW w:w="9360" w:type="dxa"/>
            <w:tcBorders>
              <w:top w:val="single" w:sz="12" w:space="0" w:color="1F4E8B"/>
              <w:left w:val="single" w:sz="12" w:space="0" w:color="1F4E8B"/>
              <w:bottom w:val="single" w:sz="1" w:space="0" w:color="CCCCCC"/>
              <w:right w:val="single" w:sz="1" w:space="0" w:color="CCCCCC"/>
            </w:tcBorders>
            <w:shd w:val="clear" w:color="auto" w:fill="D6E4F7"/>
            <w:tcMar>
              <w:top w:w="120" w:type="dxa"/>
              <w:left w:w="200" w:type="dxa"/>
              <w:bottom w:w="120" w:type="dxa"/>
              <w:right w:w="200" w:type="dxa"/>
            </w:tcMar>
          </w:tcPr>
          <w:p w14:paraId="0135DEB1" w14:textId="77777777" w:rsidR="004816C7" w:rsidRDefault="00000000">
            <w:pPr>
              <w:spacing w:before="80" w:after="100"/>
            </w:pPr>
            <w:r>
              <w:rPr>
                <w:b/>
                <w:bCs/>
                <w:color w:val="1F4E8B"/>
              </w:rPr>
              <w:t>Simulation Outputs</w:t>
            </w:r>
          </w:p>
          <w:p w14:paraId="0AACE387" w14:textId="77777777" w:rsidR="004816C7" w:rsidRDefault="00000000">
            <w:pPr>
              <w:spacing w:after="60"/>
            </w:pPr>
            <w:r>
              <w:rPr>
                <w:color w:val="333333"/>
                <w:sz w:val="20"/>
                <w:szCs w:val="20"/>
              </w:rPr>
              <w:t>Price sensitivity to demand (N) vs. supply (Q) — compare elasticities</w:t>
            </w:r>
          </w:p>
          <w:p w14:paraId="25A16080" w14:textId="77777777" w:rsidR="004816C7" w:rsidRDefault="00000000">
            <w:pPr>
              <w:spacing w:after="60"/>
            </w:pPr>
            <w:r>
              <w:rPr>
                <w:color w:val="333333"/>
                <w:sz w:val="20"/>
                <w:szCs w:val="20"/>
              </w:rPr>
              <w:t>Effect of PQP on bidding participation rates</w:t>
            </w:r>
          </w:p>
          <w:p w14:paraId="3AFFE528" w14:textId="77777777" w:rsidR="004816C7" w:rsidRDefault="00000000">
            <w:pPr>
              <w:spacing w:after="60"/>
            </w:pPr>
            <w:r>
              <w:rPr>
                <w:color w:val="333333"/>
                <w:sz w:val="20"/>
                <w:szCs w:val="20"/>
              </w:rPr>
              <w:t>Distribution of clearing prices under different market scenarios</w:t>
            </w:r>
          </w:p>
          <w:p w14:paraId="0606F8C7" w14:textId="77777777" w:rsidR="004816C7" w:rsidRDefault="00000000">
            <w:pPr>
              <w:spacing w:after="60"/>
            </w:pPr>
            <w:r>
              <w:rPr>
                <w:color w:val="333333"/>
                <w:sz w:val="20"/>
                <w:szCs w:val="20"/>
              </w:rPr>
              <w:t>Best-case and worst-case price ranges for a given economic environment</w:t>
            </w:r>
          </w:p>
        </w:tc>
      </w:tr>
    </w:tbl>
    <w:p w14:paraId="323BDC9E" w14:textId="77777777" w:rsidR="004816C7" w:rsidRDefault="004816C7">
      <w:pPr>
        <w:spacing w:before="80"/>
      </w:pPr>
    </w:p>
    <w:p w14:paraId="3D8B727D" w14:textId="77777777" w:rsidR="004816C7" w:rsidRDefault="00000000">
      <w:pPr>
        <w:pStyle w:val="Heading2"/>
      </w:pPr>
      <w:r>
        <w:t>7.4 Granger Causality Testing</w:t>
      </w:r>
    </w:p>
    <w:p w14:paraId="29B3FE20" w14:textId="77777777" w:rsidR="004816C7" w:rsidRDefault="00000000">
      <w:pPr>
        <w:spacing w:after="120" w:line="276" w:lineRule="auto"/>
      </w:pPr>
      <w:r>
        <w:rPr>
          <w:color w:val="222222"/>
        </w:rPr>
        <w:t>For pairs of time series (e.g. PQP and COE price, or Income and COE price), Granger causality tests whether past values of one variable improve predictions of the other. This is stronger than simple correlation.</w:t>
      </w:r>
    </w:p>
    <w:p w14:paraId="7928EDDC" w14:textId="77777777" w:rsidR="004816C7" w:rsidRDefault="00000000">
      <w:pPr>
        <w:pStyle w:val="ListParagraph"/>
        <w:numPr>
          <w:ilvl w:val="0"/>
          <w:numId w:val="2"/>
        </w:numPr>
        <w:spacing w:after="80"/>
      </w:pPr>
      <w:r>
        <w:rPr>
          <w:color w:val="222222"/>
        </w:rPr>
        <w:t>Does PQP Granger-cause COE prices? (likely yes)</w:t>
      </w:r>
    </w:p>
    <w:p w14:paraId="323A01C4" w14:textId="77777777" w:rsidR="004816C7" w:rsidRDefault="00000000">
      <w:pPr>
        <w:pStyle w:val="ListParagraph"/>
        <w:numPr>
          <w:ilvl w:val="0"/>
          <w:numId w:val="2"/>
        </w:numPr>
        <w:spacing w:after="80"/>
      </w:pPr>
      <w:r>
        <w:rPr>
          <w:color w:val="222222"/>
        </w:rPr>
        <w:t>Does COE price Granger-cause PQP? (yes, by construction — tests directionality)</w:t>
      </w:r>
    </w:p>
    <w:p w14:paraId="766284CE" w14:textId="77777777" w:rsidR="004816C7" w:rsidRDefault="00000000">
      <w:pPr>
        <w:pStyle w:val="ListParagraph"/>
        <w:numPr>
          <w:ilvl w:val="0"/>
          <w:numId w:val="2"/>
        </w:numPr>
        <w:spacing w:after="80"/>
      </w:pPr>
      <w:r>
        <w:rPr>
          <w:color w:val="222222"/>
        </w:rPr>
        <w:t>Does household income Granger-cause COE prices?</w:t>
      </w:r>
    </w:p>
    <w:p w14:paraId="3C8DD36A" w14:textId="77777777" w:rsidR="004816C7" w:rsidRDefault="00000000">
      <w:r>
        <w:br w:type="page"/>
      </w:r>
    </w:p>
    <w:p w14:paraId="48185AA0" w14:textId="77777777" w:rsidR="004816C7" w:rsidRDefault="00000000">
      <w:pPr>
        <w:pStyle w:val="Heading1"/>
        <w:pBdr>
          <w:bottom w:val="single" w:sz="6" w:space="4" w:color="1F4E8B"/>
        </w:pBdr>
      </w:pPr>
      <w:r>
        <w:lastRenderedPageBreak/>
        <w:t>9. Target Novel Conclusions</w:t>
      </w:r>
    </w:p>
    <w:p w14:paraId="69599865" w14:textId="6AF20543" w:rsidR="004816C7" w:rsidRDefault="00000000">
      <w:pPr>
        <w:spacing w:after="120" w:line="276" w:lineRule="auto"/>
      </w:pPr>
      <w:r>
        <w:rPr>
          <w:color w:val="222222"/>
        </w:rPr>
        <w:t>The following are potential high-impact conclusions the project should aim to produce..</w:t>
      </w:r>
      <w:r w:rsidR="00583A07">
        <w:rPr>
          <w:color w:val="222222"/>
        </w:rPr>
        <w:t xml:space="preserve"> [EXAMPLES]</w:t>
      </w:r>
    </w:p>
    <w:p w14:paraId="2D384697" w14:textId="77777777" w:rsidR="004816C7" w:rsidRDefault="004816C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16C7" w14:paraId="7AC4A9BB" w14:textId="77777777">
        <w:tblPrEx>
          <w:tblCellMar>
            <w:top w:w="0" w:type="dxa"/>
            <w:bottom w:w="0" w:type="dxa"/>
          </w:tblCellMar>
        </w:tblPrEx>
        <w:tc>
          <w:tcPr>
            <w:tcW w:w="9360" w:type="dxa"/>
            <w:tcBorders>
              <w:top w:val="single" w:sz="12" w:space="0" w:color="1F4E8B"/>
              <w:left w:val="single" w:sz="12" w:space="0" w:color="1F4E8B"/>
              <w:bottom w:val="single" w:sz="1" w:space="0" w:color="CCCCCC"/>
              <w:right w:val="single" w:sz="1" w:space="0" w:color="CCCCCC"/>
            </w:tcBorders>
            <w:shd w:val="clear" w:color="auto" w:fill="D6E4F7"/>
            <w:tcMar>
              <w:top w:w="120" w:type="dxa"/>
              <w:left w:w="200" w:type="dxa"/>
              <w:bottom w:w="120" w:type="dxa"/>
              <w:right w:w="200" w:type="dxa"/>
            </w:tcMar>
          </w:tcPr>
          <w:p w14:paraId="62F8D7E9" w14:textId="77777777" w:rsidR="004816C7" w:rsidRDefault="00000000">
            <w:pPr>
              <w:spacing w:before="80" w:after="100"/>
            </w:pPr>
            <w:r>
              <w:rPr>
                <w:b/>
                <w:bCs/>
                <w:color w:val="1F4E8B"/>
              </w:rPr>
              <w:t>Supply Dominance Finding</w:t>
            </w:r>
          </w:p>
          <w:p w14:paraId="7F7FE34D" w14:textId="77777777" w:rsidR="004816C7" w:rsidRDefault="00000000">
            <w:pPr>
              <w:spacing w:after="60"/>
            </w:pPr>
            <w:r>
              <w:rPr>
                <w:color w:val="333333"/>
                <w:sz w:val="20"/>
                <w:szCs w:val="20"/>
              </w:rPr>
              <w:t>"COE prices are more sensitive to quota supply than to household income or consumer spending,</w:t>
            </w:r>
          </w:p>
          <w:p w14:paraId="6840031F" w14:textId="77777777" w:rsidR="004816C7" w:rsidRDefault="00000000">
            <w:pPr>
              <w:spacing w:after="60"/>
            </w:pPr>
            <w:r>
              <w:rPr>
                <w:color w:val="333333"/>
                <w:sz w:val="20"/>
                <w:szCs w:val="20"/>
              </w:rPr>
              <w:t xml:space="preserve"> suggesting the LTA's quota mechanism is the primary price-setting variable."</w:t>
            </w:r>
          </w:p>
        </w:tc>
      </w:tr>
    </w:tbl>
    <w:p w14:paraId="65B0533B" w14:textId="77777777" w:rsidR="004816C7" w:rsidRDefault="004816C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16C7" w14:paraId="1BEA7C91" w14:textId="77777777">
        <w:tblPrEx>
          <w:tblCellMar>
            <w:top w:w="0" w:type="dxa"/>
            <w:bottom w:w="0" w:type="dxa"/>
          </w:tblCellMar>
        </w:tblPrEx>
        <w:tc>
          <w:tcPr>
            <w:tcW w:w="9360" w:type="dxa"/>
            <w:tcBorders>
              <w:top w:val="single" w:sz="12" w:space="0" w:color="1F4E8B"/>
              <w:left w:val="single" w:sz="12" w:space="0" w:color="1F4E8B"/>
              <w:bottom w:val="single" w:sz="1" w:space="0" w:color="CCCCCC"/>
              <w:right w:val="single" w:sz="1" w:space="0" w:color="CCCCCC"/>
            </w:tcBorders>
            <w:shd w:val="clear" w:color="auto" w:fill="D6E4F7"/>
            <w:tcMar>
              <w:top w:w="120" w:type="dxa"/>
              <w:left w:w="200" w:type="dxa"/>
              <w:bottom w:w="120" w:type="dxa"/>
              <w:right w:w="200" w:type="dxa"/>
            </w:tcMar>
          </w:tcPr>
          <w:p w14:paraId="3875F8A4" w14:textId="77777777" w:rsidR="004816C7" w:rsidRDefault="00000000">
            <w:pPr>
              <w:spacing w:before="80" w:after="100"/>
            </w:pPr>
            <w:r>
              <w:rPr>
                <w:b/>
                <w:bCs/>
                <w:color w:val="1F4E8B"/>
              </w:rPr>
              <w:t>Lagged Income Effect</w:t>
            </w:r>
          </w:p>
          <w:p w14:paraId="20D08F3C" w14:textId="77777777" w:rsidR="004816C7" w:rsidRDefault="00000000">
            <w:pPr>
              <w:spacing w:after="60"/>
            </w:pPr>
            <w:r>
              <w:rPr>
                <w:color w:val="333333"/>
                <w:sz w:val="20"/>
                <w:szCs w:val="20"/>
              </w:rPr>
              <w:t>"Household income has a statistically significant lagged effect (t−3 to t−6 months) on COE prices,</w:t>
            </w:r>
          </w:p>
          <w:p w14:paraId="7C13BA99" w14:textId="77777777" w:rsidR="004816C7" w:rsidRDefault="00000000">
            <w:pPr>
              <w:spacing w:after="60"/>
            </w:pPr>
            <w:r>
              <w:rPr>
                <w:color w:val="333333"/>
                <w:sz w:val="20"/>
                <w:szCs w:val="20"/>
              </w:rPr>
              <w:t xml:space="preserve"> consistent with a consumer adjustment period following income changes."</w:t>
            </w:r>
          </w:p>
        </w:tc>
      </w:tr>
    </w:tbl>
    <w:p w14:paraId="0DB97941" w14:textId="77777777" w:rsidR="004816C7" w:rsidRDefault="004816C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16C7" w14:paraId="25BCA11D" w14:textId="77777777">
        <w:tblPrEx>
          <w:tblCellMar>
            <w:top w:w="0" w:type="dxa"/>
            <w:bottom w:w="0" w:type="dxa"/>
          </w:tblCellMar>
        </w:tblPrEx>
        <w:tc>
          <w:tcPr>
            <w:tcW w:w="9360" w:type="dxa"/>
            <w:tcBorders>
              <w:top w:val="single" w:sz="12" w:space="0" w:color="1F4E8B"/>
              <w:left w:val="single" w:sz="12" w:space="0" w:color="1F4E8B"/>
              <w:bottom w:val="single" w:sz="1" w:space="0" w:color="CCCCCC"/>
              <w:right w:val="single" w:sz="1" w:space="0" w:color="CCCCCC"/>
            </w:tcBorders>
            <w:shd w:val="clear" w:color="auto" w:fill="D6E4F7"/>
            <w:tcMar>
              <w:top w:w="120" w:type="dxa"/>
              <w:left w:w="200" w:type="dxa"/>
              <w:bottom w:w="120" w:type="dxa"/>
              <w:right w:w="200" w:type="dxa"/>
            </w:tcMar>
          </w:tcPr>
          <w:p w14:paraId="1F6D7D65" w14:textId="77777777" w:rsidR="004816C7" w:rsidRDefault="00000000">
            <w:pPr>
              <w:spacing w:before="80" w:after="100"/>
            </w:pPr>
            <w:r>
              <w:rPr>
                <w:b/>
                <w:bCs/>
                <w:color w:val="1F4E8B"/>
              </w:rPr>
              <w:t>Debunking the Election Myth</w:t>
            </w:r>
          </w:p>
          <w:p w14:paraId="467049CF" w14:textId="77777777" w:rsidR="004816C7" w:rsidRDefault="00000000">
            <w:pPr>
              <w:spacing w:after="60"/>
            </w:pPr>
            <w:r>
              <w:rPr>
                <w:color w:val="333333"/>
                <w:sz w:val="20"/>
                <w:szCs w:val="20"/>
              </w:rPr>
              <w:t>"Election periods show no statistically significant reduction in COE prices (p &gt; 0.05),</w:t>
            </w:r>
          </w:p>
          <w:p w14:paraId="5CCC53ED" w14:textId="77777777" w:rsidR="004816C7" w:rsidRDefault="00000000">
            <w:pPr>
              <w:spacing w:after="60"/>
            </w:pPr>
            <w:r>
              <w:rPr>
                <w:color w:val="333333"/>
                <w:sz w:val="20"/>
                <w:szCs w:val="20"/>
              </w:rPr>
              <w:t xml:space="preserve"> suggesting the popular belief is not supported by historical data."</w:t>
            </w:r>
          </w:p>
        </w:tc>
      </w:tr>
    </w:tbl>
    <w:p w14:paraId="507D8C3B" w14:textId="77777777" w:rsidR="004816C7" w:rsidRDefault="004816C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16C7" w14:paraId="5FD58C03" w14:textId="77777777">
        <w:tblPrEx>
          <w:tblCellMar>
            <w:top w:w="0" w:type="dxa"/>
            <w:bottom w:w="0" w:type="dxa"/>
          </w:tblCellMar>
        </w:tblPrEx>
        <w:tc>
          <w:tcPr>
            <w:tcW w:w="9360" w:type="dxa"/>
            <w:tcBorders>
              <w:top w:val="single" w:sz="12" w:space="0" w:color="1F4E8B"/>
              <w:left w:val="single" w:sz="12" w:space="0" w:color="1F4E8B"/>
              <w:bottom w:val="single" w:sz="1" w:space="0" w:color="CCCCCC"/>
              <w:right w:val="single" w:sz="1" w:space="0" w:color="CCCCCC"/>
            </w:tcBorders>
            <w:shd w:val="clear" w:color="auto" w:fill="D6E4F7"/>
            <w:tcMar>
              <w:top w:w="120" w:type="dxa"/>
              <w:left w:w="200" w:type="dxa"/>
              <w:bottom w:w="120" w:type="dxa"/>
              <w:right w:w="200" w:type="dxa"/>
            </w:tcMar>
          </w:tcPr>
          <w:p w14:paraId="7B79A433" w14:textId="77777777" w:rsidR="004816C7" w:rsidRDefault="00000000">
            <w:pPr>
              <w:spacing w:before="80" w:after="100"/>
            </w:pPr>
            <w:r>
              <w:rPr>
                <w:b/>
                <w:bCs/>
                <w:color w:val="1F4E8B"/>
              </w:rPr>
              <w:t>PQP as a Leading Indicator</w:t>
            </w:r>
          </w:p>
          <w:p w14:paraId="049D2088" w14:textId="77777777" w:rsidR="004816C7" w:rsidRDefault="00000000">
            <w:pPr>
              <w:spacing w:after="60"/>
            </w:pPr>
            <w:r>
              <w:rPr>
                <w:color w:val="333333"/>
                <w:sz w:val="20"/>
                <w:szCs w:val="20"/>
              </w:rPr>
              <w:t>"When the PQP exceeds the current market COE price, demand in the subsequent bidding</w:t>
            </w:r>
          </w:p>
          <w:p w14:paraId="1AF5B961" w14:textId="77777777" w:rsidR="004816C7" w:rsidRDefault="00000000">
            <w:pPr>
              <w:spacing w:after="60"/>
            </w:pPr>
            <w:r>
              <w:rPr>
                <w:color w:val="333333"/>
                <w:sz w:val="20"/>
                <w:szCs w:val="20"/>
              </w:rPr>
              <w:t xml:space="preserve"> cycle increases significantly, consistent with the substitution effect hypothesis."</w:t>
            </w:r>
          </w:p>
        </w:tc>
      </w:tr>
    </w:tbl>
    <w:p w14:paraId="1E693DC3" w14:textId="77777777" w:rsidR="004816C7" w:rsidRDefault="004816C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16C7" w14:paraId="5B105B95" w14:textId="77777777">
        <w:tblPrEx>
          <w:tblCellMar>
            <w:top w:w="0" w:type="dxa"/>
            <w:bottom w:w="0" w:type="dxa"/>
          </w:tblCellMar>
        </w:tblPrEx>
        <w:tc>
          <w:tcPr>
            <w:tcW w:w="9360" w:type="dxa"/>
            <w:tcBorders>
              <w:top w:val="single" w:sz="12" w:space="0" w:color="1F4E8B"/>
              <w:left w:val="single" w:sz="12" w:space="0" w:color="1F4E8B"/>
              <w:bottom w:val="single" w:sz="1" w:space="0" w:color="CCCCCC"/>
              <w:right w:val="single" w:sz="1" w:space="0" w:color="CCCCCC"/>
            </w:tcBorders>
            <w:shd w:val="clear" w:color="auto" w:fill="D6E4F7"/>
            <w:tcMar>
              <w:top w:w="120" w:type="dxa"/>
              <w:left w:w="200" w:type="dxa"/>
              <w:bottom w:w="120" w:type="dxa"/>
              <w:right w:w="200" w:type="dxa"/>
            </w:tcMar>
          </w:tcPr>
          <w:p w14:paraId="4673202E" w14:textId="77777777" w:rsidR="004816C7" w:rsidRDefault="00000000">
            <w:pPr>
              <w:spacing w:before="80" w:after="100"/>
            </w:pPr>
            <w:r>
              <w:rPr>
                <w:b/>
                <w:bCs/>
                <w:color w:val="1F4E8B"/>
              </w:rPr>
              <w:t>Optimal Purchase Window</w:t>
            </w:r>
          </w:p>
          <w:p w14:paraId="49A66358" w14:textId="77777777" w:rsidR="004816C7" w:rsidRDefault="00000000">
            <w:pPr>
              <w:spacing w:after="60"/>
            </w:pPr>
            <w:r>
              <w:rPr>
                <w:color w:val="333333"/>
                <w:sz w:val="20"/>
                <w:szCs w:val="20"/>
              </w:rPr>
              <w:t>"Seasonal decomposition reveals a consistent price trough in Q1 (January–March),</w:t>
            </w:r>
          </w:p>
          <w:p w14:paraId="0F3E109F" w14:textId="77777777" w:rsidR="004816C7" w:rsidRDefault="00000000">
            <w:pPr>
              <w:spacing w:after="60"/>
            </w:pPr>
            <w:r>
              <w:rPr>
                <w:color w:val="333333"/>
                <w:sz w:val="20"/>
                <w:szCs w:val="20"/>
              </w:rPr>
              <w:t xml:space="preserve"> suggesting early-year bidding is statistically associated with lower COE prices."</w:t>
            </w:r>
          </w:p>
        </w:tc>
      </w:tr>
    </w:tbl>
    <w:p w14:paraId="1D964955" w14:textId="77777777" w:rsidR="004816C7" w:rsidRDefault="004816C7">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16C7" w14:paraId="5B2EAD0D" w14:textId="77777777">
        <w:tblPrEx>
          <w:tblCellMar>
            <w:top w:w="0" w:type="dxa"/>
            <w:bottom w:w="0" w:type="dxa"/>
          </w:tblCellMar>
        </w:tblPrEx>
        <w:tc>
          <w:tcPr>
            <w:tcW w:w="9360" w:type="dxa"/>
            <w:tcBorders>
              <w:top w:val="single" w:sz="12" w:space="0" w:color="1F4E8B"/>
              <w:left w:val="single" w:sz="12" w:space="0" w:color="1F4E8B"/>
              <w:bottom w:val="single" w:sz="1" w:space="0" w:color="CCCCCC"/>
              <w:right w:val="single" w:sz="1" w:space="0" w:color="CCCCCC"/>
            </w:tcBorders>
            <w:shd w:val="clear" w:color="auto" w:fill="D6E4F7"/>
            <w:tcMar>
              <w:top w:w="120" w:type="dxa"/>
              <w:left w:w="200" w:type="dxa"/>
              <w:bottom w:w="120" w:type="dxa"/>
              <w:right w:w="200" w:type="dxa"/>
            </w:tcMar>
          </w:tcPr>
          <w:p w14:paraId="2988126E" w14:textId="77777777" w:rsidR="004816C7" w:rsidRDefault="00000000">
            <w:pPr>
              <w:spacing w:before="80" w:after="100"/>
            </w:pPr>
            <w:r>
              <w:rPr>
                <w:b/>
                <w:bCs/>
                <w:color w:val="1F4E8B"/>
              </w:rPr>
              <w:t>Auction Dynamics</w:t>
            </w:r>
          </w:p>
          <w:p w14:paraId="6437C38D" w14:textId="77777777" w:rsidR="004816C7" w:rsidRDefault="00000000">
            <w:pPr>
              <w:spacing w:after="60"/>
            </w:pPr>
            <w:r>
              <w:rPr>
                <w:color w:val="333333"/>
                <w:sz w:val="20"/>
                <w:szCs w:val="20"/>
              </w:rPr>
              <w:t>"COE prices behave more like auction-cleared asset prices than equilibrium market prices,</w:t>
            </w:r>
          </w:p>
          <w:p w14:paraId="4A55DDE6" w14:textId="77777777" w:rsidR="004816C7" w:rsidRDefault="00000000">
            <w:pPr>
              <w:spacing w:after="60"/>
            </w:pPr>
            <w:r>
              <w:rPr>
                <w:color w:val="333333"/>
                <w:sz w:val="20"/>
                <w:szCs w:val="20"/>
              </w:rPr>
              <w:t xml:space="preserve"> with quota supply shocks explaining more variance than all demand-side variables combined."</w:t>
            </w:r>
          </w:p>
        </w:tc>
      </w:tr>
    </w:tbl>
    <w:p w14:paraId="28B1A62A" w14:textId="77777777" w:rsidR="004816C7" w:rsidRDefault="00000000">
      <w:r>
        <w:br w:type="page"/>
      </w:r>
    </w:p>
    <w:p w14:paraId="424055F3" w14:textId="77777777" w:rsidR="004816C7" w:rsidRDefault="00000000">
      <w:pPr>
        <w:pStyle w:val="Heading1"/>
        <w:pBdr>
          <w:bottom w:val="single" w:sz="6" w:space="4" w:color="1F4E8B"/>
        </w:pBdr>
      </w:pPr>
      <w:r>
        <w:lastRenderedPageBreak/>
        <w:t>10. Limitations &amp; Considerations</w:t>
      </w:r>
    </w:p>
    <w:p w14:paraId="392E2A10" w14:textId="77777777" w:rsidR="004816C7" w:rsidRDefault="00000000">
      <w:pPr>
        <w:pStyle w:val="Heading2"/>
      </w:pPr>
      <w:r>
        <w:t>10.1 Data Limitations</w:t>
      </w:r>
    </w:p>
    <w:p w14:paraId="3B107909" w14:textId="77777777" w:rsidR="004816C7" w:rsidRDefault="00000000">
      <w:pPr>
        <w:pStyle w:val="ListParagraph"/>
        <w:numPr>
          <w:ilvl w:val="0"/>
          <w:numId w:val="2"/>
        </w:numPr>
        <w:spacing w:after="80"/>
      </w:pPr>
      <w:r>
        <w:rPr>
          <w:color w:val="222222"/>
        </w:rPr>
        <w:t>Household income and expenditure data are available only every 5 years — interpolation introduces noise.</w:t>
      </w:r>
    </w:p>
    <w:p w14:paraId="02002437" w14:textId="77777777" w:rsidR="004816C7" w:rsidRDefault="00000000">
      <w:pPr>
        <w:pStyle w:val="ListParagraph"/>
        <w:numPr>
          <w:ilvl w:val="0"/>
          <w:numId w:val="2"/>
        </w:numPr>
        <w:spacing w:after="80"/>
      </w:pPr>
      <w:r>
        <w:rPr>
          <w:color w:val="222222"/>
        </w:rPr>
        <w:t>Vehicle population and deregistration data may not perfectly proxy actual demand.</w:t>
      </w:r>
    </w:p>
    <w:p w14:paraId="5A7A1291" w14:textId="77777777" w:rsidR="004816C7" w:rsidRDefault="00000000">
      <w:pPr>
        <w:pStyle w:val="ListParagraph"/>
        <w:numPr>
          <w:ilvl w:val="0"/>
          <w:numId w:val="2"/>
        </w:numPr>
        <w:spacing w:after="80"/>
      </w:pPr>
      <w:r>
        <w:rPr>
          <w:color w:val="222222"/>
        </w:rPr>
        <w:t>External shocks (COVID-19 in 2020, 2008 crisis) may distort regression estimates — consider dummy variables or sample exclusion.</w:t>
      </w:r>
    </w:p>
    <w:p w14:paraId="1827348C" w14:textId="77777777" w:rsidR="004816C7" w:rsidRDefault="004816C7">
      <w:pPr>
        <w:spacing w:before="80"/>
      </w:pPr>
    </w:p>
    <w:p w14:paraId="3317B09B" w14:textId="77777777" w:rsidR="004816C7" w:rsidRDefault="00000000">
      <w:pPr>
        <w:pStyle w:val="Heading2"/>
      </w:pPr>
      <w:r>
        <w:t>10.2 Statistical Limitations</w:t>
      </w:r>
    </w:p>
    <w:p w14:paraId="2EDF0AAB" w14:textId="77777777" w:rsidR="004816C7" w:rsidRDefault="00000000">
      <w:pPr>
        <w:pStyle w:val="ListParagraph"/>
        <w:numPr>
          <w:ilvl w:val="0"/>
          <w:numId w:val="2"/>
        </w:numPr>
        <w:spacing w:after="80"/>
      </w:pPr>
      <w:r>
        <w:rPr>
          <w:color w:val="222222"/>
        </w:rPr>
        <w:t>Correlation does not imply causation — Granger causality is preferred for causal claims.</w:t>
      </w:r>
    </w:p>
    <w:p w14:paraId="3DA90C3A" w14:textId="77777777" w:rsidR="004816C7" w:rsidRDefault="00000000">
      <w:pPr>
        <w:pStyle w:val="ListParagraph"/>
        <w:numPr>
          <w:ilvl w:val="0"/>
          <w:numId w:val="2"/>
        </w:numPr>
        <w:spacing w:after="80"/>
      </w:pPr>
      <w:r>
        <w:rPr>
          <w:color w:val="222222"/>
        </w:rPr>
        <w:t>COE data is non-stationary; failing to difference the series before regression leads to spurious correlations.</w:t>
      </w:r>
    </w:p>
    <w:p w14:paraId="1946D933" w14:textId="77777777" w:rsidR="004816C7" w:rsidRDefault="00000000">
      <w:pPr>
        <w:pStyle w:val="ListParagraph"/>
        <w:numPr>
          <w:ilvl w:val="0"/>
          <w:numId w:val="2"/>
        </w:numPr>
        <w:spacing w:after="80"/>
      </w:pPr>
      <w:r>
        <w:rPr>
          <w:color w:val="222222"/>
        </w:rPr>
        <w:t>Multicollinearity between income, retail sales, and PQP may inflate standard errors — use VIF checks and possibly ridge regression.</w:t>
      </w:r>
    </w:p>
    <w:p w14:paraId="4E0741FC" w14:textId="77777777" w:rsidR="004816C7" w:rsidRDefault="00000000">
      <w:pPr>
        <w:pStyle w:val="ListParagraph"/>
        <w:numPr>
          <w:ilvl w:val="0"/>
          <w:numId w:val="2"/>
        </w:numPr>
        <w:spacing w:after="80"/>
      </w:pPr>
      <w:r>
        <w:rPr>
          <w:color w:val="222222"/>
        </w:rPr>
        <w:t>Small sample size for election year analysis (only 4 elections) limits statistical power.</w:t>
      </w:r>
    </w:p>
    <w:p w14:paraId="077B2CD4" w14:textId="77777777" w:rsidR="004816C7" w:rsidRDefault="004816C7">
      <w:pPr>
        <w:spacing w:before="80"/>
      </w:pPr>
    </w:p>
    <w:p w14:paraId="1B73710C" w14:textId="77777777" w:rsidR="004816C7" w:rsidRDefault="00000000">
      <w:pPr>
        <w:pStyle w:val="Heading2"/>
      </w:pPr>
      <w:r>
        <w:t>10.3 Scope Limitations</w:t>
      </w:r>
    </w:p>
    <w:p w14:paraId="36C49D65" w14:textId="77777777" w:rsidR="004816C7" w:rsidRDefault="00000000">
      <w:pPr>
        <w:pStyle w:val="ListParagraph"/>
        <w:numPr>
          <w:ilvl w:val="0"/>
          <w:numId w:val="2"/>
        </w:numPr>
        <w:spacing w:after="80"/>
      </w:pPr>
      <w:r>
        <w:rPr>
          <w:color w:val="222222"/>
        </w:rPr>
        <w:t>This project focuses on Category A and B COE prices; Cat E (open) may behave differently and warrants separate analysis.</w:t>
      </w:r>
    </w:p>
    <w:p w14:paraId="2FD702D6" w14:textId="77777777" w:rsidR="004816C7" w:rsidRDefault="00000000">
      <w:pPr>
        <w:pStyle w:val="ListParagraph"/>
        <w:numPr>
          <w:ilvl w:val="0"/>
          <w:numId w:val="2"/>
        </w:numPr>
        <w:spacing w:after="80"/>
      </w:pPr>
      <w:r>
        <w:rPr>
          <w:color w:val="222222"/>
        </w:rPr>
        <w:t>The cost-of-living pathway (RQ6) involves policy variables that are harder to quantify objectively.</w:t>
      </w:r>
    </w:p>
    <w:p w14:paraId="669488BB" w14:textId="77777777" w:rsidR="004816C7" w:rsidRDefault="00000000">
      <w:pPr>
        <w:pStyle w:val="ListParagraph"/>
        <w:numPr>
          <w:ilvl w:val="0"/>
          <w:numId w:val="2"/>
        </w:numPr>
        <w:spacing w:after="80"/>
      </w:pPr>
      <w:r>
        <w:rPr>
          <w:color w:val="222222"/>
        </w:rPr>
        <w:t>The simulation model simplifies real bidding behaviour and should be presented as illustrative rather than definitive.</w:t>
      </w:r>
    </w:p>
    <w:p w14:paraId="6B4E6897" w14:textId="77777777" w:rsidR="004816C7" w:rsidRDefault="004816C7">
      <w:pPr>
        <w:spacing w:before="80"/>
      </w:pPr>
    </w:p>
    <w:p w14:paraId="3A0F4FF5" w14:textId="77777777" w:rsidR="004816C7" w:rsidRDefault="00000000">
      <w:pPr>
        <w:pStyle w:val="Heading2"/>
      </w:pPr>
      <w:r>
        <w:t>10.4 Ethical Considerations</w:t>
      </w:r>
    </w:p>
    <w:p w14:paraId="787B4171" w14:textId="77777777" w:rsidR="004816C7" w:rsidRDefault="00000000">
      <w:pPr>
        <w:pStyle w:val="ListParagraph"/>
        <w:numPr>
          <w:ilvl w:val="0"/>
          <w:numId w:val="2"/>
        </w:numPr>
        <w:spacing w:after="80"/>
      </w:pPr>
      <w:r>
        <w:rPr>
          <w:color w:val="222222"/>
        </w:rPr>
        <w:t>All data used is publicly available and anonymised.</w:t>
      </w:r>
    </w:p>
    <w:p w14:paraId="2B8A8B48" w14:textId="77777777" w:rsidR="004816C7" w:rsidRDefault="00000000">
      <w:pPr>
        <w:pStyle w:val="ListParagraph"/>
        <w:numPr>
          <w:ilvl w:val="0"/>
          <w:numId w:val="2"/>
        </w:numPr>
        <w:spacing w:after="80"/>
      </w:pPr>
      <w:r>
        <w:rPr>
          <w:color w:val="222222"/>
        </w:rPr>
        <w:t>Conclusions should be presented probabilistically — the project makes statistical inferences, not absolute policy prescriptions.</w:t>
      </w:r>
    </w:p>
    <w:p w14:paraId="7D0E0CF7" w14:textId="77777777" w:rsidR="004816C7" w:rsidRDefault="004816C7">
      <w:pPr>
        <w:spacing w:before="120"/>
      </w:pPr>
    </w:p>
    <w:p w14:paraId="1F144855" w14:textId="77777777" w:rsidR="004816C7" w:rsidRDefault="00000000">
      <w:pPr>
        <w:pBdr>
          <w:top w:val="single" w:sz="4" w:space="6" w:color="A8C6E8"/>
        </w:pBdr>
        <w:spacing w:before="60" w:after="60"/>
        <w:jc w:val="center"/>
      </w:pPr>
      <w:r>
        <w:rPr>
          <w:i/>
          <w:iCs/>
          <w:color w:val="888888"/>
          <w:sz w:val="20"/>
          <w:szCs w:val="20"/>
        </w:rPr>
        <w:t>— End of Research Document —</w:t>
      </w:r>
    </w:p>
    <w:sectPr w:rsidR="004816C7">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685766" w14:textId="77777777" w:rsidR="00E97163" w:rsidRDefault="00E97163">
      <w:r>
        <w:separator/>
      </w:r>
    </w:p>
  </w:endnote>
  <w:endnote w:type="continuationSeparator" w:id="0">
    <w:p w14:paraId="03AF6D7E" w14:textId="77777777" w:rsidR="00E97163" w:rsidRDefault="00E971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C7FC02" w14:textId="77777777" w:rsidR="004816C7" w:rsidRDefault="00000000">
    <w:pPr>
      <w:jc w:val="center"/>
    </w:pPr>
    <w:r>
      <w:rPr>
        <w:color w:val="888888"/>
        <w:sz w:val="18"/>
        <w:szCs w:val="18"/>
      </w:rPr>
      <w:t xml:space="preserve">COE Prices in Singapore — Statistics Research Project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583A07">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0950DE" w14:textId="77777777" w:rsidR="00E97163" w:rsidRDefault="00E97163">
      <w:r>
        <w:separator/>
      </w:r>
    </w:p>
  </w:footnote>
  <w:footnote w:type="continuationSeparator" w:id="0">
    <w:p w14:paraId="1B553BD8" w14:textId="77777777" w:rsidR="00E97163" w:rsidRDefault="00E971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88113B"/>
    <w:multiLevelType w:val="hybridMultilevel"/>
    <w:tmpl w:val="96027098"/>
    <w:lvl w:ilvl="0" w:tplc="F31C0BA2">
      <w:start w:val="1"/>
      <w:numFmt w:val="bullet"/>
      <w:lvlText w:val="●"/>
      <w:lvlJc w:val="left"/>
      <w:pPr>
        <w:ind w:left="720" w:hanging="360"/>
      </w:pPr>
    </w:lvl>
    <w:lvl w:ilvl="1" w:tplc="832A50B0">
      <w:start w:val="1"/>
      <w:numFmt w:val="bullet"/>
      <w:lvlText w:val="○"/>
      <w:lvlJc w:val="left"/>
      <w:pPr>
        <w:ind w:left="1440" w:hanging="360"/>
      </w:pPr>
    </w:lvl>
    <w:lvl w:ilvl="2" w:tplc="DFBA6672">
      <w:start w:val="1"/>
      <w:numFmt w:val="bullet"/>
      <w:lvlText w:val="■"/>
      <w:lvlJc w:val="left"/>
      <w:pPr>
        <w:ind w:left="2160" w:hanging="360"/>
      </w:pPr>
    </w:lvl>
    <w:lvl w:ilvl="3" w:tplc="C2245674">
      <w:start w:val="1"/>
      <w:numFmt w:val="bullet"/>
      <w:lvlText w:val="●"/>
      <w:lvlJc w:val="left"/>
      <w:pPr>
        <w:ind w:left="2880" w:hanging="360"/>
      </w:pPr>
    </w:lvl>
    <w:lvl w:ilvl="4" w:tplc="0570F502">
      <w:start w:val="1"/>
      <w:numFmt w:val="bullet"/>
      <w:lvlText w:val="○"/>
      <w:lvlJc w:val="left"/>
      <w:pPr>
        <w:ind w:left="3600" w:hanging="360"/>
      </w:pPr>
    </w:lvl>
    <w:lvl w:ilvl="5" w:tplc="0CFC69A6">
      <w:start w:val="1"/>
      <w:numFmt w:val="bullet"/>
      <w:lvlText w:val="■"/>
      <w:lvlJc w:val="left"/>
      <w:pPr>
        <w:ind w:left="4320" w:hanging="360"/>
      </w:pPr>
    </w:lvl>
    <w:lvl w:ilvl="6" w:tplc="95DA3E26">
      <w:start w:val="1"/>
      <w:numFmt w:val="bullet"/>
      <w:lvlText w:val="●"/>
      <w:lvlJc w:val="left"/>
      <w:pPr>
        <w:ind w:left="5040" w:hanging="360"/>
      </w:pPr>
    </w:lvl>
    <w:lvl w:ilvl="7" w:tplc="AACA8200">
      <w:start w:val="1"/>
      <w:numFmt w:val="bullet"/>
      <w:lvlText w:val="●"/>
      <w:lvlJc w:val="left"/>
      <w:pPr>
        <w:ind w:left="5760" w:hanging="360"/>
      </w:pPr>
    </w:lvl>
    <w:lvl w:ilvl="8" w:tplc="979CBE1C">
      <w:start w:val="1"/>
      <w:numFmt w:val="bullet"/>
      <w:lvlText w:val="●"/>
      <w:lvlJc w:val="left"/>
      <w:pPr>
        <w:ind w:left="6480" w:hanging="360"/>
      </w:pPr>
    </w:lvl>
  </w:abstractNum>
  <w:abstractNum w:abstractNumId="1" w15:restartNumberingAfterBreak="0">
    <w:nsid w:val="16A8679F"/>
    <w:multiLevelType w:val="hybridMultilevel"/>
    <w:tmpl w:val="102A9EDC"/>
    <w:lvl w:ilvl="0" w:tplc="03A2D56E">
      <w:start w:val="1"/>
      <w:numFmt w:val="bullet"/>
      <w:lvlText w:val="•"/>
      <w:lvlJc w:val="left"/>
      <w:pPr>
        <w:ind w:left="720" w:hanging="360"/>
      </w:pPr>
    </w:lvl>
    <w:lvl w:ilvl="1" w:tplc="7862D54A">
      <w:numFmt w:val="decimal"/>
      <w:lvlText w:val=""/>
      <w:lvlJc w:val="left"/>
    </w:lvl>
    <w:lvl w:ilvl="2" w:tplc="3800E45E">
      <w:numFmt w:val="decimal"/>
      <w:lvlText w:val=""/>
      <w:lvlJc w:val="left"/>
    </w:lvl>
    <w:lvl w:ilvl="3" w:tplc="9C108BFC">
      <w:numFmt w:val="decimal"/>
      <w:lvlText w:val=""/>
      <w:lvlJc w:val="left"/>
    </w:lvl>
    <w:lvl w:ilvl="4" w:tplc="A9302694">
      <w:numFmt w:val="decimal"/>
      <w:lvlText w:val=""/>
      <w:lvlJc w:val="left"/>
    </w:lvl>
    <w:lvl w:ilvl="5" w:tplc="73563070">
      <w:numFmt w:val="decimal"/>
      <w:lvlText w:val=""/>
      <w:lvlJc w:val="left"/>
    </w:lvl>
    <w:lvl w:ilvl="6" w:tplc="9C74B210">
      <w:numFmt w:val="decimal"/>
      <w:lvlText w:val=""/>
      <w:lvlJc w:val="left"/>
    </w:lvl>
    <w:lvl w:ilvl="7" w:tplc="985C7FCA">
      <w:numFmt w:val="decimal"/>
      <w:lvlText w:val=""/>
      <w:lvlJc w:val="left"/>
    </w:lvl>
    <w:lvl w:ilvl="8" w:tplc="D2EC3BEE">
      <w:numFmt w:val="decimal"/>
      <w:lvlText w:val=""/>
      <w:lvlJc w:val="left"/>
    </w:lvl>
  </w:abstractNum>
  <w:abstractNum w:abstractNumId="2" w15:restartNumberingAfterBreak="0">
    <w:nsid w:val="61623EBF"/>
    <w:multiLevelType w:val="hybridMultilevel"/>
    <w:tmpl w:val="D9263E7C"/>
    <w:lvl w:ilvl="0" w:tplc="8EA84F24">
      <w:start w:val="1"/>
      <w:numFmt w:val="decimal"/>
      <w:lvlText w:val="%1."/>
      <w:lvlJc w:val="left"/>
      <w:pPr>
        <w:ind w:left="720" w:hanging="360"/>
      </w:pPr>
    </w:lvl>
    <w:lvl w:ilvl="1" w:tplc="81565E42">
      <w:numFmt w:val="decimal"/>
      <w:lvlText w:val=""/>
      <w:lvlJc w:val="left"/>
    </w:lvl>
    <w:lvl w:ilvl="2" w:tplc="8990BF0E">
      <w:numFmt w:val="decimal"/>
      <w:lvlText w:val=""/>
      <w:lvlJc w:val="left"/>
    </w:lvl>
    <w:lvl w:ilvl="3" w:tplc="04FA47BE">
      <w:numFmt w:val="decimal"/>
      <w:lvlText w:val=""/>
      <w:lvlJc w:val="left"/>
    </w:lvl>
    <w:lvl w:ilvl="4" w:tplc="964A21F2">
      <w:numFmt w:val="decimal"/>
      <w:lvlText w:val=""/>
      <w:lvlJc w:val="left"/>
    </w:lvl>
    <w:lvl w:ilvl="5" w:tplc="8CC029F0">
      <w:numFmt w:val="decimal"/>
      <w:lvlText w:val=""/>
      <w:lvlJc w:val="left"/>
    </w:lvl>
    <w:lvl w:ilvl="6" w:tplc="45DC98C6">
      <w:numFmt w:val="decimal"/>
      <w:lvlText w:val=""/>
      <w:lvlJc w:val="left"/>
    </w:lvl>
    <w:lvl w:ilvl="7" w:tplc="4DB8F8DC">
      <w:numFmt w:val="decimal"/>
      <w:lvlText w:val=""/>
      <w:lvlJc w:val="left"/>
    </w:lvl>
    <w:lvl w:ilvl="8" w:tplc="AB161968">
      <w:numFmt w:val="decimal"/>
      <w:lvlText w:val=""/>
      <w:lvlJc w:val="left"/>
    </w:lvl>
  </w:abstractNum>
  <w:num w:numId="1" w16cid:durableId="525565404">
    <w:abstractNumId w:val="0"/>
    <w:lvlOverride w:ilvl="0">
      <w:startOverride w:val="1"/>
    </w:lvlOverride>
  </w:num>
  <w:num w:numId="2" w16cid:durableId="2145076373">
    <w:abstractNumId w:val="1"/>
    <w:lvlOverride w:ilvl="0">
      <w:startOverride w:val="1"/>
    </w:lvlOverride>
  </w:num>
  <w:num w:numId="3" w16cid:durableId="152687074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6C7"/>
    <w:rsid w:val="004816C7"/>
    <w:rsid w:val="00583A07"/>
    <w:rsid w:val="008443D8"/>
    <w:rsid w:val="00E9716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428A8FB6"/>
  <w15:docId w15:val="{ACC3DAF7-A966-8F49-BDAA-F02F63A43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8B"/>
      <w:sz w:val="32"/>
      <w:szCs w:val="32"/>
    </w:rPr>
  </w:style>
  <w:style w:type="paragraph" w:styleId="Heading2">
    <w:name w:val="heading 2"/>
    <w:uiPriority w:val="9"/>
    <w:unhideWhenUsed/>
    <w:qFormat/>
    <w:pPr>
      <w:spacing w:before="280" w:after="120"/>
      <w:outlineLvl w:val="1"/>
    </w:pPr>
    <w:rPr>
      <w:b/>
      <w:bCs/>
      <w:color w:val="2E5FA3"/>
      <w:sz w:val="26"/>
      <w:szCs w:val="26"/>
    </w:rPr>
  </w:style>
  <w:style w:type="paragraph" w:styleId="Heading3">
    <w:name w:val="heading 3"/>
    <w:uiPriority w:val="9"/>
    <w:unhideWhenUsed/>
    <w:qFormat/>
    <w:pPr>
      <w:spacing w:before="200" w:after="8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16</Pages>
  <Words>2665</Words>
  <Characters>15196</Characters>
  <Application>Microsoft Office Word</Application>
  <DocSecurity>0</DocSecurity>
  <Lines>126</Lines>
  <Paragraphs>35</Paragraphs>
  <ScaleCrop>false</ScaleCrop>
  <Company/>
  <LinksUpToDate>false</LinksUpToDate>
  <CharactersWithSpaces>17826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BONDUGULA ANEESH</cp:lastModifiedBy>
  <cp:revision>2</cp:revision>
  <dcterms:created xsi:type="dcterms:W3CDTF">2026-03-23T12:30:00Z</dcterms:created>
  <dcterms:modified xsi:type="dcterms:W3CDTF">2026-03-23T13:56:00Z</dcterms:modified>
</cp:coreProperties>
</file>