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RQ3 Short Report: Is COE Price More Sensitive to Supply or Demand?</w:t>
      </w:r>
    </w:p>
    <w:p>
      <w:r>
        <w:t>Research question: Is COE price more sensitive to supply (quota) or demand (income/spending)?</w:t>
      </w:r>
    </w:p>
    <w:p>
      <w:pPr>
        <w:pStyle w:val="Heading2"/>
      </w:pPr>
      <w:r>
        <w:t>Data and Method</w:t>
      </w:r>
    </w:p>
    <w:p>
      <w:r>
        <w:t>Dataset: COEBiddingResultsPrices (Category A, B, E; 2010-2026, bi-weekly cycles), merged with annual household income from HouseholdIncome.csv. Method: nested OLS regressions on log(COE premium), with vehicle-class fixed effects. Comparisons: demand-only model, supply-only model, and combined model. Statistical proof: partial F-tests and unique explained-variance decomposition.</w:t>
      </w:r>
    </w:p>
    <w:p>
      <w:pPr>
        <w:pStyle w:val="Heading2"/>
      </w:pPr>
      <w:r>
        <w:t>Main Findings (Income as Demand Proxy)</w:t>
      </w:r>
    </w:p>
    <w:p>
      <w:r>
        <w:t>Sample size: 1049 observations.</w:t>
        <w:br/>
        <w:t>R² demand-only: 0.1955</w:t>
        <w:br/>
        <w:t>R² supply-only: 0.4790</w:t>
        <w:br/>
        <w:t>R² combined: 0.6272</w:t>
        <w:br/>
        <w:t>Unique supply contribution: 0.4317</w:t>
        <w:br/>
        <w:t>Unique demand contribution: 0.1482</w:t>
        <w:br/>
        <w:t>Supply share of unique explained variation: 74.45%</w:t>
      </w:r>
    </w:p>
    <w:p>
      <w:r>
        <w:t>Partial F-test (supply adds beyond income): F = 1208.804, p = 1.470e-176.</w:t>
        <w:br/>
        <w:t>Partial F-test (income adds beyond supply): F = 414.949, p = 6.270e-78.</w:t>
      </w:r>
    </w:p>
    <w:p>
      <w:pPr>
        <w:pStyle w:val="Heading2"/>
      </w:pPr>
      <w:r>
        <w:t>Robustness Check (Bids as Demand Proxy)</w:t>
      </w:r>
    </w:p>
    <w:p>
      <w:r>
        <w:t>Supply share of unique explained variation: 87.46%.</w:t>
        <w:br/>
        <w:t>Partial F-test (supply adds beyond bids): p = 1.379e-11.</w:t>
        <w:br/>
        <w:t>Partial F-test (bids add beyond supply): p = 9.773e-03.</w:t>
      </w:r>
    </w:p>
    <w:p>
      <w:pPr>
        <w:pStyle w:val="Heading2"/>
      </w:pPr>
      <w:r>
        <w:t>Conclusion</w:t>
      </w:r>
    </w:p>
    <w:p>
      <w:r>
        <w:t>The statistical tests support the project claim that COE pricing is not driven by demand alone. Supply policy (quota) explains the larger share of variation in COE premiums. Using income as demand proxy, supply accounts for 74.45% of the unique explained variation (above the 60% threshold). This supports the RQ3 hypothesis that supply-side policy is the dominant driver.</w:t>
      </w:r>
    </w:p>
    <w:p>
      <w:pPr>
        <w:pStyle w:val="Heading2"/>
      </w:pPr>
      <w:r>
        <w:t>Limitations</w:t>
      </w:r>
    </w:p>
    <w:p>
      <w:r>
        <w:t>Income is annual while COE prices are bi-weekly, so frequency mismatch may understate demand dynamics. Future work can add CPI/retail spending controls and lag structures.</w:t>
      </w:r>
    </w:p>
    <w:p/>
    <w:p>
      <w:pPr>
        <w:pStyle w:val="Heading1"/>
      </w:pPr>
      <w:r>
        <w:t>Stage 2 Update</w:t>
      </w:r>
    </w:p>
    <w:p>
      <w:pPr>
        <w:pStyle w:val="Heading2"/>
      </w:pPr>
      <w:r>
        <w:t>Data integration</w:t>
      </w:r>
    </w:p>
    <w:p>
      <w:pPr>
        <w:pStyle w:val="ListBullet"/>
      </w:pPr>
      <w:r>
        <w:t>Integrated monthly COE bidding data with CPI (private transport), Retail Sales Index (motor vehicles), and vehicle class panel fields in a unified Stage 2 dataset.</w:t>
      </w:r>
    </w:p>
    <w:p>
      <w:pPr>
        <w:pStyle w:val="ListBullet"/>
      </w:pPr>
      <w:r>
        <w:t>Final panel size: 1051 observations (level model); differenced sample: 1048.</w:t>
      </w:r>
    </w:p>
    <w:p>
      <w:pPr>
        <w:pStyle w:val="Heading2"/>
      </w:pPr>
      <w:r>
        <w:t>Methods</w:t>
      </w:r>
    </w:p>
    <w:p>
      <w:pPr>
        <w:pStyle w:val="ListBullet"/>
      </w:pPr>
      <w:r>
        <w:t>Estimated an extended log-log OLS model with HC3 robust standard errors, then assessed stationarity via ADF and multicollinearity via VIF.</w:t>
      </w:r>
    </w:p>
    <w:p>
      <w:pPr>
        <w:pStyle w:val="ListBullet"/>
      </w:pPr>
      <w:r>
        <w:t>Estimated a reduced robustness model focusing on demand and macro controls: log_quota, log_bids, and log_cpi_private_transport (with class controls).</w:t>
      </w:r>
    </w:p>
    <w:p>
      <w:pPr>
        <w:pStyle w:val="Heading2"/>
      </w:pPr>
      <w:r>
        <w:t>Key results</w:t>
      </w:r>
    </w:p>
    <w:p>
      <w:pPr>
        <w:pStyle w:val="ListBullet"/>
      </w:pPr>
      <w:r>
        <w:t>Extended level model fit: R²=0.7429; differenced model R²=0.1333</w:t>
      </w:r>
    </w:p>
    <w:p>
      <w:pPr>
        <w:pStyle w:val="ListBullet"/>
      </w:pPr>
      <w:r>
        <w:t>Reduced model log_quota: coef=-0.1939, p-value=0.000001.</w:t>
      </w:r>
    </w:p>
    <w:p>
      <w:pPr>
        <w:pStyle w:val="ListBullet"/>
      </w:pPr>
      <w:r>
        <w:t>Reduced model log_bids: coef=-0.0541, p-value=0.210536.</w:t>
      </w:r>
    </w:p>
    <w:p>
      <w:pPr>
        <w:pStyle w:val="ListBullet"/>
      </w:pPr>
      <w:r>
        <w:t>Reduced model log_cpi_private_transport: coef=1.6499, p-value=0.000000.</w:t>
      </w:r>
    </w:p>
    <w:p>
      <w:pPr>
        <w:pStyle w:val="ListBullet"/>
      </w:pPr>
      <w:r>
        <w:t>ADF stationarity check: log_quota p=0.2637 (weaker stationarity), log_bids p=0.3818 (weaker stationarity), log_cpi_private_transport p=0.0062 (stationary).</w:t>
      </w:r>
    </w:p>
    <w:p>
      <w:pPr>
        <w:pStyle w:val="Heading2"/>
      </w:pPr>
      <w:r>
        <w:t>Limitations</w:t>
      </w:r>
    </w:p>
    <w:p>
      <w:pPr>
        <w:pStyle w:val="ListBullet"/>
      </w:pPr>
      <w:r>
        <w:t>Strong multicollinearity remains in the full model: top VIFs include log_bids=1731.16 and log_quota=1637.90, which weakens coefficient interpretability in the full specification.</w:t>
      </w:r>
    </w:p>
    <w:p>
      <w:pPr>
        <w:pStyle w:val="ListBullet"/>
      </w:pPr>
      <w:r>
        <w:t>Multicollinearity is reduced but still elevated in the reduced model (highest VIF: log_bids=1653.12), so effect-size interpretation should remain cautious.</w:t>
      </w:r>
    </w:p>
    <w:p>
      <w:pPr>
        <w:pStyle w:val="Heading2"/>
      </w:pPr>
      <w:r>
        <w:t>Next steps</w:t>
      </w:r>
    </w:p>
    <w:p>
      <w:pPr>
        <w:pStyle w:val="ListBullet"/>
      </w:pPr>
      <w:r>
        <w:t>Prioritize differenced/specification-robust estimates for inference and compare with level-model signs for directional consistency.</w:t>
      </w:r>
    </w:p>
    <w:p>
      <w:pPr>
        <w:pStyle w:val="ListBullet"/>
      </w:pPr>
      <w:r>
        <w:t>Test alternative demand proxies or regularized estimators to further mitigate collinearity and improve coefficient stability.</w:t>
      </w:r>
    </w:p>
    <w:p>
      <w:pPr>
        <w:pStyle w:val="ListBullet"/>
      </w:pPr>
      <w:r>
        <w:t>Add sensitivity checks with lag structures and class-specific interactions for policy interpretation.</w:t>
      </w:r>
    </w:p>
    <w:p/>
    <w:p>
      <w:pPr>
        <w:pStyle w:val="Heading1"/>
      </w:pPr>
      <w:r>
        <w:t>RQ4 Update: Election-Year Effect</w:t>
      </w:r>
    </w:p>
    <w:p>
      <w:pPr>
        <w:pStyle w:val="Heading2"/>
      </w:pPr>
      <w:r>
        <w:t>Why method changed</w:t>
      </w:r>
    </w:p>
    <w:p>
      <w:r>
        <w:t>Comparing year-level means can mask within-year time-series movement, so the primary test shifted to a change-based specification that better isolates election-period dynamics.</w:t>
      </w:r>
    </w:p>
    <w:p>
      <w:pPr>
        <w:pStyle w:val="Heading2"/>
      </w:pPr>
      <w:r>
        <w:t>Primary test (change-based)</w:t>
      </w:r>
    </w:p>
    <w:p>
      <w:r>
        <w:t>Controlled change model (n_obs=45): election_coef=0.165694, election_p_value=0.005027, implied_pct_effect=18.0211%, welch_p_value=0.308554.</w:t>
      </w:r>
    </w:p>
    <w:p>
      <w:pPr>
        <w:pStyle w:val="Heading2"/>
      </w:pPr>
      <w:r>
        <w:t>Secondary check (level-based)</w:t>
      </w:r>
    </w:p>
    <w:p>
      <w:r>
        <w:t>Welch p=0.673617; simple election coef=-0.020090 (p=0.452988), controlled election coef=-0.001596 (p=0.947391), trend election coef=0.029096 (p=0.216579).</w:t>
      </w:r>
    </w:p>
    <w:p>
      <w:pPr>
        <w:pStyle w:val="Heading2"/>
      </w:pPr>
      <w:r>
        <w:t>Interpretation</w:t>
      </w:r>
    </w:p>
    <w:p>
      <w:r>
        <w:t>Primary change-based evidence is preferred and does not support an election-year drop in COE premiums (election coefficient 0.165694, p=0.005027).</w:t>
      </w:r>
    </w:p>
    <w:p/>
    <w:p>
      <w:pPr>
        <w:pStyle w:val="Heading1"/>
      </w:pPr>
      <w:r>
        <w:t>RQ4 Mechanism Check (Article-Style Window)</w:t>
      </w:r>
    </w:p>
    <w:p>
      <w:r>
        <w:t>This check follows article-style monthly event windows from -12 to +3 months around elections, focusing on Cat A/B dynamics.</w:t>
      </w:r>
    </w:p>
    <w:p>
      <w:pPr>
        <w:pStyle w:val="ListBullet"/>
      </w:pPr>
      <w:r>
        <w:t>Quota trend near election: coef=0.021692, p=0.016385.</w:t>
      </w:r>
    </w:p>
    <w:p>
      <w:pPr>
        <w:pStyle w:val="ListBullet"/>
      </w:pPr>
      <w:r>
        <w:t>Price response to quota change: coef=-0.154919, p=0.190014.</w:t>
      </w:r>
    </w:p>
    <w:p>
      <w:pPr>
        <w:pStyle w:val="ListBullet"/>
      </w:pPr>
      <w:r>
        <w:t>Net election-proximity effect on price change: coef=-0.005956, p=0.018378.</w:t>
      </w:r>
    </w:p>
    <w:p>
      <w:r>
        <w:t>These results provide partial support for election-period softening, but there is no strong evidence that the quota-change channel alone explains it.</w:t>
      </w:r>
    </w:p>
    <w:p>
      <w:r>
        <w:t>Recommendation: Next step is a bid-level event study around exact election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