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24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Установив и настроив всё необходимое ПО, выполнение лабораторной работы начнём с обновления пакетов. Открыли терминал с помощью сочетания клавиш</w:t>
      </w:r>
      <w:r>
        <w:t xml:space="preserve"> </w:t>
      </w:r>
      <w:r>
        <w:rPr>
          <w:rStyle w:val="VerbatimChar"/>
        </w:rPr>
        <w:t xml:space="preserve">Win+Enter</w:t>
      </w:r>
      <w:r>
        <w:t xml:space="preserve">. Перейдём в режим суперпользователя командой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2768682"/>
            <wp:effectExtent b="0" l="0" r="0" t="0"/>
            <wp:docPr descr="Переход на суперпользователя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на суперпользователя</w:t>
      </w:r>
    </w:p>
    <w:p>
      <w:pPr>
        <w:pStyle w:val="BodyText"/>
      </w:pPr>
      <w:r>
        <w:t xml:space="preserve">Установим необходимое программное обеспечение для автоматического обновления (рис. 2).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Автоматическое обновление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Автоматическое обновление</w:t>
      </w:r>
    </w:p>
    <w:p>
      <w:pPr>
        <w:pStyle w:val="BodyText"/>
      </w:pPr>
      <w:r>
        <w:t xml:space="preserve">Запустим таймер (рис. 3).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Запуск таймера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таймера</w:t>
      </w:r>
    </w:p>
    <w:p>
      <w:pPr>
        <w:pStyle w:val="BodyText"/>
      </w:pPr>
      <w:r>
        <w:t xml:space="preserve">Далее нам нужно отключить SELinux. Для этого зайдём в файл</w:t>
      </w:r>
      <w:r>
        <w:t xml:space="preserve"> </w:t>
      </w:r>
      <w:r>
        <w:rPr>
          <w:rStyle w:val="VerbatimChar"/>
        </w:rPr>
        <w:t xml:space="preserve">/etc/selinux/config</w:t>
      </w:r>
      <w:r>
        <w:t xml:space="preserve"> </w:t>
      </w:r>
      <w:r>
        <w:t xml:space="preserve">через</w:t>
      </w:r>
      <w:r>
        <w:t xml:space="preserve"> </w:t>
      </w:r>
      <w:r>
        <w:rPr>
          <w:iCs/>
          <w:i/>
        </w:rPr>
        <w:t xml:space="preserve">Midnight Commander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Midnight Commander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Midnight Commander</w:t>
      </w:r>
    </w:p>
    <w:p>
      <w:pPr>
        <w:pStyle w:val="BodyText"/>
      </w:pPr>
      <w:r>
        <w:t xml:space="preserve">Изменим значение</w:t>
      </w:r>
      <w:r>
        <w:t xml:space="preserve"> </w:t>
      </w:r>
      <w:r>
        <w:rPr>
          <w:rStyle w:val="VerbatimChar"/>
        </w:rPr>
        <w:t xml:space="preserve">SELINUX=enforcing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SELINUX=permissive</w:t>
      </w:r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/etc/selinux/config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/etc/selinux/config</w:t>
      </w:r>
    </w:p>
    <w:p>
      <w:pPr>
        <w:pStyle w:val="BodyText"/>
      </w:pPr>
      <w:r>
        <w:t xml:space="preserve">После этого перезагрузим виртуальную машину.</w:t>
      </w:r>
      <w:r>
        <w:t xml:space="preserve"> </w:t>
      </w:r>
      <w:r>
        <w:t xml:space="preserve">Далее установим драйвера. Запустили терминальный мультиплексор с помощью команды</w:t>
      </w:r>
      <w:r>
        <w:t xml:space="preserve"> </w:t>
      </w:r>
      <w:r>
        <w:rPr>
          <w:rStyle w:val="VerbatimChar"/>
        </w:rPr>
        <w:t xml:space="preserve">tmux</w:t>
      </w:r>
      <w:r>
        <w:t xml:space="preserve"> </w:t>
      </w:r>
      <w:r>
        <w:t xml:space="preserve">и переключились на роль супер-пользователя. Установили средства разработки. Установим пакет DKMS (рис. 6).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Установка DKMS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DKMS</w:t>
      </w:r>
    </w:p>
    <w:p>
      <w:pPr>
        <w:pStyle w:val="BodyText"/>
      </w:pPr>
      <w:r>
        <w:t xml:space="preserve">Подключив образ диска дополнений гостевой ОС, подмонтируем диск с помощью команды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(рис. 7).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Диск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Диск</w:t>
      </w:r>
    </w:p>
    <w:p>
      <w:pPr>
        <w:pStyle w:val="BodyText"/>
      </w:pPr>
      <w:r>
        <w:t xml:space="preserve">Установим драйвера и перезагрузим машину с помощью команды</w:t>
      </w:r>
      <w:r>
        <w:t xml:space="preserve"> </w:t>
      </w:r>
      <w:r>
        <w:rPr>
          <w:rStyle w:val="VerbatimChar"/>
        </w:rPr>
        <w:t xml:space="preserve">reboot</w:t>
      </w:r>
      <w:r>
        <w:t xml:space="preserve">.</w:t>
      </w:r>
      <w:r>
        <w:t xml:space="preserve"> </w:t>
      </w:r>
      <w:r>
        <w:t xml:space="preserve">Теперь настроим раскладку клавиатуры и отредактируем конфигурационный файл</w:t>
      </w:r>
      <w:r>
        <w:t xml:space="preserve"> </w:t>
      </w:r>
      <w:r>
        <w:rPr>
          <w:rStyle w:val="VerbatimChar"/>
        </w:rPr>
        <w:t xml:space="preserve">/etc/X11/xorg.conf.d/00-keyboard.conf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3733800" cy="2578100"/>
            <wp:effectExtent b="0" l="0" r="0" t="0"/>
            <wp:docPr descr="Переход к файлу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Переход к файлу</w:t>
      </w:r>
    </w:p>
    <w:p>
      <w:pPr>
        <w:pStyle w:val="BodyText"/>
      </w:pPr>
      <w:r>
        <w:t xml:space="preserve">Изменим его содержимое следующим образом: (рис. 9).</w:t>
      </w:r>
    </w:p>
    <w:p>
      <w:pPr>
        <w:pStyle w:val="CaptionedFigure"/>
      </w:pPr>
      <w:r>
        <w:drawing>
          <wp:inline>
            <wp:extent cx="3733800" cy="2578100"/>
            <wp:effectExtent b="0" l="0" r="0" t="0"/>
            <wp:docPr descr="Редактирование файла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И снова перезагрузим машину. После перезагрузки видим, что у нас появилась возможность изменять язык.</w:t>
      </w:r>
    </w:p>
    <w:p>
      <w:pPr>
        <w:pStyle w:val="BodyText"/>
      </w:pPr>
      <w:r>
        <w:t xml:space="preserve">Теперь установим имя пользователя (рис. 10).</w:t>
      </w:r>
    </w:p>
    <w:p>
      <w:pPr>
        <w:pStyle w:val="CaptionedFigure"/>
      </w:pPr>
      <w:r>
        <w:drawing>
          <wp:inline>
            <wp:extent cx="3733800" cy="1701478"/>
            <wp:effectExtent b="0" l="0" r="0" t="0"/>
            <wp:docPr descr="Установка имени пользователя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 имени пользователя</w:t>
      </w:r>
    </w:p>
    <w:p>
      <w:pPr>
        <w:pStyle w:val="BodyText"/>
      </w:pPr>
      <w:r>
        <w:t xml:space="preserve">Как мы видим, такой пользователь уже появился при установке машины.Установим имя хоста (рис. 11).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стройка имени хоста" title="" id="52" name="Picture"/>
            <a:graphic>
              <a:graphicData uri="http://schemas.openxmlformats.org/drawingml/2006/picture">
                <pic:pic>
                  <pic:nvPicPr>
                    <pic:cNvPr descr="image/14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имени хоста</w:t>
      </w:r>
    </w:p>
    <w:p>
      <w:pPr>
        <w:pStyle w:val="BodyText"/>
      </w:pPr>
      <w:r>
        <w:t xml:space="preserve">После проверки убедились, что имя хоста -</w:t>
      </w:r>
      <w:r>
        <w:t xml:space="preserve"> </w:t>
      </w:r>
      <w:r>
        <w:rPr>
          <w:iCs/>
          <w:i/>
        </w:rPr>
        <w:t xml:space="preserve">apmaslova</w:t>
      </w:r>
      <w:r>
        <w:t xml:space="preserve">.</w:t>
      </w:r>
    </w:p>
    <w:p>
      <w:pPr>
        <w:pStyle w:val="BodyText"/>
      </w:pPr>
      <w:r>
        <w:t xml:space="preserve">Далее подключим общую папку. Добавим пользователя</w:t>
      </w:r>
      <w:r>
        <w:t xml:space="preserve"> </w:t>
      </w:r>
      <w:r>
        <w:rPr>
          <w:iCs/>
          <w:i/>
        </w:rPr>
        <w:t xml:space="preserve">apmaslova</w:t>
      </w:r>
      <w:r>
        <w:t xml:space="preserve"> </w:t>
      </w:r>
      <w:r>
        <w:t xml:space="preserve">в группу</w:t>
      </w:r>
      <w:r>
        <w:t xml:space="preserve"> </w:t>
      </w:r>
      <w:r>
        <w:rPr>
          <w:rStyle w:val="VerbatimChar"/>
        </w:rPr>
        <w:t xml:space="preserve">vboxf</w:t>
      </w:r>
      <w:r>
        <w:t xml:space="preserve">(рис. 12).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Добавление в vboxf" title="" id="55" name="Picture"/>
            <a:graphic>
              <a:graphicData uri="http://schemas.openxmlformats.org/drawingml/2006/picture">
                <pic:pic>
                  <pic:nvPicPr>
                    <pic:cNvPr descr="image/15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Добавление в vboxf</w:t>
      </w:r>
    </w:p>
    <w:p>
      <w:pPr>
        <w:pStyle w:val="BodyText"/>
      </w:pPr>
      <w:r>
        <w:t xml:space="preserve">В хостовой системе подключим разделяемую папку (рис. 13).</w:t>
      </w:r>
    </w:p>
    <w:p>
      <w:pPr>
        <w:pStyle w:val="CaptionedFigure"/>
      </w:pPr>
      <w:r>
        <w:drawing>
          <wp:inline>
            <wp:extent cx="3733800" cy="1063003"/>
            <wp:effectExtent b="0" l="0" r="0" t="0"/>
            <wp:docPr descr="Подключение разделяемой папки" title="" id="58" name="Picture"/>
            <a:graphic>
              <a:graphicData uri="http://schemas.openxmlformats.org/drawingml/2006/picture">
                <pic:pic>
                  <pic:nvPicPr>
                    <pic:cNvPr descr="image/16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3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Подключение разделяемой папки</w:t>
      </w:r>
    </w:p>
    <w:p>
      <w:pPr>
        <w:pStyle w:val="BodyText"/>
      </w:pPr>
      <w:r>
        <w:t xml:space="preserve">После перезагрузки машины установим ПО для создания документации. Для работы с языком разметки</w:t>
      </w:r>
      <w:r>
        <w:t xml:space="preserve"> </w:t>
      </w:r>
      <w:r>
        <w:rPr>
          <w:iCs/>
          <w:i/>
        </w:rPr>
        <w:t xml:space="preserve">Markdown</w:t>
      </w:r>
      <w:r>
        <w:t xml:space="preserve"> </w:t>
      </w:r>
      <w:r>
        <w:t xml:space="preserve">нам понадобится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. Установим его: (рис. 14).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Установка pandoc" title="" id="61" name="Picture"/>
            <a:graphic>
              <a:graphicData uri="http://schemas.openxmlformats.org/drawingml/2006/picture">
                <pic:pic>
                  <pic:nvPicPr>
                    <pic:cNvPr descr="image/17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Установка pandoc</w:t>
      </w:r>
    </w:p>
    <w:p>
      <w:pPr>
        <w:pStyle w:val="BodyText"/>
      </w:pPr>
      <w:r>
        <w:t xml:space="preserve">Помимо этого скачаем пакет</w:t>
      </w:r>
      <w:r>
        <w:t xml:space="preserve"> </w:t>
      </w:r>
      <w:r>
        <w:rPr>
          <w:rStyle w:val="VerbatimChar"/>
        </w:rPr>
        <w:t xml:space="preserve">pandoc-crossref</w:t>
      </w:r>
      <w:r>
        <w:t xml:space="preserve"> </w:t>
      </w:r>
      <w:r>
        <w:t xml:space="preserve">с сайта, данного в ТУИС. Распакуем архив и переместим файлы в</w:t>
      </w:r>
      <w:r>
        <w:t xml:space="preserve"> </w:t>
      </w:r>
      <w:r>
        <w:rPr>
          <w:rStyle w:val="VerbatimChar"/>
        </w:rPr>
        <w:t xml:space="preserve">/usr/local/bin</w:t>
      </w:r>
      <w:r>
        <w:t xml:space="preserve"> </w:t>
      </w:r>
      <w:r>
        <w:t xml:space="preserve">(рис. 15).</w:t>
      </w:r>
    </w:p>
    <w:p>
      <w:pPr>
        <w:pStyle w:val="CaptionedFigure"/>
      </w:pPr>
      <w:r>
        <w:drawing>
          <wp:inline>
            <wp:extent cx="3733800" cy="694253"/>
            <wp:effectExtent b="0" l="0" r="0" t="0"/>
            <wp:docPr descr="pandoc-crossref" title="" id="64" name="Picture"/>
            <a:graphic>
              <a:graphicData uri="http://schemas.openxmlformats.org/drawingml/2006/picture">
                <pic:pic>
                  <pic:nvPicPr>
                    <pic:cNvPr descr="image/18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pandoc-crossref</w:t>
      </w:r>
    </w:p>
    <w:p>
      <w:pPr>
        <w:pStyle w:val="BodyText"/>
      </w:pPr>
      <w:r>
        <w:t xml:space="preserve">Далее установим</w:t>
      </w:r>
      <w:r>
        <w:t xml:space="preserve"> </w:t>
      </w:r>
      <w:r>
        <w:rPr>
          <w:iCs/>
          <w:i/>
        </w:rPr>
        <w:t xml:space="preserve">TeXlive</w:t>
      </w:r>
      <w:r>
        <w:t xml:space="preserve"> </w:t>
      </w:r>
      <w:r>
        <w:t xml:space="preserve">(рис. 16).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Установка TeXlive" title="" id="67" name="Picture"/>
            <a:graphic>
              <a:graphicData uri="http://schemas.openxmlformats.org/drawingml/2006/picture">
                <pic:pic>
                  <pic:nvPicPr>
                    <pic:cNvPr descr="image/19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Установка TeXlive</w:t>
      </w:r>
    </w:p>
    <w:p>
      <w:pPr>
        <w:pStyle w:val="BodyText"/>
      </w:pPr>
      <w:r>
        <w:t xml:space="preserve">Установлено.</w:t>
      </w:r>
    </w:p>
    <w:bookmarkEnd w:id="69"/>
    <w:bookmarkStart w:id="91" w:name="выполнение-домашнего-зада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домашнего задания</w:t>
      </w:r>
    </w:p>
    <w:p>
      <w:pPr>
        <w:pStyle w:val="FirstParagraph"/>
      </w:pPr>
      <w:r>
        <w:t xml:space="preserve">Выполним команду</w:t>
      </w:r>
      <w:r>
        <w:t xml:space="preserve"> </w:t>
      </w:r>
      <w:r>
        <w:rPr>
          <w:rStyle w:val="VerbatimChar"/>
        </w:rPr>
        <w:t xml:space="preserve">dmesg | less</w:t>
      </w:r>
      <w:r>
        <w:t xml:space="preserve"> </w:t>
      </w:r>
      <w:r>
        <w:t xml:space="preserve">(рис. 17).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Команда dmesg" title="" id="71" name="Picture"/>
            <a:graphic>
              <a:graphicData uri="http://schemas.openxmlformats.org/drawingml/2006/picture">
                <pic:pic>
                  <pic:nvPicPr>
                    <pic:cNvPr descr="image/20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Команда dmesg</w:t>
      </w:r>
    </w:p>
    <w:p>
      <w:pPr>
        <w:pStyle w:val="BodyText"/>
      </w:pPr>
      <w:r>
        <w:t xml:space="preserve">Команда вывела нам всю информацию о системе.</w:t>
      </w:r>
      <w:r>
        <w:t xml:space="preserve"> </w:t>
      </w:r>
      <w:r>
        <w:t xml:space="preserve">Теперь с помощью опции</w:t>
      </w:r>
      <w:r>
        <w:t xml:space="preserve"> </w:t>
      </w:r>
      <w:r>
        <w:rPr>
          <w:rStyle w:val="VerbatimChar"/>
        </w:rPr>
        <w:t xml:space="preserve">grep</w:t>
      </w:r>
      <w:r>
        <w:t xml:space="preserve"> </w:t>
      </w:r>
      <w:r>
        <w:t xml:space="preserve">получим конкретную информацию по интересующим моментам.</w:t>
      </w:r>
      <w:r>
        <w:t xml:space="preserve"> </w:t>
      </w:r>
      <w:r>
        <w:t xml:space="preserve">Сначала узнаем версию ядра Linux, написав после</w:t>
      </w:r>
      <w:r>
        <w:t xml:space="preserve"> </w:t>
      </w:r>
      <w:r>
        <w:rPr>
          <w:rStyle w:val="VerbatimChar"/>
        </w:rPr>
        <w:t xml:space="preserve">grep</w:t>
      </w:r>
      <w:r>
        <w:t xml:space="preserve"> </w:t>
      </w:r>
      <w:r>
        <w:rPr>
          <w:iCs/>
          <w:i/>
        </w:rPr>
        <w:t xml:space="preserve">Linux version</w:t>
      </w:r>
      <w:r>
        <w:t xml:space="preserve"> </w:t>
      </w:r>
      <w:r>
        <w:t xml:space="preserve">(рис. 18).</w:t>
      </w:r>
    </w:p>
    <w:p>
      <w:pPr>
        <w:pStyle w:val="CaptionedFigure"/>
      </w:pPr>
      <w:r>
        <w:drawing>
          <wp:inline>
            <wp:extent cx="3733800" cy="2806184"/>
            <wp:effectExtent b="0" l="0" r="0" t="0"/>
            <wp:docPr descr="Версия Linux" title="" id="74" name="Picture"/>
            <a:graphic>
              <a:graphicData uri="http://schemas.openxmlformats.org/drawingml/2006/picture">
                <pic:pic>
                  <pic:nvPicPr>
                    <pic:cNvPr descr="image/21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Версия Linux</w:t>
      </w:r>
    </w:p>
    <w:p>
      <w:pPr>
        <w:pStyle w:val="BodyText"/>
      </w:pPr>
      <w:r>
        <w:t xml:space="preserve">Далее узнаем частоту процессора (рис. 19).</w:t>
      </w:r>
    </w:p>
    <w:p>
      <w:pPr>
        <w:pStyle w:val="CaptionedFigure"/>
      </w:pPr>
      <w:r>
        <w:drawing>
          <wp:inline>
            <wp:extent cx="3733800" cy="320873"/>
            <wp:effectExtent b="0" l="0" r="0" t="0"/>
            <wp:docPr descr="Частота процессора" title="" id="77" name="Picture"/>
            <a:graphic>
              <a:graphicData uri="http://schemas.openxmlformats.org/drawingml/2006/picture">
                <pic:pic>
                  <pic:nvPicPr>
                    <pic:cNvPr descr="image/22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Частота процессора</w:t>
      </w:r>
    </w:p>
    <w:p>
      <w:pPr>
        <w:pStyle w:val="BodyText"/>
      </w:pPr>
      <w:r>
        <w:t xml:space="preserve">Модель процессора: (рис. 20)</w:t>
      </w:r>
    </w:p>
    <w:p>
      <w:pPr>
        <w:pStyle w:val="CaptionedFigure"/>
      </w:pPr>
      <w:r>
        <w:drawing>
          <wp:inline>
            <wp:extent cx="3733800" cy="291703"/>
            <wp:effectExtent b="0" l="0" r="0" t="0"/>
            <wp:docPr descr="Модель процессора" title="" id="80" name="Picture"/>
            <a:graphic>
              <a:graphicData uri="http://schemas.openxmlformats.org/drawingml/2006/picture">
                <pic:pic>
                  <pic:nvPicPr>
                    <pic:cNvPr descr="image/23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Модель процессора</w:t>
      </w:r>
    </w:p>
    <w:p>
      <w:pPr>
        <w:pStyle w:val="BodyText"/>
      </w:pPr>
      <w:r>
        <w:t xml:space="preserve">Объём доступной оперативной памяти: (рис. 21)</w:t>
      </w:r>
    </w:p>
    <w:p>
      <w:pPr>
        <w:pStyle w:val="CaptionedFigure"/>
      </w:pPr>
      <w:r>
        <w:drawing>
          <wp:inline>
            <wp:extent cx="3733800" cy="1073467"/>
            <wp:effectExtent b="0" l="0" r="0" t="0"/>
            <wp:docPr descr="Объём доступной оперативной памяти" title="" id="83" name="Picture"/>
            <a:graphic>
              <a:graphicData uri="http://schemas.openxmlformats.org/drawingml/2006/picture">
                <pic:pic>
                  <pic:nvPicPr>
                    <pic:cNvPr descr="image/24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3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Объём доступной оперативной памяти</w:t>
      </w:r>
    </w:p>
    <w:p>
      <w:pPr>
        <w:pStyle w:val="BodyText"/>
      </w:pPr>
      <w:r>
        <w:t xml:space="preserve">Тип обнаруженного гипервизора: (рис. 22)</w:t>
      </w:r>
    </w:p>
    <w:p>
      <w:pPr>
        <w:pStyle w:val="CaptionedFigure"/>
      </w:pPr>
      <w:r>
        <w:drawing>
          <wp:inline>
            <wp:extent cx="3733800" cy="332541"/>
            <wp:effectExtent b="0" l="0" r="0" t="0"/>
            <wp:docPr descr="Тип обнаруженного гипервизора" title="" id="86" name="Picture"/>
            <a:graphic>
              <a:graphicData uri="http://schemas.openxmlformats.org/drawingml/2006/picture">
                <pic:pic>
                  <pic:nvPicPr>
                    <pic:cNvPr descr="image/25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Тип обнаруженного гипервизора</w:t>
      </w:r>
    </w:p>
    <w:p>
      <w:pPr>
        <w:pStyle w:val="BodyText"/>
      </w:pPr>
      <w:r>
        <w:t xml:space="preserve">Тип файловой системы корневого раздела и последвательность монтироания файловых систем с помощью опции</w:t>
      </w:r>
      <w:r>
        <w:t xml:space="preserve"> </w:t>
      </w:r>
      <w:r>
        <w:rPr>
          <w:rStyle w:val="VerbatimChar"/>
        </w:rPr>
        <w:t xml:space="preserve">filesystem</w:t>
      </w:r>
      <w:r>
        <w:t xml:space="preserve"> </w:t>
      </w:r>
      <w:r>
        <w:t xml:space="preserve">(рис. 23).</w:t>
      </w:r>
    </w:p>
    <w:p>
      <w:pPr>
        <w:pStyle w:val="CaptionedFigure"/>
      </w:pPr>
      <w:r>
        <w:drawing>
          <wp:inline>
            <wp:extent cx="3733800" cy="589240"/>
            <wp:effectExtent b="0" l="0" r="0" t="0"/>
            <wp:docPr descr="Файловая система" title="" id="89" name="Picture"/>
            <a:graphic>
              <a:graphicData uri="http://schemas.openxmlformats.org/drawingml/2006/picture">
                <pic:pic>
                  <pic:nvPicPr>
                    <pic:cNvPr descr="image/26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Файловая система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Приобретели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92"/>
    <w:bookmarkStart w:id="9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Dash, P. Getting Started with Oracle VM VirtualBox / P. Dash. – Packt Publishing Ltd, 2013. – 86 сс.</w:t>
      </w:r>
    </w:p>
    <w:p>
      <w:pPr>
        <w:numPr>
          <w:ilvl w:val="0"/>
          <w:numId w:val="1001"/>
        </w:numPr>
        <w:pStyle w:val="Compact"/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numPr>
          <w:ilvl w:val="0"/>
          <w:numId w:val="1001"/>
        </w:numPr>
        <w:pStyle w:val="Compact"/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numPr>
          <w:ilvl w:val="0"/>
          <w:numId w:val="1001"/>
        </w:numPr>
        <w:pStyle w:val="Compact"/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numPr>
          <w:ilvl w:val="0"/>
          <w:numId w:val="1001"/>
        </w:numPr>
        <w:pStyle w:val="Compact"/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numPr>
          <w:ilvl w:val="0"/>
          <w:numId w:val="1001"/>
        </w:numPr>
        <w:pStyle w:val="Compact"/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numPr>
          <w:ilvl w:val="0"/>
          <w:numId w:val="1001"/>
        </w:numPr>
        <w:pStyle w:val="Compact"/>
      </w:pPr>
      <w:r>
        <w:t xml:space="preserve">Robbins, A. Bash Pocket Reference / A. Robbins. – O’Reilly Media, 2016. – 156 сс.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24" Target="media/rId24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Маслова Анна Павловна</dc:creator>
  <dc:language>ru-RU</dc:language>
  <cp:keywords/>
  <dcterms:created xsi:type="dcterms:W3CDTF">2024-03-02T02:36:35Z</dcterms:created>
  <dcterms:modified xsi:type="dcterms:W3CDTF">2024-03-02T02:36:35Z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