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Маслова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настройкой</w:t>
      </w:r>
      <w:r>
        <w:t xml:space="preserve"> </w:t>
      </w:r>
      <w:r>
        <w:rPr>
          <w:rStyle w:val="VerbatimChar"/>
        </w:rPr>
        <w:t xml:space="preserve">dotfiles</w:t>
      </w:r>
      <w:r>
        <w:t xml:space="preserve"> </w:t>
      </w:r>
      <w:r>
        <w:t xml:space="preserve">и научиться использовать менеджер паролей</w:t>
      </w:r>
      <w:r>
        <w:t xml:space="preserve"> </w:t>
      </w:r>
      <w:r>
        <w:rPr>
          <w:rStyle w:val="VerbatimChar"/>
        </w:rPr>
        <w:t xml:space="preserve">pass</w:t>
      </w:r>
      <w:r>
        <w:t xml:space="preserve">. Ознакомиться с</w:t>
      </w:r>
      <w:r>
        <w:t xml:space="preserve"> </w:t>
      </w:r>
      <w:r>
        <w:rPr>
          <w:rStyle w:val="VerbatimChar"/>
        </w:rPr>
        <w:t xml:space="preserve">chezmoi</w:t>
      </w:r>
      <w:r>
        <w:t xml:space="preserve">. Научиться углубленной работе с</w:t>
      </w:r>
      <w:r>
        <w:t xml:space="preserve"> </w:t>
      </w:r>
      <w:r>
        <w:rPr>
          <w:rStyle w:val="VerbatimChar"/>
        </w:rPr>
        <w:t xml:space="preserve">git</w:t>
      </w:r>
      <w:r>
        <w:t xml:space="preserve">.</w:t>
      </w:r>
    </w:p>
    <w:bookmarkEnd w:id="2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установим менеджер паролей</w:t>
      </w:r>
      <w:r>
        <w:t xml:space="preserve"> </w:t>
      </w:r>
      <w:r>
        <w:rPr>
          <w:rStyle w:val="VerbatimChar"/>
        </w:rPr>
        <w:t xml:space="preserve">pass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gopass</w:t>
      </w:r>
      <w:r>
        <w:t xml:space="preserve"> </w:t>
      </w:r>
      <w:r>
        <w:t xml:space="preserve">(рис. 1, 2).</w:t>
      </w:r>
    </w:p>
    <w:p>
      <w:pPr>
        <w:pStyle w:val="CaptionedFigure"/>
      </w:pPr>
      <w:r>
        <w:drawing>
          <wp:inline>
            <wp:extent cx="3733800" cy="3606284"/>
            <wp:effectExtent b="0" l="0" r="0" t="0"/>
            <wp:docPr descr="Установка pass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6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</w:t>
      </w:r>
    </w:p>
    <w:p>
      <w:pPr>
        <w:pStyle w:val="CaptionedFigure"/>
      </w:pPr>
      <w:r>
        <w:drawing>
          <wp:inline>
            <wp:extent cx="3733800" cy="3211785"/>
            <wp:effectExtent b="0" l="0" r="0" t="0"/>
            <wp:docPr descr="Установка gopass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1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p>
      <w:pPr>
        <w:pStyle w:val="BodyText"/>
      </w:pPr>
      <w:r>
        <w:t xml:space="preserve">Просмотрим список ключей, инициализируем хранилище и синхронизируем с</w:t>
      </w:r>
      <w:r>
        <w:t xml:space="preserve"> </w:t>
      </w:r>
      <w:r>
        <w:rPr>
          <w:rStyle w:val="VerbatimChar"/>
        </w:rPr>
        <w:t xml:space="preserve">git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3733800" cy="1311014"/>
            <wp:effectExtent b="0" l="0" r="0" t="0"/>
            <wp:docPr descr="Инициализация" title="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1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Инициализация</w:t>
      </w:r>
    </w:p>
    <w:p>
      <w:pPr>
        <w:pStyle w:val="BodyText"/>
      </w:pPr>
      <w:r>
        <w:t xml:space="preserve">Зададим адрес репозитория на хостинге (рис. 4).</w:t>
      </w:r>
    </w:p>
    <w:p>
      <w:pPr>
        <w:pStyle w:val="CaptionedFigure"/>
      </w:pPr>
      <w:r>
        <w:drawing>
          <wp:inline>
            <wp:extent cx="3733800" cy="2973038"/>
            <wp:effectExtent b="0" l="0" r="0" t="0"/>
            <wp:docPr descr="Синхронизация репозитория на хостинге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3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Синхронизация репозитория на хостинге</w:t>
      </w:r>
    </w:p>
    <w:p>
      <w:pPr>
        <w:pStyle w:val="BodyText"/>
      </w:pPr>
      <w:r>
        <w:t xml:space="preserve">Закоммитим изменения (рис. 5).</w:t>
      </w:r>
    </w:p>
    <w:p>
      <w:pPr>
        <w:pStyle w:val="CaptionedFigure"/>
      </w:pPr>
      <w:r>
        <w:drawing>
          <wp:inline>
            <wp:extent cx="3733800" cy="975455"/>
            <wp:effectExtent b="0" l="0" r="0" t="0"/>
            <wp:docPr descr="Коммит изменений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5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Коммит изменений</w:t>
      </w:r>
    </w:p>
    <w:p>
      <w:pPr>
        <w:pStyle w:val="BodyText"/>
      </w:pPr>
      <w:r>
        <w:t xml:space="preserve">Проверили статус синхронизации.</w:t>
      </w:r>
      <w:r>
        <w:t xml:space="preserve"> </w:t>
      </w:r>
      <w:r>
        <w:t xml:space="preserve">Настроим интерфейс с браузером (рис. 6, 7).</w:t>
      </w:r>
    </w:p>
    <w:p>
      <w:pPr>
        <w:pStyle w:val="CaptionedFigure"/>
      </w:pPr>
      <w:r>
        <w:drawing>
          <wp:inline>
            <wp:extent cx="3733800" cy="980271"/>
            <wp:effectExtent b="0" l="0" r="0" t="0"/>
            <wp:docPr descr="Настройка интерфейса с браузером" title="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0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интерфейса с браузером</w:t>
      </w:r>
    </w:p>
    <w:p>
      <w:pPr>
        <w:pStyle w:val="CaptionedFigure"/>
      </w:pPr>
      <w:r>
        <w:drawing>
          <wp:inline>
            <wp:extent cx="3733800" cy="3331330"/>
            <wp:effectExtent b="0" l="0" r="0" t="0"/>
            <wp:docPr descr="Настройка интерфейса с браузером" title="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интерфейса с браузером</w:t>
      </w:r>
    </w:p>
    <w:p>
      <w:pPr>
        <w:pStyle w:val="BodyText"/>
      </w:pPr>
      <w:r>
        <w:t xml:space="preserve">Добавим новый пароль, отобразим и изменим его (рис. 8).</w:t>
      </w:r>
    </w:p>
    <w:p>
      <w:pPr>
        <w:pStyle w:val="CaptionedFigure"/>
      </w:pPr>
      <w:r>
        <w:drawing>
          <wp:inline>
            <wp:extent cx="3733800" cy="1004181"/>
            <wp:effectExtent b="0" l="0" r="0" t="0"/>
            <wp:docPr descr="Добавление пароля" title="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пароля</w:t>
      </w:r>
    </w:p>
    <w:p>
      <w:pPr>
        <w:pStyle w:val="BodyText"/>
      </w:pPr>
      <w:r>
        <w:t xml:space="preserve">Далее для управления файлами конфигурации установим дополнительное программное обеспечение (рис. 9).</w:t>
      </w:r>
    </w:p>
    <w:p>
      <w:pPr>
        <w:pStyle w:val="CaptionedFigure"/>
      </w:pPr>
      <w:r>
        <w:drawing>
          <wp:inline>
            <wp:extent cx="3733800" cy="858774"/>
            <wp:effectExtent b="0" l="0" r="0" t="0"/>
            <wp:docPr descr="Установка дополнительного ПО" title="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8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дополнительного ПО</w:t>
      </w:r>
    </w:p>
    <w:p>
      <w:pPr>
        <w:pStyle w:val="BodyText"/>
      </w:pPr>
      <w:r>
        <w:t xml:space="preserve">Установим шрифты (рис. 10, 11).</w:t>
      </w:r>
    </w:p>
    <w:p>
      <w:pPr>
        <w:pStyle w:val="CaptionedFigure"/>
      </w:pPr>
      <w:r>
        <w:drawing>
          <wp:inline>
            <wp:extent cx="3733800" cy="3679235"/>
            <wp:effectExtent b="0" l="0" r="0" t="0"/>
            <wp:docPr descr="Установка шрифтов" title="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9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шрифтов</w:t>
      </w:r>
    </w:p>
    <w:p>
      <w:pPr>
        <w:pStyle w:val="CaptionedFigure"/>
      </w:pPr>
      <w:r>
        <w:drawing>
          <wp:inline>
            <wp:extent cx="3733800" cy="1509077"/>
            <wp:effectExtent b="0" l="0" r="0" t="0"/>
            <wp:docPr descr="Установка шрифтов" title="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9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шрифтов</w:t>
      </w:r>
    </w:p>
    <w:p>
      <w:pPr>
        <w:pStyle w:val="BodyText"/>
      </w:pPr>
      <w:r>
        <w:t xml:space="preserve">Установим бинарный файл (рис. 12).</w:t>
      </w:r>
    </w:p>
    <w:p>
      <w:pPr>
        <w:pStyle w:val="CaptionedFigure"/>
      </w:pPr>
      <w:r>
        <w:drawing>
          <wp:inline>
            <wp:extent cx="3733800" cy="286908"/>
            <wp:effectExtent b="0" l="0" r="0" t="0"/>
            <wp:docPr descr="Установка бинарного файла" title="" id="55" name="Picture"/>
            <a:graphic>
              <a:graphicData uri="http://schemas.openxmlformats.org/drawingml/2006/picture">
                <pic:pic>
                  <pic:nvPicPr>
                    <pic:cNvPr descr="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бинарного файла</w:t>
      </w:r>
    </w:p>
    <w:p>
      <w:pPr>
        <w:pStyle w:val="BodyText"/>
      </w:pPr>
      <w:r>
        <w:t xml:space="preserve">Создадим репозиторий и подключим его к своей системе (рис. 13).</w:t>
      </w:r>
    </w:p>
    <w:p>
      <w:pPr>
        <w:pStyle w:val="CaptionedFigure"/>
      </w:pPr>
      <w:r>
        <w:drawing>
          <wp:inline>
            <wp:extent cx="3733800" cy="525999"/>
            <wp:effectExtent b="0" l="0" r="0" t="0"/>
            <wp:docPr descr="Подключение репозитория" title="" id="58" name="Picture"/>
            <a:graphic>
              <a:graphicData uri="http://schemas.openxmlformats.org/drawingml/2006/picture">
                <pic:pic>
                  <pic:nvPicPr>
                    <pic:cNvPr descr="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Подключение репозитория</w:t>
      </w:r>
    </w:p>
    <w:p>
      <w:pPr>
        <w:pStyle w:val="BodyText"/>
      </w:pPr>
      <w:r>
        <w:t xml:space="preserve">Запустим</w:t>
      </w:r>
      <w:r>
        <w:t xml:space="preserve"> </w:t>
      </w:r>
      <w:r>
        <w:rPr>
          <w:rStyle w:val="VerbatimChar"/>
        </w:rPr>
        <w:t xml:space="preserve">chezmoi diff</w:t>
      </w:r>
      <w:r>
        <w:t xml:space="preserve"> </w:t>
      </w:r>
      <w:r>
        <w:t xml:space="preserve">и проверим, какие изменения внесёт</w:t>
      </w:r>
      <w:r>
        <w:t xml:space="preserve"> </w:t>
      </w:r>
      <w:r>
        <w:rPr>
          <w:rStyle w:val="VerbatimChar"/>
        </w:rPr>
        <w:t xml:space="preserve">chezmooi</w:t>
      </w:r>
      <w:r>
        <w:t xml:space="preserve"> </w:t>
      </w:r>
      <w:r>
        <w:t xml:space="preserve">в домашний каталог (рис. 14).</w:t>
      </w:r>
    </w:p>
    <w:p>
      <w:pPr>
        <w:pStyle w:val="CaptionedFigure"/>
      </w:pPr>
      <w:r>
        <w:drawing>
          <wp:inline>
            <wp:extent cx="3733800" cy="3546720"/>
            <wp:effectExtent b="0" l="0" r="0" t="0"/>
            <wp:docPr descr="Запуск chezmoi diff" title="" id="61" name="Picture"/>
            <a:graphic>
              <a:graphicData uri="http://schemas.openxmlformats.org/drawingml/2006/picture">
                <pic:pic>
                  <pic:nvPicPr>
                    <pic:cNvPr descr="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6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chezmoi diff</w:t>
      </w:r>
    </w:p>
    <w:p>
      <w:pPr>
        <w:pStyle w:val="BodyText"/>
      </w:pPr>
      <w:r>
        <w:t xml:space="preserve">Изменения нас устраивают, поэтому следующей командой будет</w:t>
      </w:r>
      <w:r>
        <w:t xml:space="preserve"> </w:t>
      </w:r>
      <w:r>
        <w:rPr>
          <w:rStyle w:val="VerbatimChar"/>
        </w:rPr>
        <w:t xml:space="preserve">chezmoi apply -v</w:t>
      </w:r>
      <w:r>
        <w:t xml:space="preserve">.</w:t>
      </w:r>
    </w:p>
    <w:p>
      <w:pPr>
        <w:pStyle w:val="BodyText"/>
      </w:pPr>
      <w:r>
        <w:t xml:space="preserve">Для проверки работы</w:t>
      </w:r>
      <w:r>
        <w:t xml:space="preserve"> </w:t>
      </w:r>
      <w:r>
        <w:rPr>
          <w:rStyle w:val="VerbatimChar"/>
        </w:rPr>
        <w:t xml:space="preserve">chezmoi</w:t>
      </w:r>
      <w:r>
        <w:t xml:space="preserve"> </w:t>
      </w:r>
      <w:r>
        <w:t xml:space="preserve">на разных машинах запустим виртуальную машину, созданную при прохождении курса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, и инициализируем на неё</w:t>
      </w:r>
      <w:r>
        <w:t xml:space="preserve"> </w:t>
      </w:r>
      <w:r>
        <w:rPr>
          <w:rStyle w:val="VerbatimChar"/>
        </w:rPr>
        <w:t xml:space="preserve">chezmoi</w:t>
      </w:r>
      <w:r>
        <w:t xml:space="preserve"> </w:t>
      </w:r>
      <w:r>
        <w:t xml:space="preserve">с нашим репозиторием</w:t>
      </w:r>
      <w:r>
        <w:t xml:space="preserve"> </w:t>
      </w:r>
      <w:r>
        <w:rPr>
          <w:rStyle w:val="VerbatimChar"/>
        </w:rPr>
        <w:t xml:space="preserve">dotfiles</w:t>
      </w:r>
      <w:r>
        <w:t xml:space="preserve"> </w:t>
      </w:r>
      <w:r>
        <w:t xml:space="preserve">(рис. 15).</w:t>
      </w:r>
    </w:p>
    <w:p>
      <w:pPr>
        <w:pStyle w:val="CaptionedFigure"/>
      </w:pPr>
      <w:r>
        <w:drawing>
          <wp:inline>
            <wp:extent cx="3733800" cy="2524615"/>
            <wp:effectExtent b="0" l="0" r="0" t="0"/>
            <wp:docPr descr="Другая виртуальная машина" title="" id="64" name="Picture"/>
            <a:graphic>
              <a:graphicData uri="http://schemas.openxmlformats.org/drawingml/2006/picture">
                <pic:pic>
                  <pic:nvPicPr>
                    <pic:cNvPr descr="image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Другая виртуальная машина</w:t>
      </w:r>
    </w:p>
    <w:p>
      <w:pPr>
        <w:pStyle w:val="BodyText"/>
      </w:pPr>
      <w:r>
        <w:t xml:space="preserve">Проверили внесённые изменения, и они нас устраивают.</w:t>
      </w:r>
      <w:r>
        <w:t xml:space="preserve"> </w:t>
      </w:r>
      <w:r>
        <w:t xml:space="preserve">Установим наши</w:t>
      </w:r>
      <w:r>
        <w:t xml:space="preserve"> </w:t>
      </w:r>
      <w:r>
        <w:rPr>
          <w:rStyle w:val="VerbatimChar"/>
        </w:rPr>
        <w:t xml:space="preserve">dotfiles</w:t>
      </w:r>
      <w:r>
        <w:t xml:space="preserve"> </w:t>
      </w:r>
      <w:r>
        <w:t xml:space="preserve">на эту машину (рис. 16).</w:t>
      </w:r>
    </w:p>
    <w:p>
      <w:pPr>
        <w:pStyle w:val="CaptionedFigure"/>
      </w:pPr>
      <w:r>
        <w:drawing>
          <wp:inline>
            <wp:extent cx="3733800" cy="299720"/>
            <wp:effectExtent b="0" l="0" r="0" t="0"/>
            <wp:docPr descr="Установка ditfiles а новую машину" title="" id="67" name="Picture"/>
            <a:graphic>
              <a:graphicData uri="http://schemas.openxmlformats.org/drawingml/2006/picture">
                <pic:pic>
                  <pic:nvPicPr>
                    <pic:cNvPr descr="image/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ditfiles а новую машину</w:t>
      </w:r>
    </w:p>
    <w:p>
      <w:pPr>
        <w:pStyle w:val="BodyText"/>
      </w:pPr>
      <w:r>
        <w:t xml:space="preserve">Извлечём изменения из репозитория (рис. 17).</w:t>
      </w:r>
    </w:p>
    <w:p>
      <w:pPr>
        <w:pStyle w:val="CaptionedFigure"/>
      </w:pPr>
      <w:r>
        <w:drawing>
          <wp:inline>
            <wp:extent cx="3733800" cy="364045"/>
            <wp:effectExtent b="0" l="0" r="0" t="0"/>
            <wp:docPr descr="Извлечение изменений" title="" id="70" name="Picture"/>
            <a:graphic>
              <a:graphicData uri="http://schemas.openxmlformats.org/drawingml/2006/picture">
                <pic:pic>
                  <pic:nvPicPr>
                    <pic:cNvPr descr="image/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Извлечение изменений</w:t>
      </w:r>
    </w:p>
    <w:p>
      <w:pPr>
        <w:pStyle w:val="BodyText"/>
      </w:pPr>
      <w:r>
        <w:t xml:space="preserve">Настроим автоматическую отправку изменений в репозиторий (рис. 18).</w:t>
      </w:r>
    </w:p>
    <w:p>
      <w:pPr>
        <w:pStyle w:val="CaptionedFigure"/>
      </w:pPr>
      <w:r>
        <w:drawing>
          <wp:inline>
            <wp:extent cx="3733800" cy="1833840"/>
            <wp:effectExtent b="0" l="0" r="0" t="0"/>
            <wp:docPr descr="Автоматическая фиксация и отправка изменений" title="" id="73" name="Picture"/>
            <a:graphic>
              <a:graphicData uri="http://schemas.openxmlformats.org/drawingml/2006/picture">
                <pic:pic>
                  <pic:nvPicPr>
                    <pic:cNvPr descr="image/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Автоматическая фиксация и отправка изменений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Ознакомились с настройкой</w:t>
      </w:r>
      <w:r>
        <w:t xml:space="preserve"> </w:t>
      </w:r>
      <w:r>
        <w:rPr>
          <w:rStyle w:val="VerbatimChar"/>
        </w:rPr>
        <w:t xml:space="preserve">dotfiles</w:t>
      </w:r>
      <w:r>
        <w:t xml:space="preserve"> </w:t>
      </w:r>
      <w:r>
        <w:t xml:space="preserve">и научились использовать менеджер паролей</w:t>
      </w:r>
      <w:r>
        <w:t xml:space="preserve"> </w:t>
      </w:r>
      <w:r>
        <w:rPr>
          <w:rStyle w:val="VerbatimChar"/>
        </w:rPr>
        <w:t xml:space="preserve">pass</w:t>
      </w:r>
      <w:r>
        <w:t xml:space="preserve">. Ознакомились с</w:t>
      </w:r>
      <w:r>
        <w:t xml:space="preserve"> </w:t>
      </w:r>
      <w:r>
        <w:rPr>
          <w:rStyle w:val="VerbatimChar"/>
        </w:rPr>
        <w:t xml:space="preserve">chezmoi</w:t>
      </w:r>
      <w:r>
        <w:t xml:space="preserve">. Научились углубленной работе с</w:t>
      </w:r>
      <w:r>
        <w:t xml:space="preserve"> </w:t>
      </w:r>
      <w:r>
        <w:rPr>
          <w:rStyle w:val="VerbatimChar"/>
        </w:rPr>
        <w:t xml:space="preserve">git</w:t>
      </w:r>
      <w:r>
        <w:t xml:space="preserve">.</w:t>
      </w:r>
    </w:p>
    <w:bookmarkEnd w:id="76"/>
    <w:bookmarkStart w:id="7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Dash, P. Getting Started with Oracle VM VirtualBox / P. Dash. – Packt Publishing Ltd, 2013. – 86 сс.</w:t>
      </w:r>
    </w:p>
    <w:p>
      <w:pPr>
        <w:numPr>
          <w:ilvl w:val="0"/>
          <w:numId w:val="1001"/>
        </w:numPr>
        <w:pStyle w:val="Compact"/>
      </w:pPr>
      <w:r>
        <w:t xml:space="preserve">Colvin, H. VirtualBox: An Ultimate Guide Book on Virtualization with VirtualBox. VirtualBox / H. Colvin. – CreateSpace Independent Publishing Platform, 2015. – 70 сс.</w:t>
      </w:r>
    </w:p>
    <w:p>
      <w:pPr>
        <w:numPr>
          <w:ilvl w:val="0"/>
          <w:numId w:val="1001"/>
        </w:numPr>
        <w:pStyle w:val="Compact"/>
      </w:pPr>
      <w:r>
        <w:t xml:space="preserve">Vugt, S. van. Red Hat RHCSA/RHCE 7 cert guide : Red Hat Enterprise Linux 7 (EX200 and EX300) : Certification Guide. Red Hat RHCSA/RHCE 7 cert guide / S. van Vugt. – Pearson IT Certification, 2016. – 1008 сс.</w:t>
      </w:r>
    </w:p>
    <w:p>
      <w:pPr>
        <w:numPr>
          <w:ilvl w:val="0"/>
          <w:numId w:val="1001"/>
        </w:numPr>
        <w:pStyle w:val="Compact"/>
      </w:pPr>
      <w:r>
        <w:t xml:space="preserve">Робачевский, А. Операционная система UNIX / А. Робачевский, С. Немнюгин, О. Стесик. – 2-е изд. – Санкт-Петербург : БХВ-Петербург, 2010. – 656 сс.</w:t>
      </w:r>
    </w:p>
    <w:p>
      <w:pPr>
        <w:numPr>
          <w:ilvl w:val="0"/>
          <w:numId w:val="1001"/>
        </w:numPr>
        <w:pStyle w:val="Compact"/>
      </w:pPr>
      <w:r>
        <w:t xml:space="preserve">Немет, Э. Unix и Linux: руководство системного администратора. Unix и Linux / Э. Немет, Г. Снайдер, Т.Р. Хейн, Б. Уэйли. – 4-е изд. – Вильямс, 2014. – 1312 сс.</w:t>
      </w:r>
    </w:p>
    <w:p>
      <w:pPr>
        <w:numPr>
          <w:ilvl w:val="0"/>
          <w:numId w:val="1001"/>
        </w:numPr>
        <w:pStyle w:val="Compact"/>
      </w:pPr>
      <w:r>
        <w:t xml:space="preserve">Колисниченко, Д.Н. Самоучитель системного администратора Linux : Системный администратор / Д.Н. Колисниченко. – Санкт-Петербург : БХВ-Петербург, 2011. – 544 сс.</w:t>
      </w:r>
    </w:p>
    <w:p>
      <w:pPr>
        <w:numPr>
          <w:ilvl w:val="0"/>
          <w:numId w:val="1001"/>
        </w:numPr>
        <w:pStyle w:val="Compact"/>
      </w:pPr>
      <w:r>
        <w:t xml:space="preserve">Robbins, A. Bash Pocket Reference / A. Robbins. – O’Reilly Media, 2016. – 156 сс.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Очёт по лабораторной работе №5</dc:title>
  <dc:creator>Маслова Анна Павловна</dc:creator>
  <dc:language>ru-RU</dc:language>
  <cp:keywords/>
  <dcterms:created xsi:type="dcterms:W3CDTF">2024-03-10T23:33:22Z</dcterms:created>
  <dcterms:modified xsi:type="dcterms:W3CDTF">2024-03-10T23:33:22Z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