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Осуществили вход в систему, используя наше имя пользователя. Запишем 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Запись в файл file.tx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 file.txt</w:t>
      </w:r>
    </w:p>
    <w:p>
      <w:pPr>
        <w:pStyle w:val="BodyText"/>
      </w:pPr>
      <w:r>
        <w:t xml:space="preserve">Допишем в этот же файл названия файлов, содержащихся в нашем домашнем каталоге (рис. 2).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Дописали названия файлов из домашней директори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Дописали названия файлов из домашней директории</w:t>
      </w:r>
    </w:p>
    <w:p>
      <w:pPr>
        <w:pStyle w:val="BodyText"/>
      </w:pPr>
      <w:r>
        <w:t xml:space="preserve">Выведем имена всех файлов из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Вывод файлов .conf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файлов .conf</w:t>
      </w:r>
    </w:p>
    <w:p>
      <w:pPr>
        <w:pStyle w:val="BodyText"/>
      </w:pPr>
      <w:r>
        <w:t xml:space="preserve">После этого запишем их в новый текстовой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3383133"/>
            <wp:effectExtent b="0" l="0" r="0" t="0"/>
            <wp:docPr descr="Запись файлов .conf в conf.tx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файлов .conf в conf.txt</w:t>
      </w:r>
    </w:p>
    <w:p>
      <w:pPr>
        <w:pStyle w:val="BodyText"/>
      </w:pPr>
      <w:r>
        <w:t xml:space="preserve">Определим, какие файлы в нашем домашнем каталоге имеют имена, начинавшиеся с символа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3263588"/>
            <wp:effectExtent b="0" l="0" r="0" t="0"/>
            <wp:docPr descr="Вывод файлов на “с”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файлов на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p>
      <w:pPr>
        <w:pStyle w:val="BodyText"/>
      </w:pPr>
      <w:r>
        <w:t xml:space="preserve">Выведем на экран имена файлов из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начинающиеся 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2821270"/>
            <wp:effectExtent b="0" l="0" r="0" t="0"/>
            <wp:docPr descr="Вывод файлов на “h”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файлов на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BodyText"/>
      </w:pPr>
      <w:r>
        <w:t xml:space="preserve">Запустим в фоновом режиме процесс, который будет записывать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. Удалим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2900967"/>
            <wp:effectExtent b="0" l="0" r="0" t="0"/>
            <wp:docPr descr="Запись файлов в фоновом режиме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Запись файлов в фоновом режиме</w:t>
      </w:r>
    </w:p>
    <w:p>
      <w:pPr>
        <w:pStyle w:val="BodyText"/>
      </w:pPr>
      <w:r>
        <w:t xml:space="preserve">Запустим из консоли в фоновом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259014"/>
            <wp:effectExtent b="0" l="0" r="0" t="0"/>
            <wp:docPr descr="Gedit в фоновом режим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Gedit в фоновом режиме</w:t>
      </w:r>
    </w:p>
    <w:p>
      <w:pPr>
        <w:pStyle w:val="BodyText"/>
      </w:pPr>
      <w:r>
        <w:t xml:space="preserve">Определим идентификатор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338711"/>
            <wp:effectExtent b="0" l="0" r="0" t="0"/>
            <wp:docPr descr="Идентификатор процесса gedit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Идентификатор процесса gedit</w:t>
      </w:r>
    </w:p>
    <w:p>
      <w:pPr>
        <w:pStyle w:val="BodyText"/>
      </w:pPr>
      <w:r>
        <w:t xml:space="preserve">Прочтём справку (</w:t>
      </w:r>
      <w:r>
        <w:rPr>
          <w:rStyle w:val="VerbatimChar"/>
        </w:rPr>
        <w:t xml:space="preserve">man</w:t>
      </w:r>
      <w:r>
        <w:t xml:space="preserve">)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3638163"/>
            <wp:effectExtent b="0" l="0" r="0" t="0"/>
            <wp:docPr descr="Команда kill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kill</w:t>
      </w:r>
    </w:p>
    <w:p>
      <w:pPr>
        <w:pStyle w:val="BodyText"/>
      </w:pPr>
      <w:r>
        <w:t xml:space="preserve">После этого используем её для завершения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565848"/>
            <wp:effectExtent b="0" l="0" r="0" t="0"/>
            <wp:docPr descr="Завершение процесса gedit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Завершение процесса gedit</w:t>
      </w:r>
    </w:p>
    <w:p>
      <w:pPr>
        <w:pStyle w:val="BodyText"/>
      </w:pPr>
      <w:r>
        <w:t xml:space="preserve">Выполним команды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du</w:t>
      </w:r>
      <w:r>
        <w:t xml:space="preserve">, предварительно получив более подробную информацию об этих командах, с помощью команды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(рис. 12), (рис. 13).</w:t>
      </w:r>
    </w:p>
    <w:p>
      <w:pPr>
        <w:pStyle w:val="CaptionedFigure"/>
      </w:pPr>
      <w:r>
        <w:drawing>
          <wp:inline>
            <wp:extent cx="3733800" cy="1055983"/>
            <wp:effectExtent b="0" l="0" r="0" t="0"/>
            <wp:docPr descr="Команда df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df</w:t>
      </w:r>
    </w:p>
    <w:p>
      <w:pPr>
        <w:pStyle w:val="CaptionedFigure"/>
      </w:pPr>
      <w:r>
        <w:drawing>
          <wp:inline>
            <wp:extent cx="3733800" cy="342696"/>
            <wp:effectExtent b="0" l="0" r="0" t="0"/>
            <wp:docPr descr="Команда du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Команда du</w:t>
      </w:r>
    </w:p>
    <w:p>
      <w:pPr>
        <w:pStyle w:val="BodyText"/>
      </w:pPr>
      <w:r>
        <w:t xml:space="preserve">Воспользовавшись справкой команды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выведем имена всех директорий, имеющихся в нашем домашнем каталоге (рис. 14).</w:t>
      </w:r>
    </w:p>
    <w:p>
      <w:pPr>
        <w:pStyle w:val="CaptionedFigure"/>
      </w:pPr>
      <w:r>
        <w:drawing>
          <wp:inline>
            <wp:extent cx="3733800" cy="2171740"/>
            <wp:effectExtent b="0" l="0" r="0" t="0"/>
            <wp:docPr descr="Вывод имён директорий домашнего каталог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Вывод имён директорий домашнего каталога</w:t>
      </w:r>
    </w:p>
    <w:bookmarkEnd w:id="63"/>
    <w:bookmarkStart w:id="64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Потоки ввода-вывода в Linux:</w:t>
      </w:r>
    </w:p>
    <w:p>
      <w:pPr>
        <w:numPr>
          <w:ilvl w:val="0"/>
          <w:numId w:val="1002"/>
        </w:numPr>
        <w:pStyle w:val="Compact"/>
      </w:pPr>
      <w:r>
        <w:t xml:space="preserve">Стандартный поток ввода (stdin) - обычно связан с клавиатурой.</w:t>
      </w:r>
    </w:p>
    <w:p>
      <w:pPr>
        <w:numPr>
          <w:ilvl w:val="0"/>
          <w:numId w:val="1002"/>
        </w:numPr>
        <w:pStyle w:val="Compact"/>
      </w:pPr>
      <w:r>
        <w:t xml:space="preserve">Стандартный поток вывода (stdout) - обычно связан с экраном (монитором).</w:t>
      </w:r>
    </w:p>
    <w:p>
      <w:pPr>
        <w:numPr>
          <w:ilvl w:val="0"/>
          <w:numId w:val="1002"/>
        </w:numPr>
        <w:pStyle w:val="Compact"/>
      </w:pPr>
      <w:r>
        <w:t xml:space="preserve">Стандартный поток ошибок (stderr) - используется для вывода сообщений об ошибках.</w:t>
      </w:r>
    </w:p>
    <w:p>
      <w:pPr>
        <w:numPr>
          <w:ilvl w:val="0"/>
          <w:numId w:val="1003"/>
        </w:numPr>
        <w:pStyle w:val="Compact"/>
      </w:pPr>
      <w:r>
        <w:t xml:space="preserve">Разница между операциями &gt; и &gt;&gt; в Linux:</w:t>
      </w:r>
      <w:r>
        <w:t xml:space="preserve"> </w:t>
      </w:r>
      <w:r>
        <w:t xml:space="preserve">Операция &gt; используется для перенаправления вывода команды в файл, при этом существующий файл будет перезаписан.</w:t>
      </w:r>
      <w:r>
        <w:t xml:space="preserve"> </w:t>
      </w:r>
      <w:r>
        <w:t xml:space="preserve">Операция &gt;&gt; также перенаправляет вывод команды в файл, но при этом информация добавляется в конец файла, не удаляя предыдущее содержимое.</w:t>
      </w:r>
    </w:p>
    <w:p>
      <w:pPr>
        <w:numPr>
          <w:ilvl w:val="0"/>
          <w:numId w:val="1003"/>
        </w:numPr>
        <w:pStyle w:val="Compact"/>
      </w:pPr>
      <w:r>
        <w:t xml:space="preserve">Конвейер - это механизм, который позволяет объединять вывод одной команды с вводом другой команды для последующей обработки данных.</w:t>
      </w:r>
    </w:p>
    <w:p>
      <w:pPr>
        <w:numPr>
          <w:ilvl w:val="0"/>
          <w:numId w:val="1003"/>
        </w:numPr>
        <w:pStyle w:val="Compact"/>
      </w:pPr>
      <w:r>
        <w:t xml:space="preserve">Процесс в Linux - это запущенная программа, которая выполняется в операционной системе. Программа - это набор инструкций, которые выполняются процессором.</w:t>
      </w:r>
    </w:p>
    <w:p>
      <w:pPr>
        <w:numPr>
          <w:ilvl w:val="0"/>
          <w:numId w:val="1003"/>
        </w:numPr>
        <w:pStyle w:val="Compact"/>
      </w:pPr>
      <w:r>
        <w:t xml:space="preserve">PID (Process ID) и GID (Group ID) - это уникальные идентификаторы процессов и групп процессов в системе.</w:t>
      </w:r>
    </w:p>
    <w:p>
      <w:pPr>
        <w:numPr>
          <w:ilvl w:val="0"/>
          <w:numId w:val="1003"/>
        </w:numPr>
        <w:pStyle w:val="Compact"/>
      </w:pPr>
      <w:r>
        <w:t xml:space="preserve">Задачи в Linux - это выполняемые процессы. Команда, позволяющая управлять задачами, - это</w:t>
      </w:r>
      <w:r>
        <w:t xml:space="preserve"> </w:t>
      </w:r>
      <w:r>
        <w:t xml:space="preserve">“</w:t>
      </w:r>
      <w:r>
        <w:t xml:space="preserve">ps</w:t>
      </w:r>
      <w:r>
        <w:t xml:space="preserve">”</w:t>
      </w:r>
      <w:r>
        <w:t xml:space="preserve"> </w:t>
      </w:r>
      <w:r>
        <w:t xml:space="preserve">(Process Status), которая позволяет отображать информацию о процессах, запущенных в системе, и управлять ими.</w:t>
      </w:r>
    </w:p>
    <w:p>
      <w:pPr>
        <w:numPr>
          <w:ilvl w:val="0"/>
          <w:numId w:val="1003"/>
        </w:numPr>
        <w:pStyle w:val="Compact"/>
      </w:pPr>
      <w:r>
        <w:t xml:space="preserve">Утилиты top и htop - это программы для мониторинга процессов в операционной системе. Top показывает динамическую информацию о процессах, а htop предоставляет более детальную информацию и удобный интерфейс для управления процессами.</w:t>
      </w:r>
    </w:p>
    <w:p>
      <w:pPr>
        <w:numPr>
          <w:ilvl w:val="0"/>
          <w:numId w:val="1003"/>
        </w:numPr>
        <w:pStyle w:val="Compact"/>
      </w:pPr>
      <w:r>
        <w:t xml:space="preserve">Команда поиска файлов в Linux - это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Она используется для поиска файлов и директорий в указанном каталоге на основе различных критериев. Например,</w:t>
      </w:r>
      <w:r>
        <w:t xml:space="preserve"> </w:t>
      </w:r>
      <w:r>
        <w:t xml:space="preserve">“</w:t>
      </w:r>
      <w:r>
        <w:t xml:space="preserve">find /home/user -name</w:t>
      </w:r>
      <w:r>
        <w:t xml:space="preserve">”</w:t>
      </w:r>
      <w:r>
        <w:t xml:space="preserve">*.txt”” найдет все файлы с расширением .txt в директории /home/user.</w:t>
      </w:r>
    </w:p>
    <w:p>
      <w:pPr>
        <w:numPr>
          <w:ilvl w:val="0"/>
          <w:numId w:val="1003"/>
        </w:numPr>
        <w:pStyle w:val="Compact"/>
      </w:pPr>
      <w:r>
        <w:t xml:space="preserve">По контексту нельзя найти файл, но можно искать файлы по ключевым словам, содержащимся в них, используя команду</w:t>
      </w:r>
      <w:r>
        <w:t xml:space="preserve"> </w:t>
      </w:r>
      <w:r>
        <w:t xml:space="preserve">“</w:t>
      </w:r>
      <w:r>
        <w:t xml:space="preserve">grep</w:t>
      </w:r>
      <w:r>
        <w:t xml:space="preserve">”</w:t>
      </w:r>
      <w:r>
        <w:t xml:space="preserve">. Например,</w:t>
      </w:r>
      <w:r>
        <w:t xml:space="preserve"> </w:t>
      </w:r>
      <w:r>
        <w:t xml:space="preserve">“</w:t>
      </w:r>
      <w:r>
        <w:t xml:space="preserve">grep -r</w:t>
      </w:r>
      <w:r>
        <w:t xml:space="preserve">”</w:t>
      </w:r>
      <w:r>
        <w:t xml:space="preserve">keyword” /path/to/directory” ищет все файлы в указанной директории, содержащие ключевое слово</w:t>
      </w:r>
      <w:r>
        <w:t xml:space="preserve"> </w:t>
      </w:r>
      <w:r>
        <w:t xml:space="preserve">“</w:t>
      </w:r>
      <w:r>
        <w:t xml:space="preserve">keyword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объема свободной памяти на жестком диске используется команда</w:t>
      </w:r>
      <w:r>
        <w:t xml:space="preserve"> </w:t>
      </w:r>
      <w:r>
        <w:t xml:space="preserve">“</w:t>
      </w:r>
      <w:r>
        <w:t xml:space="preserve">df</w:t>
      </w:r>
      <w:r>
        <w:t xml:space="preserve">”</w:t>
      </w:r>
      <w:r>
        <w:t xml:space="preserve">. Например,</w:t>
      </w:r>
      <w:r>
        <w:t xml:space="preserve"> </w:t>
      </w:r>
      <w:r>
        <w:t xml:space="preserve">“</w:t>
      </w:r>
      <w:r>
        <w:t xml:space="preserve">df -h</w:t>
      </w:r>
      <w:r>
        <w:t xml:space="preserve">”</w:t>
      </w:r>
      <w:r>
        <w:t xml:space="preserve"> </w:t>
      </w:r>
      <w:r>
        <w:t xml:space="preserve">покажет информацию о доступном месте на диске с удобным выводом в читаемом формате.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объема вашего домашнего каталога можно использовать команду</w:t>
      </w:r>
      <w:r>
        <w:t xml:space="preserve"> </w:t>
      </w:r>
      <w:r>
        <w:t xml:space="preserve">“</w:t>
      </w:r>
      <w:r>
        <w:t xml:space="preserve">du</w:t>
      </w:r>
      <w:r>
        <w:t xml:space="preserve">”</w:t>
      </w:r>
      <w:r>
        <w:t xml:space="preserve"> </w:t>
      </w:r>
      <w:r>
        <w:t xml:space="preserve">(Disk Usage). Например,</w:t>
      </w:r>
      <w:r>
        <w:t xml:space="preserve"> </w:t>
      </w:r>
      <w:r>
        <w:t xml:space="preserve">“</w:t>
      </w:r>
      <w:r>
        <w:t xml:space="preserve">du -sh /home/user</w:t>
      </w:r>
      <w:r>
        <w:t xml:space="preserve">”</w:t>
      </w:r>
      <w:r>
        <w:t xml:space="preserve"> </w:t>
      </w:r>
      <w:r>
        <w:t xml:space="preserve">покажет общий размер домашнего каталога пользователя.</w:t>
      </w:r>
    </w:p>
    <w:p>
      <w:pPr>
        <w:numPr>
          <w:ilvl w:val="0"/>
          <w:numId w:val="1003"/>
        </w:numPr>
        <w:pStyle w:val="Compact"/>
      </w:pPr>
      <w:r>
        <w:t xml:space="preserve">Для удаления зависшего процесса можно использовать команду</w:t>
      </w:r>
      <w:r>
        <w:t xml:space="preserve"> </w:t>
      </w:r>
      <w:r>
        <w:t xml:space="preserve">“</w:t>
      </w:r>
      <w:r>
        <w:t xml:space="preserve">kill</w:t>
      </w:r>
      <w:r>
        <w:t xml:space="preserve">”</w:t>
      </w:r>
      <w:r>
        <w:t xml:space="preserve"> </w:t>
      </w:r>
      <w:r>
        <w:t xml:space="preserve">с PID процесса. Например,</w:t>
      </w:r>
      <w:r>
        <w:t xml:space="preserve"> </w:t>
      </w:r>
      <w:r>
        <w:t xml:space="preserve">“</w:t>
      </w:r>
      <w:r>
        <w:t xml:space="preserve">kill -9 PID</w:t>
      </w:r>
      <w:r>
        <w:t xml:space="preserve">”</w:t>
      </w:r>
      <w:r>
        <w:t xml:space="preserve"> </w:t>
      </w:r>
      <w:r>
        <w:t xml:space="preserve">принудительно завершит процесс с указанным PID.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4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4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4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4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4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4"/>
        </w:numPr>
        <w:pStyle w:val="Compact"/>
      </w:pPr>
      <w:r>
        <w:t xml:space="preserve">Robbins, A. Bash Pocket Reference / A. Robbins. – O’Reilly Media, 2016. – 156 сс.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Маслова Анна Павловна</dc:creator>
  <dc:language>ru-RU</dc:language>
  <cp:keywords/>
  <dcterms:created xsi:type="dcterms:W3CDTF">2024-03-21T20:45:01Z</dcterms:created>
  <dcterms:modified xsi:type="dcterms:W3CDTF">2024-03-21T20:45:01Z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