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80"/>
        <w:jc w:val="center"/>
      </w:pPr>
      <w:r>
        <w:rPr>
          <w:rFonts w:ascii="Arial" w:cs="Arial" w:eastAsia="Arial" w:hAnsi="Arial"/>
          <w:b/>
          <w:bCs/>
          <w:color w:val="1B3A6B"/>
          <w:sz w:val="56"/>
          <w:szCs w:val="56"/>
        </w:rPr>
        <w:t xml:space="preserve">UNIFIED NAMESPACE</w:t>
      </w:r>
    </w:p>
    <w:p>
      <w:pPr>
        <w:spacing w:before="0" w:after="240"/>
        <w:jc w:val="center"/>
      </w:pPr>
      <w:r>
        <w:rPr>
          <w:rFonts w:ascii="Arial" w:cs="Arial" w:eastAsia="Arial" w:hAnsi="Arial"/>
          <w:b w:val="false"/>
          <w:bCs w:val="false"/>
          <w:color w:val="2E6DA4"/>
          <w:sz w:val="40"/>
          <w:szCs w:val="40"/>
        </w:rPr>
        <w:t xml:space="preserve">Design Specification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none"/>
              <w:left w:val="none"/>
              <w:bottom w:val="none"/>
              <w:right w:val="none"/>
            </w:tcBorders>
            <w:shd w:fill="D0E4F7" w:val="clear"/>
            <w:tcMar>
              <w:top w:type="dxa" w:w="280"/>
              <w:left w:type="dxa" w:w="400"/>
              <w:bottom w:type="dxa" w:w="280"/>
              <w:right w:type="dxa" w:w="400"/>
            </w:tcMar>
          </w:tcPr>
          <w:p>
            <w:pPr>
              <w:spacing w:before="0" w:after="60"/>
              <w:jc w:val="center"/>
            </w:pPr>
            <w:r>
              <w:rPr>
                <w:rFonts w:ascii="Arial" w:cs="Arial" w:eastAsia="Arial" w:hAnsi="Arial"/>
                <w:b/>
                <w:bCs/>
                <w:color w:val="1B3A6B"/>
                <w:sz w:val="24"/>
                <w:szCs w:val="24"/>
              </w:rPr>
              <w:t xml:space="preserve">Enterprise C  —  Biopharmaceutical Operations</w:t>
            </w:r>
          </w:p>
          <w:p>
            <w:pPr>
              <w:spacing w:before="0" w:after="0"/>
              <w:jc w:val="center"/>
            </w:pPr>
            <w:r>
              <w:rPr>
                <w:rFonts w:ascii="Arial" w:cs="Arial" w:eastAsia="Arial" w:hAnsi="Arial"/>
                <w:color w:val="2E6DA4"/>
                <w:sz w:val="20"/>
                <w:szCs w:val="20"/>
              </w:rPr>
              <w:t xml:space="preserve">ISA-95 + ISA-88  |  Batch &amp; Continuous Process  |  AnyLog Historian Integration</w:t>
            </w:r>
          </w:p>
        </w:tc>
      </w:tr>
    </w:tbl>
    <w:p>
      <w:pPr>
        <w:spacing w:before="240" w:after="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w:t>
            </w:r>
          </w:p>
        </w:tc>
        <w:tc>
          <w:tcPr>
            <w:tcW w:type="dxa" w:w="48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UNS-EC-001  Unified Namespace Design Specification</w:t>
            </w:r>
          </w:p>
        </w:tc>
      </w:tr>
      <w:tr>
        <w:tc>
          <w:tcPr>
            <w:tcW w:type="dxa" w:w="24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4800"/>
            <w:tcBorders>
              <w:top w:val="single" w:color="AECDE0" w:sz="1"/>
              <w:left w:val="single" w:color="AECDE0" w:sz="1"/>
              <w:bottom w:val="single" w:color="AECDE0" w:sz="1"/>
              <w:right w:val="single" w:color="AECDE0"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  (Draft — pending AnyLog data validation)</w:t>
            </w:r>
          </w:p>
        </w:tc>
      </w:tr>
      <w:tr>
        <w:tc>
          <w:tcPr>
            <w:tcW w:type="dxa" w:w="24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Standards</w:t>
            </w:r>
          </w:p>
        </w:tc>
        <w:tc>
          <w:tcPr>
            <w:tcW w:type="dxa" w:w="48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ISA-95 Levels 0-4  |  ISA-88 Batch Control</w:t>
            </w:r>
          </w:p>
        </w:tc>
      </w:tr>
      <w:tr>
        <w:tc>
          <w:tcPr>
            <w:tcW w:type="dxa" w:w="24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Scope</w:t>
            </w:r>
          </w:p>
        </w:tc>
        <w:tc>
          <w:tcPr>
            <w:tcW w:type="dxa" w:w="48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Bioreactor, TFF, Formulation, Fill/Finish, Utilities</w:t>
            </w:r>
          </w:p>
        </w:tc>
      </w:tr>
      <w:tr>
        <w:tc>
          <w:tcPr>
            <w:tcW w:type="dxa" w:w="24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Historian</w:t>
            </w:r>
          </w:p>
        </w:tc>
        <w:tc>
          <w:tcPr>
            <w:tcW w:type="dxa" w:w="48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AnyLog Distributed Edge Historian  (anylog-proveit)</w:t>
            </w:r>
          </w:p>
        </w:tc>
      </w:tr>
    </w:tbl>
    <w:p>
      <w:pPr>
        <w:pageBreakBefore/>
      </w:pPr>
    </w:p>
    <w:p>
      <w:pPr>
        <w:pStyle w:val="Heading1"/>
        <w:spacing w:before="360" w:after="180"/>
      </w:pPr>
      <w:r>
        <w:rPr>
          <w:rFonts w:ascii="Arial" w:cs="Arial" w:eastAsia="Arial" w:hAnsi="Arial"/>
          <w:b/>
          <w:bCs/>
          <w:color w:val="1B3A6B"/>
          <w:sz w:val="32"/>
          <w:szCs w:val="32"/>
        </w:rPr>
        <w:t xml:space="preserve">1.  Purpose &amp; Scope</w:t>
      </w:r>
    </w:p>
    <w:p>
      <w:pPr>
        <w:spacing w:before="120" w:after="120"/>
        <w:jc w:val="left"/>
      </w:pPr>
      <w:r>
        <w:rPr>
          <w:rFonts w:ascii="Arial" w:cs="Arial" w:eastAsia="Arial" w:hAnsi="Arial"/>
          <w:color w:val="000000"/>
          <w:sz w:val="20"/>
          <w:szCs w:val="20"/>
        </w:rPr>
        <w:t xml:space="preserve">This document defines the Unified Namespace (UNS) for Enterprise C's biopharmaceutical manufacturing site. The UNS provides a single, canonical source of truth for all operational data — from raw sensor readings at ISA-95 Level 0 through to enterprise KPIs at Level 4 — structured to support both ISA-95 equipment hierarchy and ISA-88 batch/phase control.</w:t>
      </w:r>
    </w:p>
    <w:p>
      <w:pPr>
        <w:spacing w:before="120" w:after="120"/>
        <w:jc w:val="left"/>
      </w:pPr>
      <w:r>
        <w:rPr>
          <w:rFonts w:ascii="Arial" w:cs="Arial" w:eastAsia="Arial" w:hAnsi="Arial"/>
          <w:color w:val="000000"/>
          <w:sz w:val="20"/>
          <w:szCs w:val="20"/>
        </w:rPr>
        <w:t xml:space="preserve">The namespace is implemented as the topic backbone for MQTT/SparkplugB message routing and as the logical hierarchy within the AnyLog distributed historian. All data published to or queried from AnyLog maps 1-to-1 to a UNS path.</w:t>
      </w:r>
    </w:p>
    <w:p>
      <w:pPr>
        <w:pStyle w:val="Heading2"/>
        <w:spacing w:before="240" w:after="120"/>
      </w:pPr>
      <w:r>
        <w:rPr>
          <w:rFonts w:ascii="Arial" w:cs="Arial" w:eastAsia="Arial" w:hAnsi="Arial"/>
          <w:b/>
          <w:bCs/>
          <w:color w:val="2E6DA4"/>
          <w:sz w:val="26"/>
          <w:szCs w:val="26"/>
        </w:rPr>
        <w:t xml:space="preserve">1.1  Design Principles</w:t>
      </w:r>
    </w:p>
    <w:p>
      <w:pPr>
        <w:pStyle w:val="ListParagraph"/>
        <w:numPr>
          <w:ilvl w:val="0"/>
          <w:numId w:val="2"/>
        </w:numPr>
        <w:spacing w:before="40" w:after="40"/>
      </w:pPr>
      <w:r>
        <w:rPr>
          <w:rFonts w:ascii="Arial" w:cs="Arial" w:eastAsia="Arial" w:hAnsi="Arial"/>
          <w:sz w:val="20"/>
          <w:szCs w:val="20"/>
        </w:rPr>
        <w:t xml:space="preserve">Single source of truth — every data point has exactly one canonical path</w:t>
      </w:r>
    </w:p>
    <w:p>
      <w:pPr>
        <w:pStyle w:val="ListParagraph"/>
        <w:numPr>
          <w:ilvl w:val="0"/>
          <w:numId w:val="2"/>
        </w:numPr>
        <w:spacing w:before="40" w:after="40"/>
      </w:pPr>
      <w:r>
        <w:rPr>
          <w:rFonts w:ascii="Arial" w:cs="Arial" w:eastAsia="Arial" w:hAnsi="Arial"/>
          <w:sz w:val="20"/>
          <w:szCs w:val="20"/>
        </w:rPr>
        <w:t xml:space="preserve">Contextual structure — path encodes enterprise, site, area, unit, phase, and tag</w:t>
      </w:r>
    </w:p>
    <w:p>
      <w:pPr>
        <w:pStyle w:val="ListParagraph"/>
        <w:numPr>
          <w:ilvl w:val="0"/>
          <w:numId w:val="2"/>
        </w:numPr>
        <w:spacing w:before="40" w:after="40"/>
      </w:pPr>
      <w:r>
        <w:rPr>
          <w:rFonts w:ascii="Arial" w:cs="Arial" w:eastAsia="Arial" w:hAnsi="Arial"/>
          <w:sz w:val="20"/>
          <w:szCs w:val="20"/>
        </w:rPr>
        <w:t xml:space="preserve">ISA-95 and ISA-88 aligned — hierarchy mirrors equipment and procedural models</w:t>
      </w:r>
    </w:p>
    <w:p>
      <w:pPr>
        <w:pStyle w:val="ListParagraph"/>
        <w:numPr>
          <w:ilvl w:val="0"/>
          <w:numId w:val="2"/>
        </w:numPr>
        <w:spacing w:before="40" w:after="40"/>
      </w:pPr>
      <w:r>
        <w:rPr>
          <w:rFonts w:ascii="Arial" w:cs="Arial" w:eastAsia="Arial" w:hAnsi="Arial"/>
          <w:sz w:val="20"/>
          <w:szCs w:val="20"/>
        </w:rPr>
        <w:t xml:space="preserve">Immutable path prefix — namespace changes require formal change control</w:t>
      </w:r>
    </w:p>
    <w:p>
      <w:pPr>
        <w:pStyle w:val="ListParagraph"/>
        <w:numPr>
          <w:ilvl w:val="0"/>
          <w:numId w:val="2"/>
        </w:numPr>
        <w:spacing w:before="40" w:after="40"/>
      </w:pPr>
      <w:r>
        <w:rPr>
          <w:rFonts w:ascii="Arial" w:cs="Arial" w:eastAsia="Arial" w:hAnsi="Arial"/>
          <w:sz w:val="20"/>
          <w:szCs w:val="20"/>
        </w:rPr>
        <w:t xml:space="preserve">Human-readable — paths are self-documenting without a separate data dictionary</w:t>
      </w:r>
    </w:p>
    <w:p>
      <w:pPr>
        <w:pStyle w:val="Heading1"/>
        <w:spacing w:before="360" w:after="180"/>
      </w:pPr>
      <w:r>
        <w:rPr>
          <w:rFonts w:ascii="Arial" w:cs="Arial" w:eastAsia="Arial" w:hAnsi="Arial"/>
          <w:b/>
          <w:bCs/>
          <w:color w:val="1B3A6B"/>
          <w:sz w:val="32"/>
          <w:szCs w:val="32"/>
        </w:rPr>
        <w:t xml:space="preserve">2.  Namespace Architecture</w:t>
      </w:r>
    </w:p>
    <w:p>
      <w:pPr>
        <w:pStyle w:val="Heading2"/>
        <w:spacing w:before="240" w:after="120"/>
      </w:pPr>
      <w:r>
        <w:rPr>
          <w:rFonts w:ascii="Arial" w:cs="Arial" w:eastAsia="Arial" w:hAnsi="Arial"/>
          <w:b/>
          <w:bCs/>
          <w:color w:val="2E6DA4"/>
          <w:sz w:val="26"/>
          <w:szCs w:val="26"/>
        </w:rPr>
        <w:t xml:space="preserve">2.1  Top-Level Structure</w:t>
      </w:r>
    </w:p>
    <w:p>
      <w:pPr>
        <w:spacing w:before="120" w:after="120"/>
        <w:jc w:val="left"/>
      </w:pPr>
      <w:r>
        <w:rPr>
          <w:rFonts w:ascii="Arial" w:cs="Arial" w:eastAsia="Arial" w:hAnsi="Arial"/>
          <w:color w:val="000000"/>
          <w:sz w:val="20"/>
          <w:szCs w:val="20"/>
        </w:rPr>
        <w:t xml:space="preserve">The UNS root follows a two-branch design separating raw process data from batch-contextualised data:</w:t>
      </w:r>
    </w:p>
    <w:p>
      <w:pPr>
        <w:spacing w:before="60" w:after="60"/>
        <w:ind w:left="720"/>
      </w:pPr>
      <w:r>
        <w:rPr>
          <w:rFonts w:ascii="Courier New" w:cs="Courier New" w:eastAsia="Courier New" w:hAnsi="Courier New"/>
          <w:color w:val="17697A"/>
          <w:sz w:val="18"/>
          <w:szCs w:val="18"/>
        </w:rPr>
        <w:t xml:space="preserve">EnterpriseC/                         ← ISA-95 L4 Enterprise root</w:t>
      </w:r>
    </w:p>
    <w:p>
      <w:pPr>
        <w:spacing w:before="60" w:after="60"/>
        <w:ind w:left="720"/>
      </w:pPr>
      <w:r>
        <w:rPr>
          <w:rFonts w:ascii="Courier New" w:cs="Courier New" w:eastAsia="Courier New" w:hAnsi="Courier New"/>
          <w:color w:val="17697A"/>
          <w:sz w:val="18"/>
          <w:szCs w:val="18"/>
        </w:rPr>
        <w:t xml:space="preserve">  {Site}/                             ← ISA-95 L3 Site</w:t>
      </w:r>
    </w:p>
    <w:p>
      <w:pPr>
        <w:spacing w:before="60" w:after="60"/>
        <w:ind w:left="720"/>
      </w:pPr>
      <w:r>
        <w:rPr>
          <w:rFonts w:ascii="Courier New" w:cs="Courier New" w:eastAsia="Courier New" w:hAnsi="Courier New"/>
          <w:color w:val="17697A"/>
          <w:sz w:val="18"/>
          <w:szCs w:val="18"/>
        </w:rPr>
        <w:t xml:space="preserve">    process/                          ← Continuous / real-time process data</w:t>
      </w:r>
    </w:p>
    <w:p>
      <w:pPr>
        <w:spacing w:before="60" w:after="60"/>
        <w:ind w:left="720"/>
      </w:pPr>
      <w:r>
        <w:rPr>
          <w:rFonts w:ascii="Courier New" w:cs="Courier New" w:eastAsia="Courier New" w:hAnsi="Courier New"/>
          <w:color w:val="17697A"/>
          <w:sz w:val="18"/>
          <w:szCs w:val="18"/>
        </w:rPr>
        <w:t xml:space="preserve">      {Area}/                         ← ISA-95 L2 Area</w:t>
      </w:r>
    </w:p>
    <w:p>
      <w:pPr>
        <w:spacing w:before="60" w:after="60"/>
        <w:ind w:left="720"/>
      </w:pPr>
      <w:r>
        <w:rPr>
          <w:rFonts w:ascii="Courier New" w:cs="Courier New" w:eastAsia="Courier New" w:hAnsi="Courier New"/>
          <w:color w:val="17697A"/>
          <w:sz w:val="18"/>
          <w:szCs w:val="18"/>
        </w:rPr>
        <w:t xml:space="preserve">        {Unit}/                       ← ISA-95 L1 Work Centre</w:t>
      </w:r>
    </w:p>
    <w:p>
      <w:pPr>
        <w:spacing w:before="60" w:after="60"/>
        <w:ind w:left="720"/>
      </w:pPr>
      <w:r>
        <w:rPr>
          <w:rFonts w:ascii="Courier New" w:cs="Courier New" w:eastAsia="Courier New" w:hAnsi="Courier New"/>
          <w:color w:val="17697A"/>
          <w:sz w:val="18"/>
          <w:szCs w:val="18"/>
        </w:rPr>
        <w:t xml:space="preserve">          {Tag}                       ← L0 sensor / actuator reading</w:t>
      </w:r>
    </w:p>
    <w:p>
      <w:pPr>
        <w:spacing w:before="60" w:after="60"/>
        <w:ind w:left="720"/>
      </w:pPr>
      <w:r>
        <w:rPr>
          <w:rFonts w:ascii="Courier New" w:cs="Courier New" w:eastAsia="Courier New" w:hAnsi="Courier New"/>
          <w:color w:val="17697A"/>
          <w:sz w:val="18"/>
          <w:szCs w:val="18"/>
        </w:rPr>
        <w:t xml:space="preserve">    batch/                            ← ISA-88 batch-contextualised data</w:t>
      </w:r>
    </w:p>
    <w:p>
      <w:pPr>
        <w:spacing w:before="60" w:after="60"/>
        <w:ind w:left="720"/>
      </w:pPr>
      <w:r>
        <w:rPr>
          <w:rFonts w:ascii="Courier New" w:cs="Courier New" w:eastAsia="Courier New" w:hAnsi="Courier New"/>
          <w:color w:val="17697A"/>
          <w:sz w:val="18"/>
          <w:szCs w:val="18"/>
        </w:rPr>
        <w:t xml:space="preserve">      {Area}/</w:t>
      </w:r>
    </w:p>
    <w:p>
      <w:pPr>
        <w:spacing w:before="60" w:after="60"/>
        <w:ind w:left="720"/>
      </w:pPr>
      <w:r>
        <w:rPr>
          <w:rFonts w:ascii="Courier New" w:cs="Courier New" w:eastAsia="Courier New" w:hAnsi="Courier New"/>
          <w:color w:val="17697A"/>
          <w:sz w:val="18"/>
          <w:szCs w:val="18"/>
        </w:rPr>
        <w:t xml:space="preserve">        {Unit}/</w:t>
      </w:r>
    </w:p>
    <w:p>
      <w:pPr>
        <w:spacing w:before="60" w:after="60"/>
        <w:ind w:left="720"/>
      </w:pPr>
      <w:r>
        <w:rPr>
          <w:rFonts w:ascii="Courier New" w:cs="Courier New" w:eastAsia="Courier New" w:hAnsi="Courier New"/>
          <w:color w:val="17697A"/>
          <w:sz w:val="18"/>
          <w:szCs w:val="18"/>
        </w:rPr>
        <w:t xml:space="preserve">          {BatchID}/                  ← ISA-88 batch identifier</w:t>
      </w:r>
    </w:p>
    <w:p>
      <w:pPr>
        <w:spacing w:before="60" w:after="60"/>
        <w:ind w:left="720"/>
      </w:pPr>
      <w:r>
        <w:rPr>
          <w:rFonts w:ascii="Courier New" w:cs="Courier New" w:eastAsia="Courier New" w:hAnsi="Courier New"/>
          <w:color w:val="17697A"/>
          <w:sz w:val="18"/>
          <w:szCs w:val="18"/>
        </w:rPr>
        <w:t xml:space="preserve">            {Phase}/                  ← ISA-88 operation / phase</w:t>
      </w:r>
    </w:p>
    <w:p>
      <w:pPr>
        <w:spacing w:before="60" w:after="60"/>
        <w:ind w:left="720"/>
      </w:pPr>
      <w:r>
        <w:rPr>
          <w:rFonts w:ascii="Courier New" w:cs="Courier New" w:eastAsia="Courier New" w:hAnsi="Courier New"/>
          <w:color w:val="17697A"/>
          <w:sz w:val="18"/>
          <w:szCs w:val="18"/>
        </w:rPr>
        <w:t xml:space="preserve">              {Tag}</w:t>
      </w:r>
    </w:p>
    <w:p>
      <w:pPr>
        <w:spacing w:before="60" w:after="60"/>
        <w:ind w:left="720"/>
      </w:pPr>
      <w:r>
        <w:rPr>
          <w:rFonts w:ascii="Courier New" w:cs="Courier New" w:eastAsia="Courier New" w:hAnsi="Courier New"/>
          <w:color w:val="17697A"/>
          <w:sz w:val="18"/>
          <w:szCs w:val="18"/>
        </w:rPr>
        <w:t xml:space="preserve">    events/                           ← Alarms, state changes, audit</w:t>
      </w:r>
    </w:p>
    <w:p>
      <w:pPr>
        <w:spacing w:before="60" w:after="60"/>
        <w:ind w:left="720"/>
      </w:pPr>
      <w:r>
        <w:rPr>
          <w:rFonts w:ascii="Courier New" w:cs="Courier New" w:eastAsia="Courier New" w:hAnsi="Courier New"/>
          <w:color w:val="17697A"/>
          <w:sz w:val="18"/>
          <w:szCs w:val="18"/>
        </w:rPr>
        <w:t xml:space="preserve">    meta/                             ← Equipment metadata &amp; recipes</w:t>
      </w:r>
    </w:p>
    <w:p>
      <w:pPr>
        <w:pStyle w:val="Heading2"/>
        <w:spacing w:before="240" w:after="120"/>
      </w:pPr>
      <w:r>
        <w:rPr>
          <w:rFonts w:ascii="Arial" w:cs="Arial" w:eastAsia="Arial" w:hAnsi="Arial"/>
          <w:b/>
          <w:bCs/>
          <w:color w:val="2E6DA4"/>
          <w:sz w:val="26"/>
          <w:szCs w:val="26"/>
        </w:rPr>
        <w:t xml:space="preserve">2.2  ISA-95 Level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Level</w:t>
            </w:r>
          </w:p>
        </w:tc>
        <w:tc>
          <w:tcPr>
            <w:tcW w:type="dxa" w:w="22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ISA-95 Term</w:t>
            </w:r>
          </w:p>
        </w:tc>
        <w:tc>
          <w:tcPr>
            <w:tcW w:type="dxa" w:w="636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Enterprise C Mapping</w:t>
            </w:r>
          </w:p>
        </w:tc>
      </w:tr>
      <w:tr>
        <w:tc>
          <w:tcPr>
            <w:tcW w:type="dxa" w:w="8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L4</w:t>
            </w:r>
          </w:p>
        </w:tc>
        <w:tc>
          <w:tcPr>
            <w:tcW w:type="dxa" w:w="2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w:t>
            </w:r>
          </w:p>
        </w:tc>
        <w:tc>
          <w:tcPr>
            <w:tcW w:type="dxa" w:w="63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EnterpriseC/</w:t>
            </w:r>
          </w:p>
        </w:tc>
      </w:tr>
      <w:tr>
        <w:tc>
          <w:tcPr>
            <w:tcW w:type="dxa" w:w="800"/>
            <w:tcBorders>
              <w:top w:val="single" w:color="AECDE0" w:sz="1"/>
              <w:left w:val="single" w:color="AECDE0" w:sz="1"/>
              <w:bottom w:val="single" w:color="AECDE0" w:sz="1"/>
              <w:right w:val="single" w:color="AECDE0" w:sz="1"/>
            </w:tcBorders>
            <w:shd w:fill="2E6DA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L3</w:t>
            </w:r>
          </w:p>
        </w:tc>
        <w:tc>
          <w:tcPr>
            <w:tcW w:type="dxa" w:w="2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Site</w:t>
            </w:r>
          </w:p>
        </w:tc>
        <w:tc>
          <w:tcPr>
            <w:tcW w:type="dxa" w:w="63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EnterpriseC/SiteA/  (primary manufacturing site)</w:t>
            </w:r>
          </w:p>
        </w:tc>
      </w:tr>
      <w:tr>
        <w:tc>
          <w:tcPr>
            <w:tcW w:type="dxa" w:w="800"/>
            <w:tcBorders>
              <w:top w:val="single" w:color="AECDE0" w:sz="1"/>
              <w:left w:val="single" w:color="AECDE0" w:sz="1"/>
              <w:bottom w:val="single" w:color="AECDE0" w:sz="1"/>
              <w:right w:val="single" w:color="AECDE0" w:sz="1"/>
            </w:tcBorders>
            <w:shd w:fill="17697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L2</w:t>
            </w:r>
          </w:p>
        </w:tc>
        <w:tc>
          <w:tcPr>
            <w:tcW w:type="dxa" w:w="2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Area</w:t>
            </w:r>
          </w:p>
        </w:tc>
        <w:tc>
          <w:tcPr>
            <w:tcW w:type="dxa" w:w="63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bioprocess/  |  tff/  |  formulation/  |  fillfin/  |  utilities/</w:t>
            </w:r>
          </w:p>
        </w:tc>
      </w:tr>
      <w:tr>
        <w:tc>
          <w:tcPr>
            <w:tcW w:type="dxa" w:w="800"/>
            <w:tcBorders>
              <w:top w:val="single" w:color="AECDE0" w:sz="1"/>
              <w:left w:val="single" w:color="AECDE0" w:sz="1"/>
              <w:bottom w:val="single" w:color="AECDE0" w:sz="1"/>
              <w:right w:val="single" w:color="AECDE0"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L1</w:t>
            </w:r>
          </w:p>
        </w:tc>
        <w:tc>
          <w:tcPr>
            <w:tcW w:type="dxa" w:w="2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Work Centre</w:t>
            </w:r>
          </w:p>
        </w:tc>
        <w:tc>
          <w:tcPr>
            <w:tcW w:type="dxa" w:w="63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Unit250/  Unit251/  Unit260/  etc.</w:t>
            </w:r>
          </w:p>
        </w:tc>
      </w:tr>
      <w:tr>
        <w:tc>
          <w:tcPr>
            <w:tcW w:type="dxa" w:w="800"/>
            <w:tcBorders>
              <w:top w:val="single" w:color="AECDE0" w:sz="1"/>
              <w:left w:val="single" w:color="AECDE0" w:sz="1"/>
              <w:bottom w:val="single" w:color="AECDE0" w:sz="1"/>
              <w:right w:val="single" w:color="AECDE0" w:sz="1"/>
            </w:tcBorders>
            <w:shd w:fill="7A4F0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L0</w:t>
            </w:r>
          </w:p>
        </w:tc>
        <w:tc>
          <w:tcPr>
            <w:tcW w:type="dxa" w:w="2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Process Cell</w:t>
            </w:r>
          </w:p>
        </w:tc>
        <w:tc>
          <w:tcPr>
            <w:tcW w:type="dxa" w:w="63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Individual tag readings (temperature, pH, DO, etc.)</w:t>
            </w:r>
          </w:p>
        </w:tc>
      </w:tr>
    </w:tbl>
    <w:p>
      <w:pPr>
        <w:pStyle w:val="Heading1"/>
        <w:spacing w:before="360" w:after="180"/>
      </w:pPr>
      <w:r>
        <w:rPr>
          <w:rFonts w:ascii="Arial" w:cs="Arial" w:eastAsia="Arial" w:hAnsi="Arial"/>
          <w:b/>
          <w:bCs/>
          <w:color w:val="1B3A6B"/>
          <w:sz w:val="32"/>
          <w:szCs w:val="32"/>
        </w:rPr>
        <w:t xml:space="preserve">3.  Process Areas &amp; Units</w:t>
      </w:r>
    </w:p>
    <w:p>
      <w:pPr>
        <w:pStyle w:val="Heading2"/>
        <w:spacing w:before="240" w:after="120"/>
      </w:pPr>
      <w:r>
        <w:rPr>
          <w:rFonts w:ascii="Arial" w:cs="Arial" w:eastAsia="Arial" w:hAnsi="Arial"/>
          <w:b/>
          <w:bCs/>
          <w:color w:val="2E6DA4"/>
          <w:sz w:val="26"/>
          <w:szCs w:val="26"/>
        </w:rPr>
        <w:t xml:space="preserve">3.1  Bioprocess Area  (Upstream)</w:t>
      </w:r>
    </w:p>
    <w:p>
      <w:pPr>
        <w:spacing w:before="120" w:after="120"/>
        <w:jc w:val="left"/>
      </w:pPr>
      <w:r>
        <w:rPr>
          <w:rFonts w:ascii="Arial" w:cs="Arial" w:eastAsia="Arial" w:hAnsi="Arial"/>
          <w:color w:val="000000"/>
          <w:sz w:val="20"/>
          <w:szCs w:val="20"/>
        </w:rPr>
        <w:t xml:space="preserve">Covers seed train, N-1, and production bioreactors. The primary production unit is Unit 250, a fed-batch stirred tank bioreactor.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UNS Path Segment</w:t>
            </w:r>
          </w:p>
        </w:tc>
        <w:tc>
          <w:tcPr>
            <w:tcW w:type="dxa" w:w="24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Unit ID</w:t>
            </w:r>
          </w:p>
        </w:tc>
        <w:tc>
          <w:tcPr>
            <w:tcW w:type="dxa" w:w="456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bioprocess/Unit250</w:t>
            </w:r>
          </w:p>
        </w:tc>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Unit250</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Production bioreactor — fed-batch, 2000L nominal</w:t>
            </w:r>
          </w:p>
        </w:tc>
      </w:tr>
      <w:tr>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bioprocess/Unit251</w:t>
            </w:r>
          </w:p>
        </w:tc>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Unit251</w:t>
            </w:r>
          </w:p>
        </w:tc>
        <w:tc>
          <w:tcPr>
            <w:tcW w:type="dxa" w:w="45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N-1 seed bioreactor</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bioprocess/Unit252</w:t>
            </w:r>
          </w:p>
        </w:tc>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Unit252</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Seed train vessel 2</w:t>
            </w:r>
          </w:p>
        </w:tc>
      </w:tr>
      <w:tr>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bioprocess/Media</w:t>
            </w:r>
          </w:p>
        </w:tc>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MediaPrep</w:t>
            </w:r>
          </w:p>
        </w:tc>
        <w:tc>
          <w:tcPr>
            <w:tcW w:type="dxa" w:w="45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Media preparation and hold tanks</w:t>
            </w:r>
          </w:p>
        </w:tc>
      </w:tr>
    </w:tbl>
    <w:p>
      <w:pPr>
        <w:pStyle w:val="Heading3"/>
        <w:spacing w:before="180" w:after="80"/>
      </w:pPr>
      <w:r>
        <w:rPr>
          <w:rFonts w:ascii="Arial" w:cs="Arial" w:eastAsia="Arial" w:hAnsi="Arial"/>
          <w:b/>
          <w:bCs/>
          <w:color w:val="17697A"/>
          <w:sz w:val="22"/>
          <w:szCs w:val="22"/>
        </w:rPr>
        <w:t xml:space="preserve">Unit 250 — Tag Namespace</w:t>
      </w:r>
    </w:p>
    <w:p>
      <w:pPr>
        <w:spacing w:before="120" w:after="120"/>
        <w:jc w:val="left"/>
      </w:pPr>
      <w:r>
        <w:rPr>
          <w:rFonts w:ascii="Arial" w:cs="Arial" w:eastAsia="Arial" w:hAnsi="Arial"/>
          <w:color w:val="000000"/>
          <w:sz w:val="20"/>
          <w:szCs w:val="20"/>
        </w:rPr>
        <w:t xml:space="preserve">The following tag categories are defined under each bioreactor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Full UNS Path (example)</w:t>
            </w:r>
          </w:p>
        </w:tc>
        <w:tc>
          <w:tcPr>
            <w:tcW w:type="dxa" w:w="20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Tag Category</w:t>
            </w:r>
          </w:p>
        </w:tc>
        <w:tc>
          <w:tcPr>
            <w:tcW w:type="dxa" w:w="456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AnyLog Table / Column</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…/Unit250/temperature</w:t>
            </w:r>
          </w:p>
        </w:tc>
        <w:tc>
          <w:tcPr>
            <w:tcW w:type="dxa" w:w="2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Process</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bioreactor_data.temperature_pv</w:t>
            </w:r>
          </w:p>
        </w:tc>
      </w:tr>
      <w:tr>
        <w:tc>
          <w:tcPr>
            <w:tcW w:type="dxa" w:w="28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…/Unit250/ph</w:t>
            </w:r>
          </w:p>
        </w:tc>
        <w:tc>
          <w:tcPr>
            <w:tcW w:type="dxa" w:w="20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Process</w:t>
            </w:r>
          </w:p>
        </w:tc>
        <w:tc>
          <w:tcPr>
            <w:tcW w:type="dxa" w:w="45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bioreactor_data.ph_pv</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…/Unit250/dissolved_o2</w:t>
            </w:r>
          </w:p>
        </w:tc>
        <w:tc>
          <w:tcPr>
            <w:tcW w:type="dxa" w:w="2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Process</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bioreactor_data.do_pv</w:t>
            </w:r>
          </w:p>
        </w:tc>
      </w:tr>
      <w:tr>
        <w:tc>
          <w:tcPr>
            <w:tcW w:type="dxa" w:w="28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…/Unit250/agitation</w:t>
            </w:r>
          </w:p>
        </w:tc>
        <w:tc>
          <w:tcPr>
            <w:tcW w:type="dxa" w:w="20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Process</w:t>
            </w:r>
          </w:p>
        </w:tc>
        <w:tc>
          <w:tcPr>
            <w:tcW w:type="dxa" w:w="45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bioreactor_data.agitation_rpm</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…/Unit250/co2_pct</w:t>
            </w:r>
          </w:p>
        </w:tc>
        <w:tc>
          <w:tcPr>
            <w:tcW w:type="dxa" w:w="2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Process</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bioreactor_data.co2_percent</w:t>
            </w:r>
          </w:p>
        </w:tc>
      </w:tr>
      <w:tr>
        <w:tc>
          <w:tcPr>
            <w:tcW w:type="dxa" w:w="28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…/Unit250/feed_rate</w:t>
            </w:r>
          </w:p>
        </w:tc>
        <w:tc>
          <w:tcPr>
            <w:tcW w:type="dxa" w:w="20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Feed</w:t>
            </w:r>
          </w:p>
        </w:tc>
        <w:tc>
          <w:tcPr>
            <w:tcW w:type="dxa" w:w="45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bioreactor_data.feed_rate_pv</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…/Unit250/base_rate</w:t>
            </w:r>
          </w:p>
        </w:tc>
        <w:tc>
          <w:tcPr>
            <w:tcW w:type="dxa" w:w="2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Feed</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bioreactor_data.base_rate_pv</w:t>
            </w:r>
          </w:p>
        </w:tc>
      </w:tr>
      <w:tr>
        <w:tc>
          <w:tcPr>
            <w:tcW w:type="dxa" w:w="28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…/Unit250/air_flow</w:t>
            </w:r>
          </w:p>
        </w:tc>
        <w:tc>
          <w:tcPr>
            <w:tcW w:type="dxa" w:w="20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Gas</w:t>
            </w:r>
          </w:p>
        </w:tc>
        <w:tc>
          <w:tcPr>
            <w:tcW w:type="dxa" w:w="45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bioreactor_data.air_flow_pv</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…/Unit250/o2_flow</w:t>
            </w:r>
          </w:p>
        </w:tc>
        <w:tc>
          <w:tcPr>
            <w:tcW w:type="dxa" w:w="2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Gas</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bioreactor_data.o2_flow_pv</w:t>
            </w:r>
          </w:p>
        </w:tc>
      </w:tr>
      <w:tr>
        <w:tc>
          <w:tcPr>
            <w:tcW w:type="dxa" w:w="28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…/Unit250/equipment_state</w:t>
            </w:r>
          </w:p>
        </w:tc>
        <w:tc>
          <w:tcPr>
            <w:tcW w:type="dxa" w:w="20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State</w:t>
            </w:r>
          </w:p>
        </w:tc>
        <w:tc>
          <w:tcPr>
            <w:tcW w:type="dxa" w:w="45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bioreactor_data.equipment_state</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…/Unit250/batch_id</w:t>
            </w:r>
          </w:p>
        </w:tc>
        <w:tc>
          <w:tcPr>
            <w:tcW w:type="dxa" w:w="2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Batch</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bioreactor_data.batch_id</w:t>
            </w:r>
          </w:p>
        </w:tc>
      </w:tr>
    </w:tbl>
    <w:p>
      <w:pPr>
        <w:pStyle w:val="Heading2"/>
        <w:spacing w:before="240" w:after="120"/>
      </w:pPr>
      <w:r>
        <w:rPr>
          <w:rFonts w:ascii="Arial" w:cs="Arial" w:eastAsia="Arial" w:hAnsi="Arial"/>
          <w:b/>
          <w:bCs/>
          <w:color w:val="2E6DA4"/>
          <w:sz w:val="26"/>
          <w:szCs w:val="26"/>
        </w:rPr>
        <w:t xml:space="preserve">3.2  TFF Area  (Downstream)</w:t>
      </w:r>
    </w:p>
    <w:p>
      <w:pPr>
        <w:spacing w:before="120" w:after="120"/>
        <w:jc w:val="left"/>
      </w:pPr>
      <w:r>
        <w:rPr>
          <w:rFonts w:ascii="Arial" w:cs="Arial" w:eastAsia="Arial" w:hAnsi="Arial"/>
          <w:color w:val="000000"/>
          <w:sz w:val="20"/>
          <w:szCs w:val="20"/>
        </w:rPr>
        <w:t xml:space="preserve">Tangential flow filtration for harvest clarification and concentration/diafiltration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UNS Path Segment</w:t>
            </w:r>
          </w:p>
        </w:tc>
        <w:tc>
          <w:tcPr>
            <w:tcW w:type="dxa" w:w="24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Unit ID</w:t>
            </w:r>
          </w:p>
        </w:tc>
        <w:tc>
          <w:tcPr>
            <w:tcW w:type="dxa" w:w="456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tff/TFF260</w:t>
            </w:r>
          </w:p>
        </w:tc>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TFF260</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Primary TFF — harvest clarification</w:t>
            </w:r>
          </w:p>
        </w:tc>
      </w:tr>
      <w:tr>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tff/TFF261</w:t>
            </w:r>
          </w:p>
        </w:tc>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TFF261</w:t>
            </w:r>
          </w:p>
        </w:tc>
        <w:tc>
          <w:tcPr>
            <w:tcW w:type="dxa" w:w="45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Secondary TFF — concentration / diafiltration</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tff/TFF262</w:t>
            </w:r>
          </w:p>
        </w:tc>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TFF262</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Polishing TFF</w:t>
            </w:r>
          </w:p>
        </w:tc>
      </w:tr>
    </w:tbl>
    <w:p>
      <w:pPr>
        <w:pStyle w:val="Heading3"/>
        <w:spacing w:before="180" w:after="80"/>
      </w:pPr>
      <w:r>
        <w:rPr>
          <w:rFonts w:ascii="Arial" w:cs="Arial" w:eastAsia="Arial" w:hAnsi="Arial"/>
          <w:b/>
          <w:bCs/>
          <w:color w:val="17697A"/>
          <w:sz w:val="22"/>
          <w:szCs w:val="22"/>
        </w:rPr>
        <w:t xml:space="preserve">TFF Tag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Full UNS Path (example)</w:t>
            </w:r>
          </w:p>
        </w:tc>
        <w:tc>
          <w:tcPr>
            <w:tcW w:type="dxa" w:w="20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Tag Category</w:t>
            </w:r>
          </w:p>
        </w:tc>
        <w:tc>
          <w:tcPr>
            <w:tcW w:type="dxa" w:w="456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AnyLog Table / Column</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…/TFF260/feed_pressure</w:t>
            </w:r>
          </w:p>
        </w:tc>
        <w:tc>
          <w:tcPr>
            <w:tcW w:type="dxa" w:w="2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Pressure</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tff_data.feed_pressure_pv</w:t>
            </w:r>
          </w:p>
        </w:tc>
      </w:tr>
      <w:tr>
        <w:tc>
          <w:tcPr>
            <w:tcW w:type="dxa" w:w="28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…/TFF260/permeate_pressure</w:t>
            </w:r>
          </w:p>
        </w:tc>
        <w:tc>
          <w:tcPr>
            <w:tcW w:type="dxa" w:w="20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Pressure</w:t>
            </w:r>
          </w:p>
        </w:tc>
        <w:tc>
          <w:tcPr>
            <w:tcW w:type="dxa" w:w="45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tff_data.permeate_pressure_pv</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…/TFF260/retentate_pressure</w:t>
            </w:r>
          </w:p>
        </w:tc>
        <w:tc>
          <w:tcPr>
            <w:tcW w:type="dxa" w:w="2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Pressure</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tff_data.retentate_pressure_pv</w:t>
            </w:r>
          </w:p>
        </w:tc>
      </w:tr>
      <w:tr>
        <w:tc>
          <w:tcPr>
            <w:tcW w:type="dxa" w:w="28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…/TFF260/flux</w:t>
            </w:r>
          </w:p>
        </w:tc>
        <w:tc>
          <w:tcPr>
            <w:tcW w:type="dxa" w:w="20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Flow</w:t>
            </w:r>
          </w:p>
        </w:tc>
        <w:tc>
          <w:tcPr>
            <w:tcW w:type="dxa" w:w="45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tff_data.flux_pv</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…/TFF260/tmp</w:t>
            </w:r>
          </w:p>
        </w:tc>
        <w:tc>
          <w:tcPr>
            <w:tcW w:type="dxa" w:w="2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Derived</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tff_data.tmp_calculated</w:t>
            </w:r>
          </w:p>
        </w:tc>
      </w:tr>
      <w:tr>
        <w:tc>
          <w:tcPr>
            <w:tcW w:type="dxa" w:w="28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…/TFF260/conductivity</w:t>
            </w:r>
          </w:p>
        </w:tc>
        <w:tc>
          <w:tcPr>
            <w:tcW w:type="dxa" w:w="20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Quality</w:t>
            </w:r>
          </w:p>
        </w:tc>
        <w:tc>
          <w:tcPr>
            <w:tcW w:type="dxa" w:w="45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tff_data.conductivity_pv</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…/TFF260/batch_id</w:t>
            </w:r>
          </w:p>
        </w:tc>
        <w:tc>
          <w:tcPr>
            <w:tcW w:type="dxa" w:w="2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Batch</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tff_data.batch_id</w:t>
            </w:r>
          </w:p>
        </w:tc>
      </w:tr>
    </w:tbl>
    <w:p>
      <w:pPr>
        <w:pStyle w:val="Heading2"/>
        <w:spacing w:before="240" w:after="120"/>
      </w:pPr>
      <w:r>
        <w:rPr>
          <w:rFonts w:ascii="Arial" w:cs="Arial" w:eastAsia="Arial" w:hAnsi="Arial"/>
          <w:b/>
          <w:bCs/>
          <w:color w:val="2E6DA4"/>
          <w:sz w:val="26"/>
          <w:szCs w:val="26"/>
        </w:rPr>
        <w:t xml:space="preserve">3.3  Formulation  &amp;  Fill/Finish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UNS Path Segment</w:t>
            </w:r>
          </w:p>
        </w:tc>
        <w:tc>
          <w:tcPr>
            <w:tcW w:type="dxa" w:w="24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Unit ID</w:t>
            </w:r>
          </w:p>
        </w:tc>
        <w:tc>
          <w:tcPr>
            <w:tcW w:type="dxa" w:w="456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formulation/FormTank01</w:t>
            </w:r>
          </w:p>
        </w:tc>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FormTank01</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Bulk formulation vessel</w:t>
            </w:r>
          </w:p>
        </w:tc>
      </w:tr>
      <w:tr>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formulation/FormTank02</w:t>
            </w:r>
          </w:p>
        </w:tc>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FormTank02</w:t>
            </w:r>
          </w:p>
        </w:tc>
        <w:tc>
          <w:tcPr>
            <w:tcW w:type="dxa" w:w="45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Secondary formulation vessel</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fillfin/FillLine01</w:t>
            </w:r>
          </w:p>
        </w:tc>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FillLine01</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Vial fill-and-finish line 1</w:t>
            </w:r>
          </w:p>
        </w:tc>
      </w:tr>
      <w:tr>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fillfin/FillLine02</w:t>
            </w:r>
          </w:p>
        </w:tc>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FillLine02</w:t>
            </w:r>
          </w:p>
        </w:tc>
        <w:tc>
          <w:tcPr>
            <w:tcW w:type="dxa" w:w="45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Vial fill-and-finish line 2</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fillfin/Lyophilizer01</w:t>
            </w:r>
          </w:p>
        </w:tc>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Lyoph01</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Lyophilizer (freeze-drying unit)</w:t>
            </w:r>
          </w:p>
        </w:tc>
      </w:tr>
    </w:tbl>
    <w:p>
      <w:pPr>
        <w:pStyle w:val="Heading2"/>
        <w:spacing w:before="240" w:after="120"/>
      </w:pPr>
      <w:r>
        <w:rPr>
          <w:rFonts w:ascii="Arial" w:cs="Arial" w:eastAsia="Arial" w:hAnsi="Arial"/>
          <w:b/>
          <w:bCs/>
          <w:color w:val="2E6DA4"/>
          <w:sz w:val="26"/>
          <w:szCs w:val="26"/>
        </w:rPr>
        <w:t xml:space="preserve">3.4  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UNS Path Segment</w:t>
            </w:r>
          </w:p>
        </w:tc>
        <w:tc>
          <w:tcPr>
            <w:tcW w:type="dxa" w:w="24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Unit ID</w:t>
            </w:r>
          </w:p>
        </w:tc>
        <w:tc>
          <w:tcPr>
            <w:tcW w:type="dxa" w:w="456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utilities/WFI</w:t>
            </w:r>
          </w:p>
        </w:tc>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WFISystem</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Water for injection system</w:t>
            </w:r>
          </w:p>
        </w:tc>
      </w:tr>
      <w:tr>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utilities/CleanSteam</w:t>
            </w:r>
          </w:p>
        </w:tc>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CSTSystem</w:t>
            </w:r>
          </w:p>
        </w:tc>
        <w:tc>
          <w:tcPr>
            <w:tcW w:type="dxa" w:w="45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Clean steam generation</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utilities/HVAC</w:t>
            </w:r>
          </w:p>
        </w:tc>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HVACZone01</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Cleanroom HVAC monitoring</w:t>
            </w:r>
          </w:p>
        </w:tc>
      </w:tr>
      <w:tr>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utilities/GasPanel</w:t>
            </w:r>
          </w:p>
        </w:tc>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GasPanel01</w:t>
            </w:r>
          </w:p>
        </w:tc>
        <w:tc>
          <w:tcPr>
            <w:tcW w:type="dxa" w:w="45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N2 / CO2 / O2 distribution panel</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utilities/Chiller</w:t>
            </w:r>
          </w:p>
        </w:tc>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Chiller01</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Process chilled water loop</w:t>
            </w:r>
          </w:p>
        </w:tc>
      </w:tr>
    </w:tbl>
    <w:p>
      <w:pPr>
        <w:pStyle w:val="Heading1"/>
        <w:spacing w:before="360" w:after="180"/>
      </w:pPr>
      <w:r>
        <w:rPr>
          <w:rFonts w:ascii="Arial" w:cs="Arial" w:eastAsia="Arial" w:hAnsi="Arial"/>
          <w:b/>
          <w:bCs/>
          <w:color w:val="1B3A6B"/>
          <w:sz w:val="32"/>
          <w:szCs w:val="32"/>
        </w:rPr>
        <w:t xml:space="preserve">4.  Batch Namespace  (ISA-88)</w:t>
      </w:r>
    </w:p>
    <w:p>
      <w:pPr>
        <w:spacing w:before="120" w:after="120"/>
        <w:jc w:val="left"/>
      </w:pPr>
      <w:r>
        <w:rPr>
          <w:rFonts w:ascii="Arial" w:cs="Arial" w:eastAsia="Arial" w:hAnsi="Arial"/>
          <w:color w:val="000000"/>
          <w:sz w:val="20"/>
          <w:szCs w:val="20"/>
        </w:rPr>
        <w:t xml:space="preserve">The batch branch contextualises all process data against a specific batch identifier and its ISA-88 procedural elements. This enables complete batch genealogy from a single UNS path without requiring joins or post-processing.</w:t>
      </w:r>
    </w:p>
    <w:p>
      <w:pPr>
        <w:pStyle w:val="Heading2"/>
        <w:spacing w:before="240" w:after="120"/>
      </w:pPr>
      <w:r>
        <w:rPr>
          <w:rFonts w:ascii="Arial" w:cs="Arial" w:eastAsia="Arial" w:hAnsi="Arial"/>
          <w:b/>
          <w:bCs/>
          <w:color w:val="2E6DA4"/>
          <w:sz w:val="26"/>
          <w:szCs w:val="26"/>
        </w:rPr>
        <w:t xml:space="preserve">4.1  Batch Topic Structure</w:t>
      </w:r>
    </w:p>
    <w:p>
      <w:pPr>
        <w:spacing w:before="60" w:after="60"/>
        <w:ind w:left="720"/>
      </w:pPr>
      <w:r>
        <w:rPr>
          <w:rFonts w:ascii="Courier New" w:cs="Courier New" w:eastAsia="Courier New" w:hAnsi="Courier New"/>
          <w:color w:val="17697A"/>
          <w:sz w:val="18"/>
          <w:szCs w:val="18"/>
        </w:rPr>
        <w:t xml:space="preserve">EnterpriseC/SiteA/batch/{Area}/{Unit}/{BatchID}/{Phase}/{Tag}</w:t>
      </w:r>
    </w:p>
    <w:p>
      <w:pPr>
        <w:spacing w:before="120" w:after="120"/>
        <w:jc w:val="left"/>
      </w:pPr>
      <w:r>
        <w:rPr>
          <w:rFonts w:ascii="Arial" w:cs="Arial" w:eastAsia="Arial" w:hAnsi="Arial"/>
          <w:color w:val="000000"/>
          <w:sz w:val="20"/>
          <w:szCs w:val="20"/>
        </w:rPr>
        <w:t xml:space="preserve">Example — temperature reading during the Growth phase of batch B2024-250-001 on Unit 250:</w:t>
      </w:r>
    </w:p>
    <w:p>
      <w:pPr>
        <w:spacing w:before="60" w:after="60"/>
        <w:ind w:left="720"/>
      </w:pPr>
      <w:r>
        <w:rPr>
          <w:rFonts w:ascii="Courier New" w:cs="Courier New" w:eastAsia="Courier New" w:hAnsi="Courier New"/>
          <w:color w:val="17697A"/>
          <w:sz w:val="18"/>
          <w:szCs w:val="18"/>
        </w:rPr>
        <w:t xml:space="preserve">EnterpriseC/SiteA/batch/bioprocess/Unit250/B2024-250-001/Growth/temperature</w:t>
      </w:r>
    </w:p>
    <w:p>
      <w:pPr>
        <w:pStyle w:val="Heading2"/>
        <w:spacing w:before="240" w:after="120"/>
      </w:pPr>
      <w:r>
        <w:rPr>
          <w:rFonts w:ascii="Arial" w:cs="Arial" w:eastAsia="Arial" w:hAnsi="Arial"/>
          <w:b/>
          <w:bCs/>
          <w:color w:val="2E6DA4"/>
          <w:sz w:val="26"/>
          <w:szCs w:val="26"/>
        </w:rPr>
        <w:t xml:space="preserve">4.2  ISA-88 Procedural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ISA-88 Element</w:t>
            </w:r>
          </w:p>
        </w:tc>
        <w:tc>
          <w:tcPr>
            <w:tcW w:type="dxa" w:w="22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UNS Segment</w:t>
            </w:r>
          </w:p>
        </w:tc>
        <w:tc>
          <w:tcPr>
            <w:tcW w:type="dxa" w:w="496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Procedure</w:t>
            </w:r>
          </w:p>
        </w:tc>
        <w:tc>
          <w:tcPr>
            <w:tcW w:type="dxa" w:w="2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(BatchID)</w:t>
            </w:r>
          </w:p>
        </w:tc>
        <w:tc>
          <w:tcPr>
            <w:tcW w:type="dxa" w:w="49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Top-level recipe execution — maps to batch ID</w:t>
            </w:r>
          </w:p>
        </w:tc>
      </w:tr>
      <w:tr>
        <w:tc>
          <w:tcPr>
            <w:tcW w:type="dxa" w:w="22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Unit Procedure</w:t>
            </w:r>
          </w:p>
        </w:tc>
        <w:tc>
          <w:tcPr>
            <w:tcW w:type="dxa" w:w="22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(Unit)</w:t>
            </w:r>
          </w:p>
        </w:tc>
        <w:tc>
          <w:tcPr>
            <w:tcW w:type="dxa" w:w="49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Execution on a specific equipment unit</w:t>
            </w:r>
          </w:p>
        </w:tc>
      </w:tr>
      <w:tr>
        <w:tc>
          <w:tcPr>
            <w:tcW w:type="dxa" w:w="2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Operation</w:t>
            </w:r>
          </w:p>
        </w:tc>
        <w:tc>
          <w:tcPr>
            <w:tcW w:type="dxa" w:w="22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w:t>
            </w:r>
          </w:p>
        </w:tc>
        <w:tc>
          <w:tcPr>
            <w:tcW w:type="dxa" w:w="49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Major step within the unit procedure</w:t>
            </w:r>
          </w:p>
        </w:tc>
      </w:tr>
      <w:tr>
        <w:tc>
          <w:tcPr>
            <w:tcW w:type="dxa" w:w="22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w:t>
            </w:r>
          </w:p>
        </w:tc>
        <w:tc>
          <w:tcPr>
            <w:tcW w:type="dxa" w:w="22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{SubPhase}</w:t>
            </w:r>
          </w:p>
        </w:tc>
        <w:tc>
          <w:tcPr>
            <w:tcW w:type="dxa" w:w="49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Atomic control step (e.g., Ramp, Hold, Transfer)</w:t>
            </w:r>
          </w:p>
        </w:tc>
      </w:tr>
    </w:tbl>
    <w:p>
      <w:pPr>
        <w:pStyle w:val="Heading2"/>
        <w:spacing w:before="240" w:after="120"/>
      </w:pPr>
      <w:r>
        <w:rPr>
          <w:rFonts w:ascii="Arial" w:cs="Arial" w:eastAsia="Arial" w:hAnsi="Arial"/>
          <w:b/>
          <w:bCs/>
          <w:color w:val="2E6DA4"/>
          <w:sz w:val="26"/>
          <w:szCs w:val="26"/>
        </w:rPr>
        <w:t xml:space="preserve">4.3  Defined Phases — Bioreactor (Unit 250)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ISA-88 Phase</w:t>
            </w:r>
          </w:p>
        </w:tc>
        <w:tc>
          <w:tcPr>
            <w:tcW w:type="dxa" w:w="16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Typical Duration</w:t>
            </w:r>
          </w:p>
        </w:tc>
        <w:tc>
          <w:tcPr>
            <w:tcW w:type="dxa" w:w="536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Monitored Tags</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Charge</w:t>
            </w:r>
          </w:p>
        </w:tc>
        <w:tc>
          <w:tcPr>
            <w:tcW w:type="dxa" w:w="16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2–4 h</w:t>
            </w:r>
          </w:p>
        </w:tc>
        <w:tc>
          <w:tcPr>
            <w:tcW w:type="dxa" w:w="53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volume, temperature, agitation</w:t>
            </w:r>
          </w:p>
        </w:tc>
      </w:tr>
      <w:tr>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Sterilize</w:t>
            </w:r>
          </w:p>
        </w:tc>
        <w:tc>
          <w:tcPr>
            <w:tcW w:type="dxa" w:w="16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 h</w:t>
            </w:r>
          </w:p>
        </w:tc>
        <w:tc>
          <w:tcPr>
            <w:tcW w:type="dxa" w:w="53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temperature, pressure, hold_time</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Inoculation</w:t>
            </w:r>
          </w:p>
        </w:tc>
        <w:tc>
          <w:tcPr>
            <w:tcW w:type="dxa" w:w="16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0.5 h</w:t>
            </w:r>
          </w:p>
        </w:tc>
        <w:tc>
          <w:tcPr>
            <w:tcW w:type="dxa" w:w="53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volume_added, transfer_rate, temperature</w:t>
            </w:r>
          </w:p>
        </w:tc>
      </w:tr>
      <w:tr>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Growth</w:t>
            </w:r>
          </w:p>
        </w:tc>
        <w:tc>
          <w:tcPr>
            <w:tcW w:type="dxa" w:w="16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48–72 h</w:t>
            </w:r>
          </w:p>
        </w:tc>
        <w:tc>
          <w:tcPr>
            <w:tcW w:type="dxa" w:w="53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temperature, ph, dissolved_o2, agitation, co2_pct, cell_density</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FedBatch</w:t>
            </w:r>
          </w:p>
        </w:tc>
        <w:tc>
          <w:tcPr>
            <w:tcW w:type="dxa" w:w="16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96–168 h</w:t>
            </w:r>
          </w:p>
        </w:tc>
        <w:tc>
          <w:tcPr>
            <w:tcW w:type="dxa" w:w="53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temperature, ph, dissolved_o2, feed_rate, base_rate, viability</w:t>
            </w:r>
          </w:p>
        </w:tc>
      </w:tr>
      <w:tr>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Harvest</w:t>
            </w:r>
          </w:p>
        </w:tc>
        <w:tc>
          <w:tcPr>
            <w:tcW w:type="dxa" w:w="16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4–8 h</w:t>
            </w:r>
          </w:p>
        </w:tc>
        <w:tc>
          <w:tcPr>
            <w:tcW w:type="dxa" w:w="53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volume_harvested, transfer_rate, temperature</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CIP</w:t>
            </w:r>
          </w:p>
        </w:tc>
        <w:tc>
          <w:tcPr>
            <w:tcW w:type="dxa" w:w="16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2–3 h</w:t>
            </w:r>
          </w:p>
        </w:tc>
        <w:tc>
          <w:tcPr>
            <w:tcW w:type="dxa" w:w="53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caustic_concentration, rinse_conductivity, temperature</w:t>
            </w:r>
          </w:p>
        </w:tc>
      </w:tr>
    </w:tbl>
    <w:p>
      <w:pPr>
        <w:pStyle w:val="Heading2"/>
        <w:spacing w:before="240" w:after="120"/>
      </w:pPr>
      <w:r>
        <w:rPr>
          <w:rFonts w:ascii="Arial" w:cs="Arial" w:eastAsia="Arial" w:hAnsi="Arial"/>
          <w:b/>
          <w:bCs/>
          <w:color w:val="2E6DA4"/>
          <w:sz w:val="26"/>
          <w:szCs w:val="26"/>
        </w:rPr>
        <w:t xml:space="preserve">4.4  Defined Phases — TFF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ISA-88 Phase</w:t>
            </w:r>
          </w:p>
        </w:tc>
        <w:tc>
          <w:tcPr>
            <w:tcW w:type="dxa" w:w="16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Typical Duration</w:t>
            </w:r>
          </w:p>
        </w:tc>
        <w:tc>
          <w:tcPr>
            <w:tcW w:type="dxa" w:w="536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Monitored Tags</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Equilibration</w:t>
            </w:r>
          </w:p>
        </w:tc>
        <w:tc>
          <w:tcPr>
            <w:tcW w:type="dxa" w:w="16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0.5–1 h</w:t>
            </w:r>
          </w:p>
        </w:tc>
        <w:tc>
          <w:tcPr>
            <w:tcW w:type="dxa" w:w="53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feed_pressure, conductivity, flux</w:t>
            </w:r>
          </w:p>
        </w:tc>
      </w:tr>
      <w:tr>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Concentration</w:t>
            </w:r>
          </w:p>
        </w:tc>
        <w:tc>
          <w:tcPr>
            <w:tcW w:type="dxa" w:w="16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2–4 h</w:t>
            </w:r>
          </w:p>
        </w:tc>
        <w:tc>
          <w:tcPr>
            <w:tcW w:type="dxa" w:w="53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feed_pressure, retentate_pressure, tmp, flux</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Diafiltration</w:t>
            </w:r>
          </w:p>
        </w:tc>
        <w:tc>
          <w:tcPr>
            <w:tcW w:type="dxa" w:w="16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3–6 h</w:t>
            </w:r>
          </w:p>
        </w:tc>
        <w:tc>
          <w:tcPr>
            <w:tcW w:type="dxa" w:w="53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conductivity, ph, permeate_flow, dv_count</w:t>
            </w:r>
          </w:p>
        </w:tc>
      </w:tr>
      <w:tr>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Recovery</w:t>
            </w:r>
          </w:p>
        </w:tc>
        <w:tc>
          <w:tcPr>
            <w:tcW w:type="dxa" w:w="16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0.5 h</w:t>
            </w:r>
          </w:p>
        </w:tc>
        <w:tc>
          <w:tcPr>
            <w:tcW w:type="dxa" w:w="53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volume_recovered, pressure</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CIP</w:t>
            </w:r>
          </w:p>
        </w:tc>
        <w:tc>
          <w:tcPr>
            <w:tcW w:type="dxa" w:w="16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 h</w:t>
            </w:r>
          </w:p>
        </w:tc>
        <w:tc>
          <w:tcPr>
            <w:tcW w:type="dxa" w:w="53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caustic_flow, rinse_conductivity, temperature</w:t>
            </w:r>
          </w:p>
        </w:tc>
      </w:tr>
    </w:tbl>
    <w:p>
      <w:pPr>
        <w:pStyle w:val="Heading1"/>
        <w:spacing w:before="360" w:after="180"/>
      </w:pPr>
      <w:r>
        <w:rPr>
          <w:rFonts w:ascii="Arial" w:cs="Arial" w:eastAsia="Arial" w:hAnsi="Arial"/>
          <w:b/>
          <w:bCs/>
          <w:color w:val="1B3A6B"/>
          <w:sz w:val="32"/>
          <w:szCs w:val="32"/>
        </w:rPr>
        <w:t xml:space="preserve">5.  Full UNS Path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600"/>
        <w:gridCol w:w="2000"/>
      </w:tblGrid>
      <w:tr>
        <w:tc>
          <w:tcPr>
            <w:tcW w:type="dxa" w:w="576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Full UNS Path</w:t>
            </w:r>
          </w:p>
        </w:tc>
        <w:tc>
          <w:tcPr>
            <w:tcW w:type="dxa" w:w="16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Branch</w:t>
            </w:r>
          </w:p>
        </w:tc>
        <w:tc>
          <w:tcPr>
            <w:tcW w:type="dxa" w:w="20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 Tag</w:t>
            </w:r>
          </w:p>
        </w:tc>
      </w:tr>
      <w:tr>
        <w:tc>
          <w:tcPr>
            <w:tcW w:type="dxa" w:w="57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EnterpriseC/SiteA/process/bioprocess/Unit250/temperature</w:t>
            </w:r>
          </w:p>
        </w:tc>
        <w:tc>
          <w:tcPr>
            <w:tcW w:type="dxa" w:w="1600"/>
            <w:tcBorders>
              <w:top w:val="single" w:color="AECDE0" w:sz="1"/>
              <w:left w:val="single" w:color="AECDE0" w:sz="1"/>
              <w:bottom w:val="single" w:color="AECDE0" w:sz="1"/>
              <w:right w:val="single" w:color="AECDE0" w:sz="1"/>
            </w:tcBorders>
            <w:shd w:fill="D0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process</w:t>
            </w:r>
          </w:p>
        </w:tc>
        <w:tc>
          <w:tcPr>
            <w:tcW w:type="dxa" w:w="2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bioreactor_data.temperature_pv</w:t>
            </w:r>
          </w:p>
        </w:tc>
      </w:tr>
      <w:tr>
        <w:tc>
          <w:tcPr>
            <w:tcW w:type="dxa" w:w="57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EnterpriseC/SiteA/process/bioprocess/Unit250/ph</w:t>
            </w:r>
          </w:p>
        </w:tc>
        <w:tc>
          <w:tcPr>
            <w:tcW w:type="dxa" w:w="1600"/>
            <w:tcBorders>
              <w:top w:val="single" w:color="AECDE0" w:sz="1"/>
              <w:left w:val="single" w:color="AECDE0" w:sz="1"/>
              <w:bottom w:val="single" w:color="AECDE0" w:sz="1"/>
              <w:right w:val="single" w:color="AECDE0" w:sz="1"/>
            </w:tcBorders>
            <w:shd w:fill="D0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process</w:t>
            </w:r>
          </w:p>
        </w:tc>
        <w:tc>
          <w:tcPr>
            <w:tcW w:type="dxa" w:w="20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bioreactor_data.ph_pv</w:t>
            </w:r>
          </w:p>
        </w:tc>
      </w:tr>
      <w:tr>
        <w:tc>
          <w:tcPr>
            <w:tcW w:type="dxa" w:w="57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EnterpriseC/SiteA/process/bioprocess/Unit250/equipment_state</w:t>
            </w:r>
          </w:p>
        </w:tc>
        <w:tc>
          <w:tcPr>
            <w:tcW w:type="dxa" w:w="1600"/>
            <w:tcBorders>
              <w:top w:val="single" w:color="AECDE0" w:sz="1"/>
              <w:left w:val="single" w:color="AECDE0" w:sz="1"/>
              <w:bottom w:val="single" w:color="AECDE0" w:sz="1"/>
              <w:right w:val="single" w:color="AECDE0" w:sz="1"/>
            </w:tcBorders>
            <w:shd w:fill="D0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process</w:t>
            </w:r>
          </w:p>
        </w:tc>
        <w:tc>
          <w:tcPr>
            <w:tcW w:type="dxa" w:w="2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bioreactor_data.equipment_state</w:t>
            </w:r>
          </w:p>
        </w:tc>
      </w:tr>
      <w:tr>
        <w:tc>
          <w:tcPr>
            <w:tcW w:type="dxa" w:w="57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EnterpriseC/SiteA/batch/bioprocess/Unit250/B2024-250-001/Growth/temperature</w:t>
            </w:r>
          </w:p>
        </w:tc>
        <w:tc>
          <w:tcPr>
            <w:tcW w:type="dxa" w:w="1600"/>
            <w:tcBorders>
              <w:top w:val="single" w:color="AECDE0" w:sz="1"/>
              <w:left w:val="single" w:color="AECDE0" w:sz="1"/>
              <w:bottom w:val="single" w:color="AECDE0" w:sz="1"/>
              <w:right w:val="single" w:color="AECDE0" w:sz="1"/>
            </w:tcBorders>
            <w:shd w:fill="D6EF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batch</w:t>
            </w:r>
          </w:p>
        </w:tc>
        <w:tc>
          <w:tcPr>
            <w:tcW w:type="dxa" w:w="20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bioreactor_data.temperature_pv</w:t>
            </w:r>
          </w:p>
        </w:tc>
      </w:tr>
      <w:tr>
        <w:tc>
          <w:tcPr>
            <w:tcW w:type="dxa" w:w="57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EnterpriseC/SiteA/batch/bioprocess/Unit250/B2024-250-001/FedBatch/feed_rate</w:t>
            </w:r>
          </w:p>
        </w:tc>
        <w:tc>
          <w:tcPr>
            <w:tcW w:type="dxa" w:w="1600"/>
            <w:tcBorders>
              <w:top w:val="single" w:color="AECDE0" w:sz="1"/>
              <w:left w:val="single" w:color="AECDE0" w:sz="1"/>
              <w:bottom w:val="single" w:color="AECDE0" w:sz="1"/>
              <w:right w:val="single" w:color="AECDE0" w:sz="1"/>
            </w:tcBorders>
            <w:shd w:fill="D6EF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batch</w:t>
            </w:r>
          </w:p>
        </w:tc>
        <w:tc>
          <w:tcPr>
            <w:tcW w:type="dxa" w:w="2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bioreactor_data.feed_rate_pv</w:t>
            </w:r>
          </w:p>
        </w:tc>
      </w:tr>
      <w:tr>
        <w:tc>
          <w:tcPr>
            <w:tcW w:type="dxa" w:w="57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EnterpriseC/SiteA/process/tff/TFF260/tmp</w:t>
            </w:r>
          </w:p>
        </w:tc>
        <w:tc>
          <w:tcPr>
            <w:tcW w:type="dxa" w:w="1600"/>
            <w:tcBorders>
              <w:top w:val="single" w:color="AECDE0" w:sz="1"/>
              <w:left w:val="single" w:color="AECDE0" w:sz="1"/>
              <w:bottom w:val="single" w:color="AECDE0" w:sz="1"/>
              <w:right w:val="single" w:color="AECDE0" w:sz="1"/>
            </w:tcBorders>
            <w:shd w:fill="D0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process</w:t>
            </w:r>
          </w:p>
        </w:tc>
        <w:tc>
          <w:tcPr>
            <w:tcW w:type="dxa" w:w="20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tff_data.tmp_calculated</w:t>
            </w:r>
          </w:p>
        </w:tc>
      </w:tr>
      <w:tr>
        <w:tc>
          <w:tcPr>
            <w:tcW w:type="dxa" w:w="57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EnterpriseC/SiteA/batch/tff/TFF260/B2024-TFF-001/Concentration/flux</w:t>
            </w:r>
          </w:p>
        </w:tc>
        <w:tc>
          <w:tcPr>
            <w:tcW w:type="dxa" w:w="1600"/>
            <w:tcBorders>
              <w:top w:val="single" w:color="AECDE0" w:sz="1"/>
              <w:left w:val="single" w:color="AECDE0" w:sz="1"/>
              <w:bottom w:val="single" w:color="AECDE0" w:sz="1"/>
              <w:right w:val="single" w:color="AECDE0" w:sz="1"/>
            </w:tcBorders>
            <w:shd w:fill="D6EF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batch</w:t>
            </w:r>
          </w:p>
        </w:tc>
        <w:tc>
          <w:tcPr>
            <w:tcW w:type="dxa" w:w="2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tff_data.flux_pv</w:t>
            </w:r>
          </w:p>
        </w:tc>
      </w:tr>
      <w:tr>
        <w:tc>
          <w:tcPr>
            <w:tcW w:type="dxa" w:w="57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EnterpriseC/SiteA/process/utilities/WFI/conductivity</w:t>
            </w:r>
          </w:p>
        </w:tc>
        <w:tc>
          <w:tcPr>
            <w:tcW w:type="dxa" w:w="1600"/>
            <w:tcBorders>
              <w:top w:val="single" w:color="AECDE0" w:sz="1"/>
              <w:left w:val="single" w:color="AECDE0" w:sz="1"/>
              <w:bottom w:val="single" w:color="AECDE0" w:sz="1"/>
              <w:right w:val="single" w:color="AECDE0" w:sz="1"/>
            </w:tcBorders>
            <w:shd w:fill="D0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process</w:t>
            </w:r>
          </w:p>
        </w:tc>
        <w:tc>
          <w:tcPr>
            <w:tcW w:type="dxa" w:w="20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wfi_data.conductivity_pv</w:t>
            </w:r>
          </w:p>
        </w:tc>
      </w:tr>
      <w:tr>
        <w:tc>
          <w:tcPr>
            <w:tcW w:type="dxa" w:w="57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EnterpriseC/SiteA/events/bioprocess/Unit250/alarm</w:t>
            </w:r>
          </w:p>
        </w:tc>
        <w:tc>
          <w:tcPr>
            <w:tcW w:type="dxa" w:w="1600"/>
            <w:tcBorders>
              <w:top w:val="single" w:color="AECDE0" w:sz="1"/>
              <w:left w:val="single" w:color="AECDE0" w:sz="1"/>
              <w:bottom w:val="single" w:color="AECDE0" w:sz="1"/>
              <w:right w:val="single" w:color="AECDE0"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events</w:t>
            </w:r>
          </w:p>
        </w:tc>
        <w:tc>
          <w:tcPr>
            <w:tcW w:type="dxa" w:w="2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alarm_log.event_text</w:t>
            </w:r>
          </w:p>
        </w:tc>
      </w:tr>
    </w:tbl>
    <w:p>
      <w:pPr>
        <w:pStyle w:val="Heading1"/>
        <w:spacing w:before="360" w:after="180"/>
      </w:pPr>
      <w:r>
        <w:rPr>
          <w:rFonts w:ascii="Arial" w:cs="Arial" w:eastAsia="Arial" w:hAnsi="Arial"/>
          <w:b/>
          <w:bCs/>
          <w:color w:val="1B3A6B"/>
          <w:sz w:val="32"/>
          <w:szCs w:val="32"/>
        </w:rPr>
        <w:t xml:space="preserve">6.  AnyLog Historian Mapping</w:t>
      </w:r>
    </w:p>
    <w:p>
      <w:pPr>
        <w:spacing w:before="120" w:after="120"/>
        <w:jc w:val="left"/>
      </w:pPr>
      <w:r>
        <w:rPr>
          <w:rFonts w:ascii="Arial" w:cs="Arial" w:eastAsia="Arial" w:hAnsi="Arial"/>
          <w:color w:val="000000"/>
          <w:sz w:val="20"/>
          <w:szCs w:val="20"/>
        </w:rPr>
        <w:t xml:space="preserve">The AnyLog distributed historian stores data in a flat table structure. The UNS path is reconstructed at query time by combining the database name, table name, and tag column. The REST proxy injects the appropriate headers for each query type.</w:t>
      </w:r>
    </w:p>
    <w:p>
      <w:pPr>
        <w:pStyle w:val="Heading2"/>
        <w:spacing w:before="240" w:after="120"/>
      </w:pPr>
      <w:r>
        <w:rPr>
          <w:rFonts w:ascii="Arial" w:cs="Arial" w:eastAsia="Arial" w:hAnsi="Arial"/>
          <w:b/>
          <w:bCs/>
          <w:color w:val="2E6DA4"/>
          <w:sz w:val="26"/>
          <w:szCs w:val="26"/>
        </w:rPr>
        <w:t xml:space="preserve">6.1  Database / Table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UNS Area</w:t>
            </w:r>
          </w:p>
        </w:tc>
        <w:tc>
          <w:tcPr>
            <w:tcW w:type="dxa" w:w="24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AnyLog Database</w:t>
            </w:r>
          </w:p>
        </w:tc>
        <w:tc>
          <w:tcPr>
            <w:tcW w:type="dxa" w:w="456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Primary Tables</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bioprocess</w:t>
            </w:r>
          </w:p>
        </w:tc>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enterprise_c</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bioreactor_data, seed_data, media_data</w:t>
            </w:r>
          </w:p>
        </w:tc>
      </w:tr>
      <w:tr>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tff</w:t>
            </w:r>
          </w:p>
        </w:tc>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enterprise_c</w:t>
            </w:r>
          </w:p>
        </w:tc>
        <w:tc>
          <w:tcPr>
            <w:tcW w:type="dxa" w:w="45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tff_data</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formulation</w:t>
            </w:r>
          </w:p>
        </w:tc>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enterprise_c</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formulation_data</w:t>
            </w:r>
          </w:p>
        </w:tc>
      </w:tr>
      <w:tr>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fillfin</w:t>
            </w:r>
          </w:p>
        </w:tc>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enterprise_c</w:t>
            </w:r>
          </w:p>
        </w:tc>
        <w:tc>
          <w:tcPr>
            <w:tcW w:type="dxa" w:w="45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fillfin_data, lyophilizer_data</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utilities</w:t>
            </w:r>
          </w:p>
        </w:tc>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enterprise_c</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wfi_data, hvac_data, gas_data, chiller_data</w:t>
            </w:r>
          </w:p>
        </w:tc>
      </w:tr>
      <w:tr>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events</w:t>
            </w:r>
          </w:p>
        </w:tc>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enterprise_c</w:t>
            </w:r>
          </w:p>
        </w:tc>
        <w:tc>
          <w:tcPr>
            <w:tcW w:type="dxa" w:w="45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alarm_log, event_log, audit_log</w:t>
            </w:r>
          </w:p>
        </w:tc>
      </w:tr>
    </w:tbl>
    <w:p>
      <w:pPr>
        <w:pStyle w:val="Heading2"/>
        <w:spacing w:before="240" w:after="120"/>
      </w:pPr>
      <w:r>
        <w:rPr>
          <w:rFonts w:ascii="Arial" w:cs="Arial" w:eastAsia="Arial" w:hAnsi="Arial"/>
          <w:b/>
          <w:bCs/>
          <w:color w:val="2E6DA4"/>
          <w:sz w:val="26"/>
          <w:szCs w:val="26"/>
        </w:rPr>
        <w:t xml:space="preserve">6.2  REST Proxy Query Examples</w:t>
      </w:r>
    </w:p>
    <w:p>
      <w:pPr>
        <w:spacing w:before="120" w:after="120"/>
        <w:jc w:val="left"/>
      </w:pPr>
      <w:r>
        <w:rPr>
          <w:rFonts w:ascii="Arial" w:cs="Arial" w:eastAsia="Arial" w:hAnsi="Arial"/>
          <w:color w:val="000000"/>
          <w:sz w:val="20"/>
          <w:szCs w:val="20"/>
        </w:rPr>
        <w:t xml:space="preserve">Process query (via REST proxy) — no destination header override needed, network routing is automatic:</w:t>
      </w:r>
    </w:p>
    <w:p>
      <w:pPr>
        <w:spacing w:before="60" w:after="60"/>
        <w:ind w:left="720"/>
      </w:pPr>
      <w:r>
        <w:rPr>
          <w:rFonts w:ascii="Courier New" w:cs="Courier New" w:eastAsia="Courier New" w:hAnsi="Courier New"/>
          <w:color w:val="17697A"/>
          <w:sz w:val="18"/>
          <w:szCs w:val="18"/>
        </w:rPr>
        <w:t xml:space="preserve">POST /api/query</w:t>
      </w:r>
    </w:p>
    <w:p>
      <w:pPr>
        <w:spacing w:before="60" w:after="60"/>
        <w:ind w:left="720"/>
      </w:pPr>
      <w:r>
        <w:rPr>
          <w:rFonts w:ascii="Courier New" w:cs="Courier New" w:eastAsia="Courier New" w:hAnsi="Courier New"/>
          <w:color w:val="17697A"/>
          <w:sz w:val="18"/>
          <w:szCs w:val="18"/>
        </w:rPr>
        <w:t xml:space="preserve">{</w:t>
      </w:r>
    </w:p>
    <w:p>
      <w:pPr>
        <w:spacing w:before="60" w:after="60"/>
        <w:ind w:left="720"/>
      </w:pPr>
      <w:r>
        <w:rPr>
          <w:rFonts w:ascii="Courier New" w:cs="Courier New" w:eastAsia="Courier New" w:hAnsi="Courier New"/>
          <w:color w:val="17697A"/>
          <w:sz w:val="18"/>
          <w:szCs w:val="18"/>
        </w:rPr>
        <w:t xml:space="preserve">  "dbms": "enterprise_c",</w:t>
      </w:r>
    </w:p>
    <w:p>
      <w:pPr>
        <w:spacing w:before="60" w:after="60"/>
        <w:ind w:left="720"/>
      </w:pPr>
      <w:r>
        <w:rPr>
          <w:rFonts w:ascii="Courier New" w:cs="Courier New" w:eastAsia="Courier New" w:hAnsi="Courier New"/>
          <w:color w:val="17697A"/>
          <w:sz w:val="18"/>
          <w:szCs w:val="18"/>
        </w:rPr>
        <w:t xml:space="preserve">  "sql":  "SELECT timestamp, temperature_pv, ph_pv, dissolved_o2</w:t>
      </w:r>
    </w:p>
    <w:p>
      <w:pPr>
        <w:spacing w:before="60" w:after="60"/>
        <w:ind w:left="720"/>
      </w:pPr>
      <w:r>
        <w:rPr>
          <w:rFonts w:ascii="Courier New" w:cs="Courier New" w:eastAsia="Courier New" w:hAnsi="Courier New"/>
          <w:color w:val="17697A"/>
          <w:sz w:val="18"/>
          <w:szCs w:val="18"/>
        </w:rPr>
        <w:t xml:space="preserve">          FROM bioreactor_data</w:t>
      </w:r>
    </w:p>
    <w:p>
      <w:pPr>
        <w:spacing w:before="60" w:after="60"/>
        <w:ind w:left="720"/>
      </w:pPr>
      <w:r>
        <w:rPr>
          <w:rFonts w:ascii="Courier New" w:cs="Courier New" w:eastAsia="Courier New" w:hAnsi="Courier New"/>
          <w:color w:val="17697A"/>
          <w:sz w:val="18"/>
          <w:szCs w:val="18"/>
        </w:rPr>
        <w:t xml:space="preserve">          WHERE unit_id = 'Unit250'</w:t>
      </w:r>
    </w:p>
    <w:p>
      <w:pPr>
        <w:spacing w:before="60" w:after="60"/>
        <w:ind w:left="720"/>
      </w:pPr>
      <w:r>
        <w:rPr>
          <w:rFonts w:ascii="Courier New" w:cs="Courier New" w:eastAsia="Courier New" w:hAnsi="Courier New"/>
          <w:color w:val="17697A"/>
          <w:sz w:val="18"/>
          <w:szCs w:val="18"/>
        </w:rPr>
        <w:t xml:space="preserve">          AND timestamp &gt;= NOW() - 1 hour</w:t>
      </w:r>
    </w:p>
    <w:p>
      <w:pPr>
        <w:spacing w:before="60" w:after="60"/>
        <w:ind w:left="720"/>
      </w:pPr>
      <w:r>
        <w:rPr>
          <w:rFonts w:ascii="Courier New" w:cs="Courier New" w:eastAsia="Courier New" w:hAnsi="Courier New"/>
          <w:color w:val="17697A"/>
          <w:sz w:val="18"/>
          <w:szCs w:val="18"/>
        </w:rPr>
        <w:t xml:space="preserve">          ORDER BY timestamp DESC"</w:t>
      </w:r>
    </w:p>
    <w:p>
      <w:pPr>
        <w:spacing w:before="60" w:after="60"/>
        <w:ind w:left="720"/>
      </w:pPr>
      <w:r>
        <w:rPr>
          <w:rFonts w:ascii="Courier New" w:cs="Courier New" w:eastAsia="Courier New" w:hAnsi="Courier New"/>
          <w:color w:val="17697A"/>
          <w:sz w:val="18"/>
          <w:szCs w:val="18"/>
        </w:rPr>
        <w:t xml:space="preserve">}</w:t>
      </w:r>
    </w:p>
    <w:p>
      <w:pPr>
        <w:spacing w:before="120" w:after="120"/>
        <w:jc w:val="left"/>
      </w:pPr>
      <w:r>
        <w:rPr>
          <w:rFonts w:ascii="Arial" w:cs="Arial" w:eastAsia="Arial" w:hAnsi="Arial"/>
          <w:color w:val="000000"/>
          <w:sz w:val="20"/>
          <w:szCs w:val="20"/>
        </w:rPr>
        <w:t xml:space="preserve">Batch-contextualised increment query:</w:t>
      </w:r>
    </w:p>
    <w:p>
      <w:pPr>
        <w:spacing w:before="60" w:after="60"/>
        <w:ind w:left="720"/>
      </w:pPr>
      <w:r>
        <w:rPr>
          <w:rFonts w:ascii="Courier New" w:cs="Courier New" w:eastAsia="Courier New" w:hAnsi="Courier New"/>
          <w:color w:val="17697A"/>
          <w:sz w:val="18"/>
          <w:szCs w:val="18"/>
        </w:rPr>
        <w:t xml:space="preserve">POST /api/query/increment</w:t>
      </w:r>
    </w:p>
    <w:p>
      <w:pPr>
        <w:spacing w:before="60" w:after="60"/>
        <w:ind w:left="720"/>
      </w:pPr>
      <w:r>
        <w:rPr>
          <w:rFonts w:ascii="Courier New" w:cs="Courier New" w:eastAsia="Courier New" w:hAnsi="Courier New"/>
          <w:color w:val="17697A"/>
          <w:sz w:val="18"/>
          <w:szCs w:val="18"/>
        </w:rPr>
        <w:t xml:space="preserve">{</w:t>
      </w:r>
    </w:p>
    <w:p>
      <w:pPr>
        <w:spacing w:before="60" w:after="60"/>
        <w:ind w:left="720"/>
      </w:pPr>
      <w:r>
        <w:rPr>
          <w:rFonts w:ascii="Courier New" w:cs="Courier New" w:eastAsia="Courier New" w:hAnsi="Courier New"/>
          <w:color w:val="17697A"/>
          <w:sz w:val="18"/>
          <w:szCs w:val="18"/>
        </w:rPr>
        <w:t xml:space="preserve">  "dbms":           "enterprise_c",</w:t>
      </w:r>
    </w:p>
    <w:p>
      <w:pPr>
        <w:spacing w:before="60" w:after="60"/>
        <w:ind w:left="720"/>
      </w:pPr>
      <w:r>
        <w:rPr>
          <w:rFonts w:ascii="Courier New" w:cs="Courier New" w:eastAsia="Courier New" w:hAnsi="Courier New"/>
          <w:color w:val="17697A"/>
          <w:sz w:val="18"/>
          <w:szCs w:val="18"/>
        </w:rPr>
        <w:t xml:space="preserve">  "table":          "bioreactor_data",</w:t>
      </w:r>
    </w:p>
    <w:p>
      <w:pPr>
        <w:spacing w:before="60" w:after="60"/>
        <w:ind w:left="720"/>
      </w:pPr>
      <w:r>
        <w:rPr>
          <w:rFonts w:ascii="Courier New" w:cs="Courier New" w:eastAsia="Courier New" w:hAnsi="Courier New"/>
          <w:color w:val="17697A"/>
          <w:sz w:val="18"/>
          <w:szCs w:val="18"/>
        </w:rPr>
        <w:t xml:space="preserve">  "timeColumn":     "timestamp",</w:t>
      </w:r>
    </w:p>
    <w:p>
      <w:pPr>
        <w:spacing w:before="60" w:after="60"/>
        <w:ind w:left="720"/>
      </w:pPr>
      <w:r>
        <w:rPr>
          <w:rFonts w:ascii="Courier New" w:cs="Courier New" w:eastAsia="Courier New" w:hAnsi="Courier New"/>
          <w:color w:val="17697A"/>
          <w:sz w:val="18"/>
          <w:szCs w:val="18"/>
        </w:rPr>
        <w:t xml:space="preserve">  "startTime":      "2024-01-15 00:00:00",</w:t>
      </w:r>
    </w:p>
    <w:p>
      <w:pPr>
        <w:spacing w:before="60" w:after="60"/>
        <w:ind w:left="720"/>
      </w:pPr>
      <w:r>
        <w:rPr>
          <w:rFonts w:ascii="Courier New" w:cs="Courier New" w:eastAsia="Courier New" w:hAnsi="Courier New"/>
          <w:color w:val="17697A"/>
          <w:sz w:val="18"/>
          <w:szCs w:val="18"/>
        </w:rPr>
        <w:t xml:space="preserve">  "endTime":        "2024-01-17 00:00:00",</w:t>
      </w:r>
    </w:p>
    <w:p>
      <w:pPr>
        <w:spacing w:before="60" w:after="60"/>
        <w:ind w:left="720"/>
      </w:pPr>
      <w:r>
        <w:rPr>
          <w:rFonts w:ascii="Courier New" w:cs="Courier New" w:eastAsia="Courier New" w:hAnsi="Courier New"/>
          <w:color w:val="17697A"/>
          <w:sz w:val="18"/>
          <w:szCs w:val="18"/>
        </w:rPr>
        <w:t xml:space="preserve">  "timeUnit":       "hour",</w:t>
      </w:r>
    </w:p>
    <w:p>
      <w:pPr>
        <w:spacing w:before="60" w:after="60"/>
        <w:ind w:left="720"/>
      </w:pPr>
      <w:r>
        <w:rPr>
          <w:rFonts w:ascii="Courier New" w:cs="Courier New" w:eastAsia="Courier New" w:hAnsi="Courier New"/>
          <w:color w:val="17697A"/>
          <w:sz w:val="18"/>
          <w:szCs w:val="18"/>
        </w:rPr>
        <w:t xml:space="preserve">  "intervalLength": 1,</w:t>
      </w:r>
    </w:p>
    <w:p>
      <w:pPr>
        <w:spacing w:before="60" w:after="60"/>
        <w:ind w:left="720"/>
      </w:pPr>
      <w:r>
        <w:rPr>
          <w:rFonts w:ascii="Courier New" w:cs="Courier New" w:eastAsia="Courier New" w:hAnsi="Courier New"/>
          <w:color w:val="17697A"/>
          <w:sz w:val="18"/>
          <w:szCs w:val="18"/>
        </w:rPr>
        <w:t xml:space="preserve">  "projections":    ["avg(temperature_pv)", "avg(ph_pv)", "avg(dissolved_o2)"]</w:t>
      </w:r>
    </w:p>
    <w:p>
      <w:pPr>
        <w:spacing w:before="60" w:after="60"/>
        <w:ind w:left="720"/>
      </w:pPr>
      <w:r>
        <w:rPr>
          <w:rFonts w:ascii="Courier New" w:cs="Courier New" w:eastAsia="Courier New" w:hAnsi="Courier New"/>
          <w:color w:val="17697A"/>
          <w:sz w:val="18"/>
          <w:szCs w:val="18"/>
        </w:rPr>
        <w:t xml:space="preserve">}</w:t>
      </w:r>
    </w:p>
    <w:p>
      <w:pPr>
        <w:pStyle w:val="Heading1"/>
        <w:spacing w:before="360" w:after="180"/>
      </w:pPr>
      <w:r>
        <w:rPr>
          <w:rFonts w:ascii="Arial" w:cs="Arial" w:eastAsia="Arial" w:hAnsi="Arial"/>
          <w:b/>
          <w:bCs/>
          <w:color w:val="1B3A6B"/>
          <w:sz w:val="32"/>
          <w:szCs w:val="32"/>
        </w:rPr>
        <w:t xml:space="preserve">7.  Naming Conventions</w:t>
      </w:r>
    </w:p>
    <w:p>
      <w:pPr>
        <w:pStyle w:val="Heading2"/>
        <w:spacing w:before="240" w:after="120"/>
      </w:pPr>
      <w:r>
        <w:rPr>
          <w:rFonts w:ascii="Arial" w:cs="Arial" w:eastAsia="Arial" w:hAnsi="Arial"/>
          <w:b/>
          <w:bCs/>
          <w:color w:val="2E6DA4"/>
          <w:sz w:val="26"/>
          <w:szCs w:val="26"/>
        </w:rPr>
        <w:t xml:space="preserve">7.1  Rules</w:t>
      </w:r>
    </w:p>
    <w:p>
      <w:pPr>
        <w:pStyle w:val="ListParagraph"/>
        <w:numPr>
          <w:ilvl w:val="0"/>
          <w:numId w:val="2"/>
        </w:numPr>
        <w:spacing w:before="40" w:after="40"/>
      </w:pPr>
      <w:r>
        <w:rPr>
          <w:rFonts w:ascii="Arial" w:cs="Arial" w:eastAsia="Arial" w:hAnsi="Arial"/>
          <w:sz w:val="20"/>
          <w:szCs w:val="20"/>
        </w:rPr>
        <w:t xml:space="preserve">All path segments use lowercase_snake_case</w:t>
      </w:r>
    </w:p>
    <w:p>
      <w:pPr>
        <w:pStyle w:val="ListParagraph"/>
        <w:numPr>
          <w:ilvl w:val="0"/>
          <w:numId w:val="2"/>
        </w:numPr>
        <w:spacing w:before="40" w:after="40"/>
      </w:pPr>
      <w:r>
        <w:rPr>
          <w:rFonts w:ascii="Arial" w:cs="Arial" w:eastAsia="Arial" w:hAnsi="Arial"/>
          <w:sz w:val="20"/>
          <w:szCs w:val="20"/>
        </w:rPr>
        <w:t xml:space="preserve">Abbreviations are standardised and listed in Section 7.2</w:t>
      </w:r>
    </w:p>
    <w:p>
      <w:pPr>
        <w:pStyle w:val="ListParagraph"/>
        <w:numPr>
          <w:ilvl w:val="0"/>
          <w:numId w:val="2"/>
        </w:numPr>
        <w:spacing w:before="40" w:after="40"/>
      </w:pPr>
      <w:r>
        <w:rPr>
          <w:rFonts w:ascii="Arial" w:cs="Arial" w:eastAsia="Arial" w:hAnsi="Arial"/>
          <w:sz w:val="20"/>
          <w:szCs w:val="20"/>
        </w:rPr>
        <w:t xml:space="preserve">Unit IDs preserve mixed case where they match physical asset tags (Unit250)</w:t>
      </w:r>
    </w:p>
    <w:p>
      <w:pPr>
        <w:pStyle w:val="ListParagraph"/>
        <w:numPr>
          <w:ilvl w:val="0"/>
          <w:numId w:val="2"/>
        </w:numPr>
        <w:spacing w:before="40" w:after="40"/>
      </w:pPr>
      <w:r>
        <w:rPr>
          <w:rFonts w:ascii="Arial" w:cs="Arial" w:eastAsia="Arial" w:hAnsi="Arial"/>
          <w:sz w:val="20"/>
          <w:szCs w:val="20"/>
        </w:rPr>
        <w:t xml:space="preserve">Batch IDs follow pattern: B{YYYY}-{UnitShort}-{SeqNo}  (e.g., B2024-250-001)</w:t>
      </w:r>
    </w:p>
    <w:p>
      <w:pPr>
        <w:pStyle w:val="ListParagraph"/>
        <w:numPr>
          <w:ilvl w:val="0"/>
          <w:numId w:val="2"/>
        </w:numPr>
        <w:spacing w:before="40" w:after="40"/>
      </w:pPr>
      <w:r>
        <w:rPr>
          <w:rFonts w:ascii="Arial" w:cs="Arial" w:eastAsia="Arial" w:hAnsi="Arial"/>
          <w:sz w:val="20"/>
          <w:szCs w:val="20"/>
        </w:rPr>
        <w:t xml:space="preserve">Numeric suffixes are zero-padded to 3 digits (Unit250, TFF260, FillLine01)</w:t>
      </w:r>
    </w:p>
    <w:p>
      <w:pPr>
        <w:pStyle w:val="ListParagraph"/>
        <w:numPr>
          <w:ilvl w:val="0"/>
          <w:numId w:val="2"/>
        </w:numPr>
        <w:spacing w:before="40" w:after="40"/>
      </w:pPr>
      <w:r>
        <w:rPr>
          <w:rFonts w:ascii="Arial" w:cs="Arial" w:eastAsia="Arial" w:hAnsi="Arial"/>
          <w:sz w:val="20"/>
          <w:szCs w:val="20"/>
        </w:rPr>
        <w:t xml:space="preserve">Paths must not exceed 256 characters</w:t>
      </w:r>
    </w:p>
    <w:p>
      <w:pPr>
        <w:pStyle w:val="ListParagraph"/>
        <w:numPr>
          <w:ilvl w:val="0"/>
          <w:numId w:val="2"/>
        </w:numPr>
        <w:spacing w:before="40" w:after="40"/>
      </w:pPr>
      <w:r>
        <w:rPr>
          <w:rFonts w:ascii="Arial" w:cs="Arial" w:eastAsia="Arial" w:hAnsi="Arial"/>
          <w:sz w:val="20"/>
          <w:szCs w:val="20"/>
        </w:rPr>
        <w:t xml:space="preserve">Reserved words: process, batch, events, meta — do not use as unit or tag names</w:t>
      </w:r>
    </w:p>
    <w:p>
      <w:pPr>
        <w:pStyle w:val="Heading2"/>
        <w:spacing w:before="240" w:after="120"/>
      </w:pPr>
      <w:r>
        <w:rPr>
          <w:rFonts w:ascii="Arial" w:cs="Arial" w:eastAsia="Arial" w:hAnsi="Arial"/>
          <w:b/>
          <w:bCs/>
          <w:color w:val="2E6DA4"/>
          <w:sz w:val="26"/>
          <w:szCs w:val="26"/>
        </w:rPr>
        <w:t xml:space="preserve">7.2  Standardised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Abbreviation</w:t>
            </w:r>
          </w:p>
        </w:tc>
        <w:tc>
          <w:tcPr>
            <w:tcW w:type="dxa" w:w="24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Full Term</w:t>
            </w:r>
          </w:p>
        </w:tc>
        <w:tc>
          <w:tcPr>
            <w:tcW w:type="dxa" w:w="456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Usage Context</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pv</w:t>
            </w:r>
          </w:p>
        </w:tc>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Process Variable</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Live sensor reading tag suffix</w:t>
            </w:r>
          </w:p>
        </w:tc>
      </w:tr>
      <w:tr>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sp</w:t>
            </w:r>
          </w:p>
        </w:tc>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Setpoint</w:t>
            </w:r>
          </w:p>
        </w:tc>
        <w:tc>
          <w:tcPr>
            <w:tcW w:type="dxa" w:w="45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Control setpoint tag suffix</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w:t>
            </w:r>
          </w:p>
        </w:tc>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Dissolved Oxygen</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Bioreactor dissolved oxygen sensor</w:t>
            </w:r>
          </w:p>
        </w:tc>
      </w:tr>
      <w:tr>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tmp</w:t>
            </w:r>
          </w:p>
        </w:tc>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Trans-Membrane Press</w:t>
            </w:r>
          </w:p>
        </w:tc>
        <w:tc>
          <w:tcPr>
            <w:tcW w:type="dxa" w:w="45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TFF derived pressure tag</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tff</w:t>
            </w:r>
          </w:p>
        </w:tc>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Tangential Flow Filt</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Process area prefix</w:t>
            </w:r>
          </w:p>
        </w:tc>
      </w:tr>
      <w:tr>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wfi</w:t>
            </w:r>
          </w:p>
        </w:tc>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Water For Injection</w:t>
            </w:r>
          </w:p>
        </w:tc>
        <w:tc>
          <w:tcPr>
            <w:tcW w:type="dxa" w:w="45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Utility area</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cip</w:t>
            </w:r>
          </w:p>
        </w:tc>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Clean-In-Place</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ISA-88 phase name</w:t>
            </w:r>
          </w:p>
        </w:tc>
      </w:tr>
      <w:tr>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cst</w:t>
            </w:r>
          </w:p>
        </w:tc>
        <w:tc>
          <w:tcPr>
            <w:tcW w:type="dxa" w:w="24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Clean Steam</w:t>
            </w:r>
          </w:p>
        </w:tc>
        <w:tc>
          <w:tcPr>
            <w:tcW w:type="dxa" w:w="45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Utility area</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fillfin</w:t>
            </w:r>
          </w:p>
        </w:tc>
        <w:tc>
          <w:tcPr>
            <w:tcW w:type="dxa" w:w="24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Fill and Finish</w:t>
            </w:r>
          </w:p>
        </w:tc>
        <w:tc>
          <w:tcPr>
            <w:tcW w:type="dxa" w:w="45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Process area prefix</w:t>
            </w:r>
          </w:p>
        </w:tc>
      </w:tr>
    </w:tbl>
    <w:p>
      <w:pPr>
        <w:pStyle w:val="Heading1"/>
        <w:spacing w:before="360" w:after="180"/>
      </w:pPr>
      <w:r>
        <w:rPr>
          <w:rFonts w:ascii="Arial" w:cs="Arial" w:eastAsia="Arial" w:hAnsi="Arial"/>
          <w:b/>
          <w:bCs/>
          <w:color w:val="1B3A6B"/>
          <w:sz w:val="32"/>
          <w:szCs w:val="32"/>
        </w:rPr>
        <w:t xml:space="preserve">8.  Open Items  &amp;  Validation</w:t>
      </w:r>
    </w:p>
    <w:p>
      <w:pPr>
        <w:spacing w:before="120" w:after="120"/>
        <w:jc w:val="left"/>
      </w:pPr>
      <w:r>
        <w:rPr>
          <w:rFonts w:ascii="Arial" w:cs="Arial" w:eastAsia="Arial" w:hAnsi="Arial"/>
          <w:color w:val="7A4F0D"/>
          <w:sz w:val="20"/>
          <w:szCs w:val="20"/>
        </w:rPr>
        <w:t xml:space="preserve">The following items must be validated against live AnyLog data before this specification is finalised: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360"/>
        <w:gridCol w:w="2400"/>
      </w:tblGrid>
      <w:tr>
        <w:tc>
          <w:tcPr>
            <w:tcW w:type="dxa" w:w="6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40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Item</w:t>
            </w:r>
          </w:p>
        </w:tc>
        <w:tc>
          <w:tcPr>
            <w:tcW w:type="dxa" w:w="236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c>
          <w:tcPr>
            <w:tcW w:type="dxa" w:w="2400"/>
            <w:tcBorders>
              <w:top w:val="single" w:color="AECDE0" w:sz="1"/>
              <w:left w:val="single" w:color="AECDE0" w:sz="1"/>
              <w:bottom w:val="single" w:color="AECDE0" w:sz="1"/>
              <w:right w:val="single" w:color="AECDE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6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4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Confirm actual AnyLog database name(s) via REST proxy /api/databases</w:t>
            </w:r>
          </w:p>
        </w:tc>
        <w:tc>
          <w:tcPr>
            <w:tcW w:type="dxa" w:w="23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AnyLog / Mark</w:t>
            </w:r>
          </w:p>
        </w:tc>
        <w:tc>
          <w:tcPr>
            <w:tcW w:type="dxa" w:w="2400"/>
            <w:tcBorders>
              <w:top w:val="single" w:color="AECDE0" w:sz="1"/>
              <w:left w:val="single" w:color="AECDE0" w:sz="1"/>
              <w:bottom w:val="single" w:color="AECDE0" w:sz="1"/>
              <w:right w:val="single" w:color="AECDE0" w:sz="1"/>
            </w:tcBorders>
            <w:shd w:fill="FFF3CD" w:val="clear"/>
            <w:tcMar>
              <w:top w:type="dxa" w:w="80"/>
              <w:left w:type="dxa" w:w="120"/>
              <w:bottom w:type="dxa" w:w="80"/>
              <w:right w:type="dxa" w:w="120"/>
            </w:tcMar>
            <w:vAlign w:val="center"/>
          </w:tcPr>
          <w:p>
            <w:pPr>
              <w:jc w:val="left"/>
            </w:pPr>
            <w:r>
              <w:rPr>
                <w:rFonts w:ascii="Arial" w:cs="Arial" w:eastAsia="Arial" w:hAnsi="Arial"/>
                <w:b/>
                <w:bCs/>
                <w:color w:val="7A4F0D"/>
                <w:sz w:val="18"/>
                <w:szCs w:val="18"/>
              </w:rPr>
              <w:t xml:space="preserve">Open</w:t>
            </w:r>
          </w:p>
        </w:tc>
      </w:tr>
      <w:tr>
        <w:tc>
          <w:tcPr>
            <w:tcW w:type="dxa" w:w="6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40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Enumerate all tables and confirm mapping to UNS areas</w:t>
            </w:r>
          </w:p>
        </w:tc>
        <w:tc>
          <w:tcPr>
            <w:tcW w:type="dxa" w:w="23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AnyLog / Mark</w:t>
            </w:r>
          </w:p>
        </w:tc>
        <w:tc>
          <w:tcPr>
            <w:tcW w:type="dxa" w:w="2400"/>
            <w:tcBorders>
              <w:top w:val="single" w:color="AECDE0" w:sz="1"/>
              <w:left w:val="single" w:color="AECDE0" w:sz="1"/>
              <w:bottom w:val="single" w:color="AECDE0" w:sz="1"/>
              <w:right w:val="single" w:color="AECDE0" w:sz="1"/>
            </w:tcBorders>
            <w:shd w:fill="FFF3CD" w:val="clear"/>
            <w:tcMar>
              <w:top w:type="dxa" w:w="80"/>
              <w:left w:type="dxa" w:w="120"/>
              <w:bottom w:type="dxa" w:w="80"/>
              <w:right w:type="dxa" w:w="120"/>
            </w:tcMar>
            <w:vAlign w:val="center"/>
          </w:tcPr>
          <w:p>
            <w:pPr>
              <w:jc w:val="left"/>
            </w:pPr>
            <w:r>
              <w:rPr>
                <w:rFonts w:ascii="Arial" w:cs="Arial" w:eastAsia="Arial" w:hAnsi="Arial"/>
                <w:b/>
                <w:bCs/>
                <w:color w:val="7A4F0D"/>
                <w:sz w:val="18"/>
                <w:szCs w:val="18"/>
              </w:rPr>
              <w:t xml:space="preserve">Open</w:t>
            </w:r>
          </w:p>
        </w:tc>
      </w:tr>
      <w:tr>
        <w:tc>
          <w:tcPr>
            <w:tcW w:type="dxa" w:w="6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4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 column names match tag names in this spec</w:t>
            </w:r>
          </w:p>
        </w:tc>
        <w:tc>
          <w:tcPr>
            <w:tcW w:type="dxa" w:w="23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AnyLog / Mark</w:t>
            </w:r>
          </w:p>
        </w:tc>
        <w:tc>
          <w:tcPr>
            <w:tcW w:type="dxa" w:w="2400"/>
            <w:tcBorders>
              <w:top w:val="single" w:color="AECDE0" w:sz="1"/>
              <w:left w:val="single" w:color="AECDE0" w:sz="1"/>
              <w:bottom w:val="single" w:color="AECDE0" w:sz="1"/>
              <w:right w:val="single" w:color="AECDE0" w:sz="1"/>
            </w:tcBorders>
            <w:shd w:fill="FFF3CD" w:val="clear"/>
            <w:tcMar>
              <w:top w:type="dxa" w:w="80"/>
              <w:left w:type="dxa" w:w="120"/>
              <w:bottom w:type="dxa" w:w="80"/>
              <w:right w:type="dxa" w:w="120"/>
            </w:tcMar>
            <w:vAlign w:val="center"/>
          </w:tcPr>
          <w:p>
            <w:pPr>
              <w:jc w:val="left"/>
            </w:pPr>
            <w:r>
              <w:rPr>
                <w:rFonts w:ascii="Arial" w:cs="Arial" w:eastAsia="Arial" w:hAnsi="Arial"/>
                <w:b/>
                <w:bCs/>
                <w:color w:val="7A4F0D"/>
                <w:sz w:val="18"/>
                <w:szCs w:val="18"/>
              </w:rPr>
              <w:t xml:space="preserve">Open</w:t>
            </w:r>
          </w:p>
        </w:tc>
      </w:tr>
      <w:tr>
        <w:tc>
          <w:tcPr>
            <w:tcW w:type="dxa" w:w="6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40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Confirm batch_id column exists in bioreactor_data and tff_data</w:t>
            </w:r>
          </w:p>
        </w:tc>
        <w:tc>
          <w:tcPr>
            <w:tcW w:type="dxa" w:w="23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Mark</w:t>
            </w:r>
          </w:p>
        </w:tc>
        <w:tc>
          <w:tcPr>
            <w:tcW w:type="dxa" w:w="2400"/>
            <w:tcBorders>
              <w:top w:val="single" w:color="AECDE0" w:sz="1"/>
              <w:left w:val="single" w:color="AECDE0" w:sz="1"/>
              <w:bottom w:val="single" w:color="AECDE0" w:sz="1"/>
              <w:right w:val="single" w:color="AECDE0" w:sz="1"/>
            </w:tcBorders>
            <w:shd w:fill="FFF3CD" w:val="clear"/>
            <w:tcMar>
              <w:top w:type="dxa" w:w="80"/>
              <w:left w:type="dxa" w:w="120"/>
              <w:bottom w:type="dxa" w:w="80"/>
              <w:right w:type="dxa" w:w="120"/>
            </w:tcMar>
            <w:vAlign w:val="center"/>
          </w:tcPr>
          <w:p>
            <w:pPr>
              <w:jc w:val="left"/>
            </w:pPr>
            <w:r>
              <w:rPr>
                <w:rFonts w:ascii="Arial" w:cs="Arial" w:eastAsia="Arial" w:hAnsi="Arial"/>
                <w:b/>
                <w:bCs/>
                <w:color w:val="7A4F0D"/>
                <w:sz w:val="18"/>
                <w:szCs w:val="18"/>
              </w:rPr>
              <w:t xml:space="preserve">Open</w:t>
            </w:r>
          </w:p>
        </w:tc>
      </w:tr>
      <w:tr>
        <w:tc>
          <w:tcPr>
            <w:tcW w:type="dxa" w:w="6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400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Define formulation / fillfin tag namespaces (data not yet observed)</w:t>
            </w:r>
          </w:p>
        </w:tc>
        <w:tc>
          <w:tcPr>
            <w:tcW w:type="dxa" w:w="2360"/>
            <w:tcBorders>
              <w:top w:val="single" w:color="AECDE0" w:sz="1"/>
              <w:left w:val="single" w:color="AECDE0" w:sz="1"/>
              <w:bottom w:val="single" w:color="AECDE0" w:sz="1"/>
              <w:right w:val="single" w:color="AECD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Process Eng.</w:t>
            </w:r>
          </w:p>
        </w:tc>
        <w:tc>
          <w:tcPr>
            <w:tcW w:type="dxa" w:w="2400"/>
            <w:tcBorders>
              <w:top w:val="single" w:color="AECDE0" w:sz="1"/>
              <w:left w:val="single" w:color="AECDE0" w:sz="1"/>
              <w:bottom w:val="single" w:color="AECDE0" w:sz="1"/>
              <w:right w:val="single" w:color="AECDE0" w:sz="1"/>
            </w:tcBorders>
            <w:shd w:fill="FFF3CD" w:val="clear"/>
            <w:tcMar>
              <w:top w:type="dxa" w:w="80"/>
              <w:left w:type="dxa" w:w="120"/>
              <w:bottom w:type="dxa" w:w="80"/>
              <w:right w:type="dxa" w:w="120"/>
            </w:tcMar>
            <w:vAlign w:val="center"/>
          </w:tcPr>
          <w:p>
            <w:pPr>
              <w:jc w:val="left"/>
            </w:pPr>
            <w:r>
              <w:rPr>
                <w:rFonts w:ascii="Arial" w:cs="Arial" w:eastAsia="Arial" w:hAnsi="Arial"/>
                <w:b/>
                <w:bCs/>
                <w:color w:val="7A4F0D"/>
                <w:sz w:val="18"/>
                <w:szCs w:val="18"/>
              </w:rPr>
              <w:t xml:space="preserve">Open</w:t>
            </w:r>
          </w:p>
        </w:tc>
      </w:tr>
      <w:tr>
        <w:tc>
          <w:tcPr>
            <w:tcW w:type="dxa" w:w="6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400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Confirm timestamp duplication issue is resolved before batch path design finalised</w:t>
            </w:r>
          </w:p>
        </w:tc>
        <w:tc>
          <w:tcPr>
            <w:tcW w:type="dxa" w:w="2360"/>
            <w:tcBorders>
              <w:top w:val="single" w:color="AECDE0" w:sz="1"/>
              <w:left w:val="single" w:color="AECDE0" w:sz="1"/>
              <w:bottom w:val="single" w:color="AECDE0" w:sz="1"/>
              <w:right w:val="single" w:color="AECDE0" w:sz="1"/>
            </w:tcBorders>
            <w:shd w:fill="F4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Mark</w:t>
            </w:r>
          </w:p>
        </w:tc>
        <w:tc>
          <w:tcPr>
            <w:tcW w:type="dxa" w:w="2400"/>
            <w:tcBorders>
              <w:top w:val="single" w:color="AECDE0" w:sz="1"/>
              <w:left w:val="single" w:color="AECDE0" w:sz="1"/>
              <w:bottom w:val="single" w:color="AECDE0" w:sz="1"/>
              <w:right w:val="single" w:color="AECDE0" w:sz="1"/>
            </w:tcBorders>
            <w:shd w:fill="D0E4F7" w:val="clear"/>
            <w:tcMar>
              <w:top w:type="dxa" w:w="80"/>
              <w:left w:type="dxa" w:w="120"/>
              <w:bottom w:type="dxa" w:w="80"/>
              <w:right w:type="dxa" w:w="120"/>
            </w:tcMar>
            <w:vAlign w:val="center"/>
          </w:tcPr>
          <w:p>
            <w:pPr>
              <w:jc w:val="left"/>
            </w:pPr>
            <w:r>
              <w:rPr>
                <w:rFonts w:ascii="Arial" w:cs="Arial" w:eastAsia="Arial" w:hAnsi="Arial"/>
                <w:b/>
                <w:bCs/>
                <w:color w:val="2E6DA4"/>
                <w:sz w:val="18"/>
                <w:szCs w:val="18"/>
              </w:rPr>
              <w:t xml:space="preserve">In Progress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pBdr>
      <w:spacing w:before="8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CONFIDENTIAL  |  AnyLog Co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pBdr>
      <w:spacing w:after="80"/>
      <w:jc w:val="right"/>
    </w:pPr>
    <w:r>
      <w:rPr>
        <w:rFonts w:ascii="Arial" w:cs="Arial" w:eastAsia="Arial" w:hAnsi="Arial"/>
        <w:color w:val="2E6DA4"/>
        <w:sz w:val="16"/>
        <w:szCs w:val="16"/>
      </w:rPr>
      <w:t xml:space="preserve">Enterprise C  |  Unified Namespace Design  |  Biopharmaceutical Operations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6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6DA4"/>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769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2026-02-13T01:57:40.629Z</dcterms:created>
  <dcterms:modified xsi:type="dcterms:W3CDTF">2026-02-13T01:57:40.630Z</dcterms:modified>
</cp:coreProperties>
</file>

<file path=docProps/custom.xml><?xml version="1.0" encoding="utf-8"?>
<Properties xmlns="http://schemas.openxmlformats.org/officeDocument/2006/custom-properties" xmlns:vt="http://schemas.openxmlformats.org/officeDocument/2006/docPropsVTypes"/>
</file>