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Times New Roman" w:cs="Times New Roman" w:eastAsia="Times New Roman" w:hAnsi="Times New Roman"/>
          <w:b/>
          <w:bCs/>
          <w:color w:val="4A2458"/>
          <w:sz w:val="52"/>
          <w:szCs w:val="52"/>
        </w:rPr>
        <w:t xml:space="preserve">TANIA SPA</w:t>
      </w:r>
    </w:p>
    <w:p>
      <w:pPr>
        <w:spacing w:after="60"/>
        <w:jc w:val="center"/>
      </w:pPr>
      <w:r>
        <w:rPr>
          <w:rFonts w:ascii="Times New Roman" w:cs="Times New Roman" w:eastAsia="Times New Roman" w:hAnsi="Times New Roman"/>
          <w:i/>
          <w:iCs/>
          <w:color w:val="C06080"/>
          <w:sz w:val="26"/>
          <w:szCs w:val="26"/>
        </w:rPr>
        <w:t xml:space="preserve">Sistema de Gestión Integral</w:t>
      </w:r>
    </w:p>
    <w:p>
      <w:pPr>
        <w:spacing w:after="400"/>
      </w:pPr>
    </w:p>
    <w:p>
      <w:pPr>
        <w:spacing w:after="200" w:before="200"/>
        <w:jc w:val="center"/>
      </w:pPr>
      <w:r>
        <w:rPr>
          <w:rFonts w:ascii="Times New Roman" w:cs="Times New Roman" w:eastAsia="Times New Roman" w:hAnsi="Times New Roman"/>
          <w:color w:val="C06080"/>
          <w:sz w:val="22"/>
          <w:szCs w:val="22"/>
        </w:rPr>
        <w:t xml:space="preserve">— ✦ —</w:t>
      </w:r>
    </w:p>
    <w:p>
      <w:pPr>
        <w:spacing w:after="400"/>
      </w:pPr>
    </w:p>
    <w:p>
      <w:pPr>
        <w:spacing w:after="80"/>
        <w:jc w:val="center"/>
      </w:pPr>
      <w:r>
        <w:rPr>
          <w:rFonts w:ascii="Times New Roman" w:cs="Times New Roman" w:eastAsia="Times New Roman" w:hAnsi="Times New Roman"/>
          <w:b/>
          <w:bCs/>
          <w:color w:val="7C4D8A"/>
          <w:sz w:val="34"/>
          <w:szCs w:val="34"/>
        </w:rPr>
        <w:t xml:space="preserve">DOCUMENTACIÓN TÉCNICA</w:t>
      </w:r>
    </w:p>
    <w:p>
      <w:pPr>
        <w:spacing w:after="80"/>
        <w:jc w:val="center"/>
      </w:pPr>
      <w:r>
        <w:rPr>
          <w:rFonts w:ascii="Times New Roman" w:cs="Times New Roman" w:eastAsia="Times New Roman" w:hAnsi="Times New Roman"/>
          <w:i/>
          <w:iCs/>
          <w:color w:val="666666"/>
          <w:sz w:val="26"/>
          <w:szCs w:val="26"/>
        </w:rPr>
        <w:t xml:space="preserve">Fórmulas y Lógica de Cálculo del Sistema</w:t>
      </w:r>
    </w:p>
    <w:p>
      <w:pPr>
        <w:spacing w:after="1200"/>
      </w:pPr>
    </w:p>
    <w:p>
      <w:pPr>
        <w:spacing w:after="40"/>
        <w:jc w:val="center"/>
      </w:pPr>
      <w:r>
        <w:rPr>
          <w:rFonts w:ascii="Times New Roman" w:cs="Times New Roman" w:eastAsia="Times New Roman" w:hAnsi="Times New Roman"/>
          <w:color w:val="555555"/>
          <w:sz w:val="22"/>
          <w:szCs w:val="22"/>
        </w:rPr>
        <w:t xml:space="preserve">Módulos documentados:</w:t>
      </w:r>
    </w:p>
    <w:p>
      <w:pPr>
        <w:spacing w:after="30"/>
        <w:jc w:val="center"/>
      </w:pPr>
      <w:r>
        <w:rPr>
          <w:rFonts w:ascii="Times New Roman" w:cs="Times New Roman" w:eastAsia="Times New Roman" w:hAnsi="Times New Roman"/>
          <w:color w:val="4A2458"/>
          <w:sz w:val="22"/>
          <w:szCs w:val="22"/>
        </w:rPr>
        <w:t xml:space="preserve">I.   Comisiones del Personal</w:t>
      </w:r>
    </w:p>
    <w:p>
      <w:pPr>
        <w:spacing w:after="30"/>
        <w:jc w:val="center"/>
      </w:pPr>
      <w:r>
        <w:rPr>
          <w:rFonts w:ascii="Times New Roman" w:cs="Times New Roman" w:eastAsia="Times New Roman" w:hAnsi="Times New Roman"/>
          <w:color w:val="4A2458"/>
          <w:sz w:val="22"/>
          <w:szCs w:val="22"/>
        </w:rPr>
        <w:t xml:space="preserve">II.  Gestión de Inventario</w:t>
      </w:r>
    </w:p>
    <w:p>
      <w:pPr>
        <w:spacing w:after="30"/>
        <w:jc w:val="center"/>
      </w:pPr>
      <w:r>
        <w:rPr>
          <w:rFonts w:ascii="Times New Roman" w:cs="Times New Roman" w:eastAsia="Times New Roman" w:hAnsi="Times New Roman"/>
          <w:color w:val="4A2458"/>
          <w:sz w:val="22"/>
          <w:szCs w:val="22"/>
        </w:rPr>
        <w:t xml:space="preserve">III. Estadísticas y Análisis</w:t>
      </w:r>
    </w:p>
    <w:p>
      <w:pPr>
        <w:spacing w:after="30"/>
        <w:jc w:val="center"/>
      </w:pPr>
      <w:r>
        <w:rPr>
          <w:rFonts w:ascii="Times New Roman" w:cs="Times New Roman" w:eastAsia="Times New Roman" w:hAnsi="Times New Roman"/>
          <w:color w:val="4A2458"/>
          <w:sz w:val="22"/>
          <w:szCs w:val="22"/>
        </w:rPr>
        <w:t xml:space="preserve">IV.  Ingresos</w:t>
      </w:r>
    </w:p>
    <w:p>
      <w:pPr>
        <w:spacing w:after="1200"/>
      </w:pPr>
    </w:p>
    <w:p>
      <w:pPr>
        <w:jc w:val="center"/>
      </w:pPr>
      <w:r>
        <w:rPr>
          <w:rFonts w:ascii="Times New Roman" w:cs="Times New Roman" w:eastAsia="Times New Roman" w:hAnsi="Times New Roman"/>
          <w:i/>
          <w:iCs/>
          <w:color w:val="999999"/>
          <w:sz w:val="20"/>
          <w:szCs w:val="20"/>
        </w:rPr>
        <w:t xml:space="preserve">Versión 1.0  ·  Mayo 2026</w:t>
      </w:r>
    </w:p>
    <w:p>
      <w:pPr>
        <w:spacing w:after="800"/>
      </w:pPr>
    </w:p>
    <w:p>
      <w:pPr>
        <w:spacing w:after="200" w:before="200"/>
        <w:jc w:val="center"/>
      </w:pPr>
      <w:r>
        <w:rPr>
          <w:rFonts w:ascii="Times New Roman" w:cs="Times New Roman" w:eastAsia="Times New Roman" w:hAnsi="Times New Roman"/>
          <w:color w:val="C06080"/>
          <w:sz w:val="22"/>
          <w:szCs w:val="22"/>
        </w:rPr>
        <w:t xml:space="preserve">— ✦ —</w:t>
      </w:r>
    </w:p>
    <w:p>
      <w:r>
        <w:br w:type="page"/>
      </w:r>
    </w:p>
    <w:p>
      <w:pPr>
        <w:pStyle w:val="Heading1"/>
        <w:pBdr>
          <w:bottom w:val="single" w:color="7C4D8A" w:sz="6" w:space="4"/>
        </w:pBdr>
        <w:shd w:fill="F3F0F5" w:val="clear"/>
        <w:spacing w:after="160" w:before="360"/>
      </w:pPr>
      <w:r>
        <w:rPr>
          <w:rFonts w:ascii="Times New Roman" w:cs="Times New Roman" w:eastAsia="Times New Roman" w:hAnsi="Times New Roman"/>
          <w:b/>
          <w:bCs/>
          <w:color w:val="4A2458"/>
          <w:sz w:val="32"/>
          <w:szCs w:val="32"/>
        </w:rPr>
        <w:t xml:space="preserve">  I. Módulo de Comisiones</w:t>
      </w:r>
    </w:p>
    <w:p>
      <w:pPr>
        <w:spacing w:after="120"/>
        <w:jc w:val="both"/>
      </w:pPr>
      <w:r>
        <w:rPr>
          <w:rFonts w:ascii="Times New Roman" w:cs="Times New Roman" w:eastAsia="Times New Roman" w:hAnsi="Times New Roman"/>
          <w:sz w:val="22"/>
          <w:szCs w:val="22"/>
        </w:rPr>
        <w:t xml:space="preserve">El módulo de comisiones permite calcular automáticamente el valor a pagar a cada esteticista por sus servicios realizados y los productos vendidos en un período determinado. El sistema admite porcentajes editables por fila, bonificaciones y descuentos para obtener el total final a liquidar.</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1.1  Comisión por Servicio</w:t>
      </w:r>
    </w:p>
    <w:p>
      <w:pPr>
        <w:spacing w:after="120"/>
        <w:jc w:val="both"/>
      </w:pPr>
      <w:r>
        <w:rPr>
          <w:rFonts w:ascii="Times New Roman" w:cs="Times New Roman" w:eastAsia="Times New Roman" w:hAnsi="Times New Roman"/>
          <w:sz w:val="22"/>
          <w:szCs w:val="22"/>
        </w:rPr>
        <w:t xml:space="preserve">La comisión generada por cada sesión o tratamiento realizado se calcula mediante la siguiente expresión:</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comisión = REDONDEAR( valor_servicio × (porcentaje / 100) )</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tblHeader/>
        </w:trPr>
        <w:tc>
          <w:tcPr>
            <w:shd w:fill="7C4D8A" w:val="clear"/>
          </w:tcPr>
          <w:p>
            <w:pPr>
              <w:jc w:val="center"/>
            </w:pPr>
            <w:r>
              <w:rPr>
                <w:rFonts w:ascii="Times New Roman" w:cs="Times New Roman" w:eastAsia="Times New Roman" w:hAnsi="Times New Roman"/>
                <w:b/>
                <w:bCs/>
                <w:color w:val="FFFFFF"/>
                <w:sz w:val="20"/>
                <w:szCs w:val="20"/>
              </w:rPr>
              <w:t xml:space="preserve">Elemento</w:t>
            </w:r>
          </w:p>
        </w:tc>
        <w:tc>
          <w:tcPr>
            <w:shd w:fill="7C4D8A" w:val="clear"/>
          </w:tcPr>
          <w:p>
            <w:pPr>
              <w:jc w:val="center"/>
            </w:pPr>
            <w:r>
              <w:rPr>
                <w:rFonts w:ascii="Times New Roman" w:cs="Times New Roman" w:eastAsia="Times New Roman" w:hAnsi="Times New Roman"/>
                <w:b/>
                <w:bCs/>
                <w:color w:val="FFFFFF"/>
                <w:sz w:val="20"/>
                <w:szCs w:val="20"/>
              </w:rPr>
              <w:t xml:space="preserve">Descripción</w:t>
            </w:r>
          </w:p>
        </w:tc>
        <w:tc>
          <w:tcPr>
            <w:shd w:fill="7C4D8A" w:val="clear"/>
          </w:tcPr>
          <w:p>
            <w:pPr>
              <w:jc w:val="center"/>
            </w:pPr>
            <w:r>
              <w:rPr>
                <w:rFonts w:ascii="Times New Roman" w:cs="Times New Roman" w:eastAsia="Times New Roman" w:hAnsi="Times New Roman"/>
                <w:b/>
                <w:bCs/>
                <w:color w:val="FFFFFF"/>
                <w:sz w:val="20"/>
                <w:szCs w:val="20"/>
              </w:rPr>
              <w:t xml:space="preserve">Valor por defecto</w:t>
            </w:r>
          </w:p>
        </w:tc>
      </w:tr>
      <w:tr>
        <w:tc>
          <w:tcPr>
            <w:shd w:fill="FFFFFF" w:val="clear"/>
          </w:tcPr>
          <w:p>
            <w:pPr>
              <w:jc w:val="left"/>
            </w:pPr>
            <w:r>
              <w:rPr>
                <w:rFonts w:ascii="Times New Roman" w:cs="Times New Roman" w:eastAsia="Times New Roman" w:hAnsi="Times New Roman"/>
                <w:sz w:val="20"/>
                <w:szCs w:val="20"/>
              </w:rPr>
              <w:t xml:space="preserve">valor_servicio</w:t>
            </w:r>
          </w:p>
        </w:tc>
        <w:tc>
          <w:tcPr>
            <w:shd w:fill="FFFFFF" w:val="clear"/>
          </w:tcPr>
          <w:p>
            <w:pPr>
              <w:jc w:val="left"/>
            </w:pPr>
            <w:r>
              <w:rPr>
                <w:rFonts w:ascii="Times New Roman" w:cs="Times New Roman" w:eastAsia="Times New Roman" w:hAnsi="Times New Roman"/>
                <w:sz w:val="20"/>
                <w:szCs w:val="20"/>
              </w:rPr>
              <w:t xml:space="preserve">Precio del tratamiento realizado. Se autocompleta desde la tabla de precios del sistema si el nombre coincide, o se ingresa manualmente.</w:t>
            </w:r>
          </w:p>
        </w:tc>
        <w:tc>
          <w:tcPr>
            <w:shd w:fill="FFFFFF" w:val="clear"/>
          </w:tcPr>
          <w:p>
            <w:pPr>
              <w:jc w:val="left"/>
            </w:pPr>
            <w:r>
              <w:rPr>
                <w:rFonts w:ascii="Times New Roman" w:cs="Times New Roman" w:eastAsia="Times New Roman" w:hAnsi="Times New Roman"/>
                <w:sz w:val="20"/>
                <w:szCs w:val="20"/>
              </w:rPr>
              <w:t xml:space="preserve">Automático / manual</w:t>
            </w:r>
          </w:p>
        </w:tc>
      </w:tr>
      <w:tr>
        <w:tc>
          <w:tcPr>
            <w:shd w:fill="F3F0F5" w:val="clear"/>
          </w:tcPr>
          <w:p>
            <w:pPr>
              <w:jc w:val="left"/>
            </w:pPr>
            <w:r>
              <w:rPr>
                <w:rFonts w:ascii="Times New Roman" w:cs="Times New Roman" w:eastAsia="Times New Roman" w:hAnsi="Times New Roman"/>
                <w:sz w:val="20"/>
                <w:szCs w:val="20"/>
              </w:rPr>
              <w:t xml:space="preserve">porcentaje</w:t>
            </w:r>
          </w:p>
        </w:tc>
        <w:tc>
          <w:tcPr>
            <w:shd w:fill="F3F0F5" w:val="clear"/>
          </w:tcPr>
          <w:p>
            <w:pPr>
              <w:jc w:val="left"/>
            </w:pPr>
            <w:r>
              <w:rPr>
                <w:rFonts w:ascii="Times New Roman" w:cs="Times New Roman" w:eastAsia="Times New Roman" w:hAnsi="Times New Roman"/>
                <w:sz w:val="20"/>
                <w:szCs w:val="20"/>
              </w:rPr>
              <w:t xml:space="preserve">Porcentaje de comisión aplicado sobre el valor del servicio. Es editable por fila.</w:t>
            </w:r>
          </w:p>
        </w:tc>
        <w:tc>
          <w:tcPr>
            <w:shd w:fill="F3F0F5" w:val="clear"/>
          </w:tcPr>
          <w:p>
            <w:pPr>
              <w:jc w:val="left"/>
            </w:pPr>
            <w:r>
              <w:rPr>
                <w:rFonts w:ascii="Times New Roman" w:cs="Times New Roman" w:eastAsia="Times New Roman" w:hAnsi="Times New Roman"/>
                <w:sz w:val="20"/>
                <w:szCs w:val="20"/>
              </w:rPr>
              <w:t xml:space="preserve">30 %</w:t>
            </w:r>
          </w:p>
        </w:tc>
      </w:tr>
      <w:tr>
        <w:tc>
          <w:tcPr>
            <w:shd w:fill="FFFFFF" w:val="clear"/>
          </w:tcPr>
          <w:p>
            <w:pPr>
              <w:jc w:val="left"/>
            </w:pPr>
            <w:r>
              <w:rPr>
                <w:rFonts w:ascii="Times New Roman" w:cs="Times New Roman" w:eastAsia="Times New Roman" w:hAnsi="Times New Roman"/>
                <w:sz w:val="20"/>
                <w:szCs w:val="20"/>
              </w:rPr>
              <w:t xml:space="preserve">REDONDEAR()</w:t>
            </w:r>
          </w:p>
        </w:tc>
        <w:tc>
          <w:tcPr>
            <w:shd w:fill="FFFFFF" w:val="clear"/>
          </w:tcPr>
          <w:p>
            <w:pPr>
              <w:jc w:val="left"/>
            </w:pPr>
            <w:r>
              <w:rPr>
                <w:rFonts w:ascii="Times New Roman" w:cs="Times New Roman" w:eastAsia="Times New Roman" w:hAnsi="Times New Roman"/>
                <w:sz w:val="20"/>
                <w:szCs w:val="20"/>
              </w:rPr>
              <w:t xml:space="preserve">Función que elimina decimales redondeando al entero más cercano.</w:t>
            </w:r>
          </w:p>
        </w:tc>
        <w:tc>
          <w:tcPr>
            <w:shd w:fill="FFFFFF" w:val="clear"/>
          </w:tcPr>
          <w:p>
            <w:pPr>
              <w:jc w:val="left"/>
            </w:pPr>
            <w:r>
              <w:rPr>
                <w:rFonts w:ascii="Times New Roman" w:cs="Times New Roman" w:eastAsia="Times New Roman" w:hAnsi="Times New Roman"/>
                <w:sz w:val="20"/>
                <w:szCs w:val="20"/>
              </w:rPr>
              <w:t xml:space="preserve">—</w:t>
            </w:r>
          </w:p>
        </w:tc>
      </w:tr>
    </w:tbl>
    <w:p>
      <w:pPr>
        <w:spacing w:after="160"/>
      </w:pPr>
    </w:p>
    <w:p>
      <w:pPr>
        <w:pBdr>
          <w:left w:val="single" w:color="C06080" w:sz="8" w:space="6"/>
        </w:pBdr>
        <w:shd w:fill="FFF5F8" w:val="clear"/>
        <w:spacing w:after="100" w:before="60"/>
        <w:ind w:left="360"/>
        <w:jc w:val="both"/>
      </w:pPr>
      <w:r>
        <w:rPr>
          <w:rFonts w:ascii="Times New Roman" w:cs="Times New Roman" w:eastAsia="Times New Roman" w:hAnsi="Times New Roman"/>
          <w:b/>
          <w:bCs/>
          <w:color w:val="C06080"/>
          <w:sz w:val="20"/>
          <w:szCs w:val="20"/>
        </w:rPr>
        <w:t xml:space="preserve">Nota: </w:t>
      </w:r>
      <w:r>
        <w:rPr>
          <w:rFonts w:ascii="Times New Roman" w:cs="Times New Roman" w:eastAsia="Times New Roman" w:hAnsi="Times New Roman"/>
          <w:i/>
          <w:iCs/>
          <w:color w:val="5A3050"/>
          <w:sz w:val="20"/>
          <w:szCs w:val="20"/>
        </w:rPr>
        <w:t xml:space="preserve">El porcentaje del 30 % es el valor por defecto al agregar una fila nueva. Puede modificarse en cualquier momento directamente en la tabla.</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1.2  Comisión por Venta de Producto</w:t>
      </w:r>
    </w:p>
    <w:p>
      <w:pPr>
        <w:spacing w:after="120"/>
        <w:jc w:val="both"/>
      </w:pPr>
      <w:r>
        <w:rPr>
          <w:rFonts w:ascii="Times New Roman" w:cs="Times New Roman" w:eastAsia="Times New Roman" w:hAnsi="Times New Roman"/>
          <w:sz w:val="22"/>
          <w:szCs w:val="22"/>
        </w:rPr>
        <w:t xml:space="preserve">Cuando la esteticista vende productos, la comisión se calcula teniendo en cuenta el precio unitario y la cantidad vendida:</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comisión = REDONDEAR( precio_unitario × cantidad × (porcentaje / 100) )</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tblHeader/>
        </w:trPr>
        <w:tc>
          <w:tcPr>
            <w:shd w:fill="7C4D8A" w:val="clear"/>
          </w:tcPr>
          <w:p>
            <w:pPr>
              <w:jc w:val="center"/>
            </w:pPr>
            <w:r>
              <w:rPr>
                <w:rFonts w:ascii="Times New Roman" w:cs="Times New Roman" w:eastAsia="Times New Roman" w:hAnsi="Times New Roman"/>
                <w:b/>
                <w:bCs/>
                <w:color w:val="FFFFFF"/>
                <w:sz w:val="20"/>
                <w:szCs w:val="20"/>
              </w:rPr>
              <w:t xml:space="preserve">Elemento</w:t>
            </w:r>
          </w:p>
        </w:tc>
        <w:tc>
          <w:tcPr>
            <w:shd w:fill="7C4D8A" w:val="clear"/>
          </w:tcPr>
          <w:p>
            <w:pPr>
              <w:jc w:val="center"/>
            </w:pPr>
            <w:r>
              <w:rPr>
                <w:rFonts w:ascii="Times New Roman" w:cs="Times New Roman" w:eastAsia="Times New Roman" w:hAnsi="Times New Roman"/>
                <w:b/>
                <w:bCs/>
                <w:color w:val="FFFFFF"/>
                <w:sz w:val="20"/>
                <w:szCs w:val="20"/>
              </w:rPr>
              <w:t xml:space="preserve">Descripción</w:t>
            </w:r>
          </w:p>
        </w:tc>
        <w:tc>
          <w:tcPr>
            <w:shd w:fill="7C4D8A" w:val="clear"/>
          </w:tcPr>
          <w:p>
            <w:pPr>
              <w:jc w:val="center"/>
            </w:pPr>
            <w:r>
              <w:rPr>
                <w:rFonts w:ascii="Times New Roman" w:cs="Times New Roman" w:eastAsia="Times New Roman" w:hAnsi="Times New Roman"/>
                <w:b/>
                <w:bCs/>
                <w:color w:val="FFFFFF"/>
                <w:sz w:val="20"/>
                <w:szCs w:val="20"/>
              </w:rPr>
              <w:t xml:space="preserve">Valor por defecto</w:t>
            </w:r>
          </w:p>
        </w:tc>
      </w:tr>
      <w:tr>
        <w:tc>
          <w:tcPr>
            <w:shd w:fill="FFFFFF" w:val="clear"/>
          </w:tcPr>
          <w:p>
            <w:pPr>
              <w:jc w:val="left"/>
            </w:pPr>
            <w:r>
              <w:rPr>
                <w:rFonts w:ascii="Times New Roman" w:cs="Times New Roman" w:eastAsia="Times New Roman" w:hAnsi="Times New Roman"/>
                <w:sz w:val="20"/>
                <w:szCs w:val="20"/>
              </w:rPr>
              <w:t xml:space="preserve">precio_unitario</w:t>
            </w:r>
          </w:p>
        </w:tc>
        <w:tc>
          <w:tcPr>
            <w:shd w:fill="FFFFFF" w:val="clear"/>
          </w:tcPr>
          <w:p>
            <w:pPr>
              <w:jc w:val="left"/>
            </w:pPr>
            <w:r>
              <w:rPr>
                <w:rFonts w:ascii="Times New Roman" w:cs="Times New Roman" w:eastAsia="Times New Roman" w:hAnsi="Times New Roman"/>
                <w:sz w:val="20"/>
                <w:szCs w:val="20"/>
              </w:rPr>
              <w:t xml:space="preserve">Precio de venta de una unidad del producto.</w:t>
            </w:r>
          </w:p>
        </w:tc>
        <w:tc>
          <w:tcPr>
            <w:shd w:fill="FFFFFF" w:val="clear"/>
          </w:tcPr>
          <w:p>
            <w:pPr>
              <w:jc w:val="left"/>
            </w:pPr>
            <w:r>
              <w:rPr>
                <w:rFonts w:ascii="Times New Roman" w:cs="Times New Roman" w:eastAsia="Times New Roman" w:hAnsi="Times New Roman"/>
                <w:sz w:val="20"/>
                <w:szCs w:val="20"/>
              </w:rPr>
              <w:t xml:space="preserve">Manual</w:t>
            </w:r>
          </w:p>
        </w:tc>
      </w:tr>
      <w:tr>
        <w:tc>
          <w:tcPr>
            <w:shd w:fill="F3F0F5" w:val="clear"/>
          </w:tcPr>
          <w:p>
            <w:pPr>
              <w:jc w:val="left"/>
            </w:pPr>
            <w:r>
              <w:rPr>
                <w:rFonts w:ascii="Times New Roman" w:cs="Times New Roman" w:eastAsia="Times New Roman" w:hAnsi="Times New Roman"/>
                <w:sz w:val="20"/>
                <w:szCs w:val="20"/>
              </w:rPr>
              <w:t xml:space="preserve">cantidad</w:t>
            </w:r>
          </w:p>
        </w:tc>
        <w:tc>
          <w:tcPr>
            <w:shd w:fill="F3F0F5" w:val="clear"/>
          </w:tcPr>
          <w:p>
            <w:pPr>
              <w:jc w:val="left"/>
            </w:pPr>
            <w:r>
              <w:rPr>
                <w:rFonts w:ascii="Times New Roman" w:cs="Times New Roman" w:eastAsia="Times New Roman" w:hAnsi="Times New Roman"/>
                <w:sz w:val="20"/>
                <w:szCs w:val="20"/>
              </w:rPr>
              <w:t xml:space="preserve">Número de unidades vendidas.</w:t>
            </w:r>
          </w:p>
        </w:tc>
        <w:tc>
          <w:tcPr>
            <w:shd w:fill="F3F0F5" w:val="clear"/>
          </w:tcPr>
          <w:p>
            <w:pPr>
              <w:jc w:val="left"/>
            </w:pPr>
            <w:r>
              <w:rPr>
                <w:rFonts w:ascii="Times New Roman" w:cs="Times New Roman" w:eastAsia="Times New Roman" w:hAnsi="Times New Roman"/>
                <w:sz w:val="20"/>
                <w:szCs w:val="20"/>
              </w:rPr>
              <w:t xml:space="preserve">1</w:t>
            </w:r>
          </w:p>
        </w:tc>
      </w:tr>
      <w:tr>
        <w:tc>
          <w:tcPr>
            <w:shd w:fill="FFFFFF" w:val="clear"/>
          </w:tcPr>
          <w:p>
            <w:pPr>
              <w:jc w:val="left"/>
            </w:pPr>
            <w:r>
              <w:rPr>
                <w:rFonts w:ascii="Times New Roman" w:cs="Times New Roman" w:eastAsia="Times New Roman" w:hAnsi="Times New Roman"/>
                <w:sz w:val="20"/>
                <w:szCs w:val="20"/>
              </w:rPr>
              <w:t xml:space="preserve">porcentaje</w:t>
            </w:r>
          </w:p>
        </w:tc>
        <w:tc>
          <w:tcPr>
            <w:shd w:fill="FFFFFF" w:val="clear"/>
          </w:tcPr>
          <w:p>
            <w:pPr>
              <w:jc w:val="left"/>
            </w:pPr>
            <w:r>
              <w:rPr>
                <w:rFonts w:ascii="Times New Roman" w:cs="Times New Roman" w:eastAsia="Times New Roman" w:hAnsi="Times New Roman"/>
                <w:sz w:val="20"/>
                <w:szCs w:val="20"/>
              </w:rPr>
              <w:t xml:space="preserve">Porcentaje de comisión aplicado sobre el valor total de la venta.</w:t>
            </w:r>
          </w:p>
        </w:tc>
        <w:tc>
          <w:tcPr>
            <w:shd w:fill="FFFFFF" w:val="clear"/>
          </w:tcPr>
          <w:p>
            <w:pPr>
              <w:jc w:val="left"/>
            </w:pPr>
            <w:r>
              <w:rPr>
                <w:rFonts w:ascii="Times New Roman" w:cs="Times New Roman" w:eastAsia="Times New Roman" w:hAnsi="Times New Roman"/>
                <w:sz w:val="20"/>
                <w:szCs w:val="20"/>
              </w:rPr>
              <w:t xml:space="preserve">15 %</w:t>
            </w:r>
          </w:p>
        </w:tc>
      </w:tr>
    </w:tbl>
    <w:p>
      <w:pPr>
        <w:spacing w:after="160"/>
      </w:pPr>
    </w:p>
    <w:p>
      <w:pPr>
        <w:pBdr>
          <w:left w:val="single" w:color="C06080" w:sz="8" w:space="6"/>
        </w:pBdr>
        <w:shd w:fill="FFF5F8" w:val="clear"/>
        <w:spacing w:after="100" w:before="60"/>
        <w:ind w:left="360"/>
        <w:jc w:val="both"/>
      </w:pPr>
      <w:r>
        <w:rPr>
          <w:rFonts w:ascii="Times New Roman" w:cs="Times New Roman" w:eastAsia="Times New Roman" w:hAnsi="Times New Roman"/>
          <w:b/>
          <w:bCs/>
          <w:color w:val="C06080"/>
          <w:sz w:val="20"/>
          <w:szCs w:val="20"/>
        </w:rPr>
        <w:t xml:space="preserve">Nota: </w:t>
      </w:r>
      <w:r>
        <w:rPr>
          <w:rFonts w:ascii="Times New Roman" w:cs="Times New Roman" w:eastAsia="Times New Roman" w:hAnsi="Times New Roman"/>
          <w:i/>
          <w:iCs/>
          <w:color w:val="5A3050"/>
          <w:sz w:val="20"/>
          <w:szCs w:val="20"/>
        </w:rPr>
        <w:t xml:space="preserve">El porcentaje del 15 % es el valor por defecto para productos. Es editable por fila.</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1.3  Resumen y Total a Pagar</w:t>
      </w:r>
    </w:p>
    <w:p>
      <w:pPr>
        <w:spacing w:after="120"/>
        <w:jc w:val="both"/>
      </w:pPr>
      <w:r>
        <w:rPr>
          <w:rFonts w:ascii="Times New Roman" w:cs="Times New Roman" w:eastAsia="Times New Roman" w:hAnsi="Times New Roman"/>
          <w:sz w:val="22"/>
          <w:szCs w:val="22"/>
        </w:rPr>
        <w:t xml:space="preserve">Una vez ingresadas todas las filas de servicios y productos, el sistema calcula automáticamente el resumen de la comisión:</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 servicios  = Σ comisión de cada fila de servicio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 productos  = Σ comisión de cada fila de producto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 comisiones = Total servicios + Total productos</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 a pagar    = MÁX( 0,  Total comisiones + Bonificaciones − Descuentos )</w:t>
      </w:r>
    </w:p>
    <w:p>
      <w:pPr>
        <w:spacing w:after="120"/>
      </w:pPr>
    </w:p>
    <w:p>
      <w:pPr>
        <w:spacing w:after="120"/>
        <w:jc w:val="both"/>
      </w:pPr>
      <w:r>
        <w:rPr>
          <w:rFonts w:ascii="Times New Roman" w:cs="Times New Roman" w:eastAsia="Times New Roman" w:hAnsi="Times New Roman"/>
          <w:sz w:val="22"/>
          <w:szCs w:val="22"/>
        </w:rPr>
        <w:t xml:space="preserve">Los campos Bonificaciones y Descuentos son de libre ingreso por parte de la gerencia. La función MÁX(0, …) garantiza que el total a pagar nunca sea un valor negativo.</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1.4  Código fuente — ubicación en el proyecto</w:t>
      </w:r>
    </w:p>
    <w:p>
      <w:pPr>
        <w:spacing w:after="120"/>
        <w:jc w:val="both"/>
      </w:pPr>
      <w:r>
        <w:rPr>
          <w:rFonts w:ascii="Times New Roman" w:cs="Times New Roman" w:eastAsia="Times New Roman" w:hAnsi="Times New Roman"/>
          <w:sz w:val="22"/>
          <w:szCs w:val="22"/>
        </w:rPr>
        <w:t xml:space="preserve">Las fórmulas se encuentran en el archivo Home/Home.Js en las siguientes funciones:</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updateFilaServicio()   → línea 2133</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autoValorServicio()    → línea 2142</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updateFilaProducto()   → línea 2151</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recalcularComision()   → líneas 2169 – 2178</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guardarComision()      → líneas 2186 – 2191</w:t>
      </w:r>
    </w:p>
    <w:p>
      <w:r>
        <w:br w:type="page"/>
      </w:r>
    </w:p>
    <w:p>
      <w:pPr>
        <w:pStyle w:val="Heading1"/>
        <w:pBdr>
          <w:bottom w:val="single" w:color="7C4D8A" w:sz="6" w:space="4"/>
        </w:pBdr>
        <w:shd w:fill="F3F0F5" w:val="clear"/>
        <w:spacing w:after="160" w:before="360"/>
      </w:pPr>
      <w:r>
        <w:rPr>
          <w:rFonts w:ascii="Times New Roman" w:cs="Times New Roman" w:eastAsia="Times New Roman" w:hAnsi="Times New Roman"/>
          <w:b/>
          <w:bCs/>
          <w:color w:val="4A2458"/>
          <w:sz w:val="32"/>
          <w:szCs w:val="32"/>
        </w:rPr>
        <w:t xml:space="preserve">  II. Módulo de Inventario</w:t>
      </w:r>
    </w:p>
    <w:p>
      <w:pPr>
        <w:spacing w:after="120"/>
        <w:jc w:val="both"/>
      </w:pPr>
      <w:r>
        <w:rPr>
          <w:rFonts w:ascii="Times New Roman" w:cs="Times New Roman" w:eastAsia="Times New Roman" w:hAnsi="Times New Roman"/>
          <w:sz w:val="22"/>
          <w:szCs w:val="22"/>
        </w:rPr>
        <w:t xml:space="preserve">El módulo de inventario gestiona los productos del spa: cremas, sueros, insumos y demás materiales. Registra cantidades, costos, puntos de reposición y fechas de vencimiento. El sistema genera alertas automáticas cuando un producto cae bajo el umbral mínimo o cuando su fecha de vencimiento se aproxima.</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2.1  Indicadores del Panel de 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tblHeader/>
        </w:trPr>
        <w:tc>
          <w:tcPr>
            <w:shd w:fill="7C4D8A" w:val="clear"/>
          </w:tcPr>
          <w:p>
            <w:pPr>
              <w:jc w:val="center"/>
            </w:pPr>
            <w:r>
              <w:rPr>
                <w:rFonts w:ascii="Times New Roman" w:cs="Times New Roman" w:eastAsia="Times New Roman" w:hAnsi="Times New Roman"/>
                <w:b/>
                <w:bCs/>
                <w:color w:val="FFFFFF"/>
                <w:sz w:val="20"/>
                <w:szCs w:val="20"/>
              </w:rPr>
              <w:t xml:space="preserve">Elemento</w:t>
            </w:r>
          </w:p>
        </w:tc>
        <w:tc>
          <w:tcPr>
            <w:shd w:fill="7C4D8A" w:val="clear"/>
          </w:tcPr>
          <w:p>
            <w:pPr>
              <w:jc w:val="center"/>
            </w:pPr>
            <w:r>
              <w:rPr>
                <w:rFonts w:ascii="Times New Roman" w:cs="Times New Roman" w:eastAsia="Times New Roman" w:hAnsi="Times New Roman"/>
                <w:b/>
                <w:bCs/>
                <w:color w:val="FFFFFF"/>
                <w:sz w:val="20"/>
                <w:szCs w:val="20"/>
              </w:rPr>
              <w:t xml:space="preserve">Descripción</w:t>
            </w:r>
          </w:p>
        </w:tc>
        <w:tc>
          <w:tcPr>
            <w:shd w:fill="7C4D8A" w:val="clear"/>
          </w:tcPr>
          <w:p>
            <w:pPr>
              <w:jc w:val="center"/>
            </w:pPr>
            <w:r>
              <w:rPr>
                <w:rFonts w:ascii="Times New Roman" w:cs="Times New Roman" w:eastAsia="Times New Roman" w:hAnsi="Times New Roman"/>
                <w:b/>
                <w:bCs/>
                <w:color w:val="FFFFFF"/>
                <w:sz w:val="20"/>
                <w:szCs w:val="20"/>
              </w:rPr>
              <w:t xml:space="preserve">Valor por defecto</w:t>
            </w:r>
          </w:p>
        </w:tc>
      </w:tr>
      <w:tr>
        <w:tc>
          <w:tcPr>
            <w:shd w:fill="FFFFFF" w:val="clear"/>
          </w:tcPr>
          <w:p>
            <w:pPr>
              <w:jc w:val="left"/>
            </w:pPr>
            <w:r>
              <w:rPr>
                <w:rFonts w:ascii="Times New Roman" w:cs="Times New Roman" w:eastAsia="Times New Roman" w:hAnsi="Times New Roman"/>
                <w:sz w:val="20"/>
                <w:szCs w:val="20"/>
              </w:rPr>
              <w:t xml:space="preserve">Total productos</w:t>
            </w:r>
          </w:p>
        </w:tc>
        <w:tc>
          <w:tcPr>
            <w:shd w:fill="FFFFFF" w:val="clear"/>
          </w:tcPr>
          <w:p>
            <w:pPr>
              <w:jc w:val="left"/>
            </w:pPr>
            <w:r>
              <w:rPr>
                <w:rFonts w:ascii="Times New Roman" w:cs="Times New Roman" w:eastAsia="Times New Roman" w:hAnsi="Times New Roman"/>
                <w:sz w:val="20"/>
                <w:szCs w:val="20"/>
              </w:rPr>
              <w:t xml:space="preserve">Conteo total de productos registrados en el inventario, sin importar su estado de stock.</w:t>
            </w:r>
          </w:p>
        </w:tc>
        <w:tc>
          <w:tcPr>
            <w:shd w:fill="FFFFFF" w:val="clear"/>
          </w:tcPr>
          <w:p>
            <w:pPr>
              <w:jc w:val="left"/>
            </w:pPr>
            <w:r>
              <w:rPr>
                <w:rFonts w:ascii="Times New Roman" w:cs="Times New Roman" w:eastAsia="Times New Roman" w:hAnsi="Times New Roman"/>
                <w:sz w:val="20"/>
                <w:szCs w:val="20"/>
              </w:rPr>
              <w:t xml:space="preserve">count( inventario )</w:t>
            </w:r>
          </w:p>
        </w:tc>
      </w:tr>
      <w:tr>
        <w:tc>
          <w:tcPr>
            <w:shd w:fill="F3F0F5" w:val="clear"/>
          </w:tcPr>
          <w:p>
            <w:pPr>
              <w:jc w:val="left"/>
            </w:pPr>
            <w:r>
              <w:rPr>
                <w:rFonts w:ascii="Times New Roman" w:cs="Times New Roman" w:eastAsia="Times New Roman" w:hAnsi="Times New Roman"/>
                <w:sz w:val="20"/>
                <w:szCs w:val="20"/>
              </w:rPr>
              <w:t xml:space="preserve">Bajo stock</w:t>
            </w:r>
          </w:p>
        </w:tc>
        <w:tc>
          <w:tcPr>
            <w:shd w:fill="F3F0F5" w:val="clear"/>
          </w:tcPr>
          <w:p>
            <w:pPr>
              <w:jc w:val="left"/>
            </w:pPr>
            <w:r>
              <w:rPr>
                <w:rFonts w:ascii="Times New Roman" w:cs="Times New Roman" w:eastAsia="Times New Roman" w:hAnsi="Times New Roman"/>
                <w:sz w:val="20"/>
                <w:szCs w:val="20"/>
              </w:rPr>
              <w:t xml:space="preserve">Conteo de productos cuya cantidad actual es igual o inferior al punto de reposición definido.</w:t>
            </w:r>
          </w:p>
        </w:tc>
        <w:tc>
          <w:tcPr>
            <w:shd w:fill="F3F0F5" w:val="clear"/>
          </w:tcPr>
          <w:p>
            <w:pPr>
              <w:jc w:val="left"/>
            </w:pPr>
            <w:r>
              <w:rPr>
                <w:rFonts w:ascii="Times New Roman" w:cs="Times New Roman" w:eastAsia="Times New Roman" w:hAnsi="Times New Roman"/>
                <w:sz w:val="20"/>
                <w:szCs w:val="20"/>
              </w:rPr>
              <w:t xml:space="preserve">count( cantidad ≤ puntoReposicion )</w:t>
            </w:r>
          </w:p>
        </w:tc>
      </w:tr>
      <w:tr>
        <w:tc>
          <w:tcPr>
            <w:shd w:fill="FFFFFF" w:val="clear"/>
          </w:tcPr>
          <w:p>
            <w:pPr>
              <w:jc w:val="left"/>
            </w:pPr>
            <w:r>
              <w:rPr>
                <w:rFonts w:ascii="Times New Roman" w:cs="Times New Roman" w:eastAsia="Times New Roman" w:hAnsi="Times New Roman"/>
                <w:sz w:val="20"/>
                <w:szCs w:val="20"/>
              </w:rPr>
              <w:t xml:space="preserve">Por vencer</w:t>
            </w:r>
          </w:p>
        </w:tc>
        <w:tc>
          <w:tcPr>
            <w:shd w:fill="FFFFFF" w:val="clear"/>
          </w:tcPr>
          <w:p>
            <w:pPr>
              <w:jc w:val="left"/>
            </w:pPr>
            <w:r>
              <w:rPr>
                <w:rFonts w:ascii="Times New Roman" w:cs="Times New Roman" w:eastAsia="Times New Roman" w:hAnsi="Times New Roman"/>
                <w:sz w:val="20"/>
                <w:szCs w:val="20"/>
              </w:rPr>
              <w:t xml:space="preserve">Conteo de productos cuya fecha de vencimiento se encuentra entre el día actual y los próximos 30 días.</w:t>
            </w:r>
          </w:p>
        </w:tc>
        <w:tc>
          <w:tcPr>
            <w:shd w:fill="FFFFFF" w:val="clear"/>
          </w:tcPr>
          <w:p>
            <w:pPr>
              <w:jc w:val="left"/>
            </w:pPr>
            <w:r>
              <w:rPr>
                <w:rFonts w:ascii="Times New Roman" w:cs="Times New Roman" w:eastAsia="Times New Roman" w:hAnsi="Times New Roman"/>
                <w:sz w:val="20"/>
                <w:szCs w:val="20"/>
              </w:rPr>
              <w:t xml:space="preserve">count( hoy ≤ fechaVenc ≤ hoy + 30 d )</w:t>
            </w:r>
          </w:p>
        </w:tc>
      </w:tr>
      <w:tr>
        <w:tc>
          <w:tcPr>
            <w:shd w:fill="F3F0F5" w:val="clear"/>
          </w:tcPr>
          <w:p>
            <w:pPr>
              <w:jc w:val="left"/>
            </w:pPr>
            <w:r>
              <w:rPr>
                <w:rFonts w:ascii="Times New Roman" w:cs="Times New Roman" w:eastAsia="Times New Roman" w:hAnsi="Times New Roman"/>
                <w:sz w:val="20"/>
                <w:szCs w:val="20"/>
              </w:rPr>
              <w:t xml:space="preserve">Valor total</w:t>
            </w:r>
          </w:p>
        </w:tc>
        <w:tc>
          <w:tcPr>
            <w:shd w:fill="F3F0F5" w:val="clear"/>
          </w:tcPr>
          <w:p>
            <w:pPr>
              <w:jc w:val="left"/>
            </w:pPr>
            <w:r>
              <w:rPr>
                <w:rFonts w:ascii="Times New Roman" w:cs="Times New Roman" w:eastAsia="Times New Roman" w:hAnsi="Times New Roman"/>
                <w:sz w:val="20"/>
                <w:szCs w:val="20"/>
              </w:rPr>
              <w:t xml:space="preserve">Suma del valor económico de todo el inventario: cantidad de cada producto multiplicada por su costo unitario.</w:t>
            </w:r>
          </w:p>
        </w:tc>
        <w:tc>
          <w:tcPr>
            <w:shd w:fill="F3F0F5" w:val="clear"/>
          </w:tcPr>
          <w:p>
            <w:pPr>
              <w:jc w:val="left"/>
            </w:pPr>
            <w:r>
              <w:rPr>
                <w:rFonts w:ascii="Times New Roman" w:cs="Times New Roman" w:eastAsia="Times New Roman" w:hAnsi="Times New Roman"/>
                <w:sz w:val="20"/>
                <w:szCs w:val="20"/>
              </w:rPr>
              <w:t xml:space="preserve">Σ ( cantidad × costoUnitario )</w:t>
            </w:r>
          </w:p>
        </w:tc>
      </w:tr>
    </w:tbl>
    <w:p>
      <w:pPr>
        <w:spacing w:after="160"/>
      </w:pPr>
    </w:p>
    <w:p>
      <w:pPr>
        <w:pStyle w:val="Heading2"/>
        <w:spacing w:after="100" w:before="240"/>
      </w:pPr>
      <w:r>
        <w:rPr>
          <w:rFonts w:ascii="Times New Roman" w:cs="Times New Roman" w:eastAsia="Times New Roman" w:hAnsi="Times New Roman"/>
          <w:b/>
          <w:bCs/>
          <w:color w:val="C06080"/>
          <w:sz w:val="26"/>
          <w:szCs w:val="26"/>
        </w:rPr>
        <w:t xml:space="preserve">2.2  Fórmulas en detalle</w:t>
      </w:r>
    </w:p>
    <w:p>
      <w:pPr>
        <w:spacing w:after="120"/>
        <w:jc w:val="both"/>
      </w:pPr>
      <w:r>
        <w:rPr>
          <w:rFonts w:ascii="Times New Roman" w:cs="Times New Roman" w:eastAsia="Times New Roman" w:hAnsi="Times New Roman"/>
          <w:sz w:val="22"/>
          <w:szCs w:val="22"/>
        </w:rPr>
        <w:t xml:space="preserve">Bajo stock — condición de alerta:</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bajoStock = inventario.filter( p  =&gt;  p.cantidad  &lt;=  p.puntoReposicion )</w:t>
      </w:r>
    </w:p>
    <w:p>
      <w:pPr>
        <w:spacing w:after="120"/>
      </w:pPr>
    </w:p>
    <w:p>
      <w:pPr>
        <w:spacing w:after="120"/>
        <w:jc w:val="both"/>
      </w:pPr>
      <w:r>
        <w:rPr>
          <w:rFonts w:ascii="Times New Roman" w:cs="Times New Roman" w:eastAsia="Times New Roman" w:hAnsi="Times New Roman"/>
          <w:sz w:val="22"/>
          <w:szCs w:val="22"/>
        </w:rPr>
        <w:t xml:space="preserve">Por vencer — ventana de 30 días a partir de hoy:</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const hoy  = new Date();</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const en30 = new Date(hoy);  en30.setDate( hoy.getDate() + 30 );</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porVencer  = inventario.filter( p =&gt; {</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if (!p.fechaVencimiento) return false;</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const fv = new Date(p.fechaVencimiento);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return fv &gt;= hoy  &amp;&amp;  fv &lt;= en30;</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w:t>
      </w:r>
    </w:p>
    <w:p>
      <w:pPr>
        <w:spacing w:after="120"/>
      </w:pPr>
    </w:p>
    <w:p>
      <w:pPr>
        <w:spacing w:after="120"/>
        <w:jc w:val="both"/>
      </w:pPr>
      <w:r>
        <w:rPr>
          <w:rFonts w:ascii="Times New Roman" w:cs="Times New Roman" w:eastAsia="Times New Roman" w:hAnsi="Times New Roman"/>
          <w:sz w:val="22"/>
          <w:szCs w:val="22"/>
        </w:rPr>
        <w:t xml:space="preserve">Valor total del inventario: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valorTotal = inventario.reduce( (s, p) =&gt; s + (p.cantidad * p.costoUnitario),  0 )</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2.3  Ajuste de Stock (Entradas y Salidas)</w:t>
      </w:r>
    </w:p>
    <w:p>
      <w:pPr>
        <w:spacing w:after="120"/>
        <w:jc w:val="both"/>
      </w:pPr>
      <w:r>
        <w:rPr>
          <w:rFonts w:ascii="Times New Roman" w:cs="Times New Roman" w:eastAsia="Times New Roman" w:hAnsi="Times New Roman"/>
          <w:sz w:val="22"/>
          <w:szCs w:val="22"/>
        </w:rPr>
        <w:t xml:space="preserve">El sistema permite registrar movimientos de stock positivos (entradas de mercancía) o negativos (salidas por uso o venta). La nueva cantidad se calcula así:</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nuevaCantidad = cantidadActual + delta</w:t>
      </w:r>
    </w:p>
    <w:p>
      <w:pPr>
        <w:spacing w:after="80"/>
      </w:pPr>
    </w:p>
    <w:p>
      <w:pPr>
        <w:spacing w:after="120"/>
        <w:jc w:val="both"/>
      </w:pPr>
      <w:r>
        <w:rPr>
          <w:rFonts w:ascii="Times New Roman" w:cs="Times New Roman" w:eastAsia="Times New Roman" w:hAnsi="Times New Roman"/>
          <w:sz w:val="22"/>
          <w:szCs w:val="22"/>
        </w:rPr>
        <w:t xml:space="preserve">Donde delta es el valor ingresado por el usuario: positivo para entradas, negativo para salidas. El sistema valida que la nueva cantidad no resulte negativa antes de guardar el cambio.</w:t>
      </w:r>
    </w:p>
    <w:p>
      <w:pPr>
        <w:spacing w:after="160"/>
      </w:pPr>
    </w:p>
    <w:p>
      <w:pPr>
        <w:pBdr>
          <w:left w:val="single" w:color="C06080" w:sz="8" w:space="6"/>
        </w:pBdr>
        <w:shd w:fill="FFF5F8" w:val="clear"/>
        <w:spacing w:after="100" w:before="60"/>
        <w:ind w:left="360"/>
        <w:jc w:val="both"/>
      </w:pPr>
      <w:r>
        <w:rPr>
          <w:rFonts w:ascii="Times New Roman" w:cs="Times New Roman" w:eastAsia="Times New Roman" w:hAnsi="Times New Roman"/>
          <w:b/>
          <w:bCs/>
          <w:color w:val="C06080"/>
          <w:sz w:val="20"/>
          <w:szCs w:val="20"/>
        </w:rPr>
        <w:t xml:space="preserve">Nota: </w:t>
      </w:r>
      <w:r>
        <w:rPr>
          <w:rFonts w:ascii="Times New Roman" w:cs="Times New Roman" w:eastAsia="Times New Roman" w:hAnsi="Times New Roman"/>
          <w:i/>
          <w:iCs/>
          <w:color w:val="5A3050"/>
          <w:sz w:val="20"/>
          <w:szCs w:val="20"/>
        </w:rPr>
        <w:t xml:space="preserve">Al cargar el módulo de inventario, el sistema evalúa automáticamente todos los productos y muestra un banner de alerta si hay uno o más productos en estado de bajo stock.</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2.4  Código fuente — ubicación en el proyecto</w:t>
      </w:r>
    </w:p>
    <w:p>
      <w:pPr>
        <w:spacing w:after="120"/>
        <w:jc w:val="both"/>
      </w:pPr>
      <w:r>
        <w:rPr>
          <w:rFonts w:ascii="Times New Roman" w:cs="Times New Roman" w:eastAsia="Times New Roman" w:hAnsi="Times New Roman"/>
          <w:sz w:val="22"/>
          <w:szCs w:val="22"/>
        </w:rPr>
        <w:t xml:space="preserve">Las fórmulas se encuentran en el archivo Home/Home.Js en las siguientes funciones:</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renderEstadosInventario()  → líneas 1795 – 1809</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confirmarAjusteStock()     → líneas 1963 – 1974</w:t>
      </w:r>
    </w:p>
    <w:p>
      <w:r>
        <w:br w:type="page"/>
      </w:r>
    </w:p>
    <w:p>
      <w:pPr>
        <w:pStyle w:val="Heading1"/>
        <w:pBdr>
          <w:bottom w:val="single" w:color="7C4D8A" w:sz="6" w:space="4"/>
        </w:pBdr>
        <w:shd w:fill="F3F0F5" w:val="clear"/>
        <w:spacing w:after="160" w:before="360"/>
      </w:pPr>
      <w:r>
        <w:rPr>
          <w:rFonts w:ascii="Times New Roman" w:cs="Times New Roman" w:eastAsia="Times New Roman" w:hAnsi="Times New Roman"/>
          <w:b/>
          <w:bCs/>
          <w:color w:val="4A2458"/>
          <w:sz w:val="32"/>
          <w:szCs w:val="32"/>
        </w:rPr>
        <w:t xml:space="preserve">  III. Módulo de Estadísticas</w:t>
      </w:r>
    </w:p>
    <w:p>
      <w:pPr>
        <w:spacing w:after="120"/>
        <w:jc w:val="both"/>
      </w:pPr>
      <w:r>
        <w:rPr>
          <w:rFonts w:ascii="Times New Roman" w:cs="Times New Roman" w:eastAsia="Times New Roman" w:hAnsi="Times New Roman"/>
          <w:sz w:val="22"/>
          <w:szCs w:val="22"/>
        </w:rPr>
        <w:t xml:space="preserve">El módulo de estadísticas proporciona una visión visual del rendimiento de cada esteticista mediante gráficas de tipo dona (doughnut). Cada gráfica muestra la distribución de los tratamientos realizados por la profesional, permitiendo identificar los servicios más demandados y el volumen de trabajo individual.</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3.1  Conteo de Tratamientos por Esteticista</w:t>
      </w:r>
    </w:p>
    <w:p>
      <w:pPr>
        <w:spacing w:after="120"/>
        <w:jc w:val="both"/>
      </w:pPr>
      <w:r>
        <w:rPr>
          <w:rFonts w:ascii="Times New Roman" w:cs="Times New Roman" w:eastAsia="Times New Roman" w:hAnsi="Times New Roman"/>
          <w:sz w:val="22"/>
          <w:szCs w:val="22"/>
        </w:rPr>
        <w:t xml:space="preserve">Para cada integrante del personal, el sistema filtra los registros que le corresponden y construye un conteo por tipo de tratamiento:</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Filtrar registros de la esteticista</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const regs = registros.filter( r  =&gt;  r.esteticista === p.nombre );</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Contar cuántas veces realizó cada tratamiento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const counts = {};</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regs.forEach( r =&gt; {</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counts[r.tratamiento] = ( counts[r.tratamiento] || 0 ) + 1;</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tblHeader/>
        </w:trPr>
        <w:tc>
          <w:tcPr>
            <w:shd w:fill="7C4D8A" w:val="clear"/>
          </w:tcPr>
          <w:p>
            <w:pPr>
              <w:jc w:val="center"/>
            </w:pPr>
            <w:r>
              <w:rPr>
                <w:rFonts w:ascii="Times New Roman" w:cs="Times New Roman" w:eastAsia="Times New Roman" w:hAnsi="Times New Roman"/>
                <w:b/>
                <w:bCs/>
                <w:color w:val="FFFFFF"/>
                <w:sz w:val="20"/>
                <w:szCs w:val="20"/>
              </w:rPr>
              <w:t xml:space="preserve">Elemento</w:t>
            </w:r>
          </w:p>
        </w:tc>
        <w:tc>
          <w:tcPr>
            <w:shd w:fill="7C4D8A" w:val="clear"/>
          </w:tcPr>
          <w:p>
            <w:pPr>
              <w:jc w:val="center"/>
            </w:pPr>
            <w:r>
              <w:rPr>
                <w:rFonts w:ascii="Times New Roman" w:cs="Times New Roman" w:eastAsia="Times New Roman" w:hAnsi="Times New Roman"/>
                <w:b/>
                <w:bCs/>
                <w:color w:val="FFFFFF"/>
                <w:sz w:val="20"/>
                <w:szCs w:val="20"/>
              </w:rPr>
              <w:t xml:space="preserve">Descripción</w:t>
            </w:r>
          </w:p>
        </w:tc>
        <w:tc>
          <w:tcPr>
            <w:shd w:fill="7C4D8A" w:val="clear"/>
          </w:tcPr>
          <w:p>
            <w:pPr>
              <w:jc w:val="center"/>
            </w:pPr>
            <w:r>
              <w:rPr>
                <w:rFonts w:ascii="Times New Roman" w:cs="Times New Roman" w:eastAsia="Times New Roman" w:hAnsi="Times New Roman"/>
                <w:b/>
                <w:bCs/>
                <w:color w:val="FFFFFF"/>
                <w:sz w:val="20"/>
                <w:szCs w:val="20"/>
              </w:rPr>
              <w:t xml:space="preserve">Valor por defecto</w:t>
            </w:r>
          </w:p>
        </w:tc>
      </w:tr>
      <w:tr>
        <w:tc>
          <w:tcPr>
            <w:shd w:fill="FFFFFF" w:val="clear"/>
          </w:tcPr>
          <w:p>
            <w:pPr>
              <w:jc w:val="left"/>
            </w:pPr>
            <w:r>
              <w:rPr>
                <w:rFonts w:ascii="Times New Roman" w:cs="Times New Roman" w:eastAsia="Times New Roman" w:hAnsi="Times New Roman"/>
                <w:sz w:val="20"/>
                <w:szCs w:val="20"/>
              </w:rPr>
              <w:t xml:space="preserve">counts[tratamiento]</w:t>
            </w:r>
          </w:p>
        </w:tc>
        <w:tc>
          <w:tcPr>
            <w:shd w:fill="FFFFFF" w:val="clear"/>
          </w:tcPr>
          <w:p>
            <w:pPr>
              <w:jc w:val="left"/>
            </w:pPr>
            <w:r>
              <w:rPr>
                <w:rFonts w:ascii="Times New Roman" w:cs="Times New Roman" w:eastAsia="Times New Roman" w:hAnsi="Times New Roman"/>
                <w:sz w:val="20"/>
                <w:szCs w:val="20"/>
              </w:rPr>
              <w:t xml:space="preserve">Número de veces que la esteticista registró ese tipo de tratamiento.</w:t>
            </w:r>
          </w:p>
        </w:tc>
        <w:tc>
          <w:tcPr>
            <w:shd w:fill="FFFFFF" w:val="clear"/>
          </w:tcPr>
          <w:p>
            <w:pPr>
              <w:jc w:val="left"/>
            </w:pPr>
            <w:r>
              <w:rPr>
                <w:rFonts w:ascii="Times New Roman" w:cs="Times New Roman" w:eastAsia="Times New Roman" w:hAnsi="Times New Roman"/>
                <w:sz w:val="20"/>
                <w:szCs w:val="20"/>
              </w:rPr>
              <w:t xml:space="preserve">Se calcula automáticamente</w:t>
            </w:r>
          </w:p>
        </w:tc>
      </w:tr>
      <w:tr>
        <w:tc>
          <w:tcPr>
            <w:shd w:fill="F3F0F5" w:val="clear"/>
          </w:tcPr>
          <w:p>
            <w:pPr>
              <w:jc w:val="left"/>
            </w:pPr>
            <w:r>
              <w:rPr>
                <w:rFonts w:ascii="Times New Roman" w:cs="Times New Roman" w:eastAsia="Times New Roman" w:hAnsi="Times New Roman"/>
                <w:sz w:val="20"/>
                <w:szCs w:val="20"/>
              </w:rPr>
              <w:t xml:space="preserve">labels</w:t>
            </w:r>
          </w:p>
        </w:tc>
        <w:tc>
          <w:tcPr>
            <w:shd w:fill="F3F0F5" w:val="clear"/>
          </w:tcPr>
          <w:p>
            <w:pPr>
              <w:jc w:val="left"/>
            </w:pPr>
            <w:r>
              <w:rPr>
                <w:rFonts w:ascii="Times New Roman" w:cs="Times New Roman" w:eastAsia="Times New Roman" w:hAnsi="Times New Roman"/>
                <w:sz w:val="20"/>
                <w:szCs w:val="20"/>
              </w:rPr>
              <w:t xml:space="preserve">Array con los nombres de los tratamientos únicos realizados.</w:t>
            </w:r>
          </w:p>
        </w:tc>
        <w:tc>
          <w:tcPr>
            <w:shd w:fill="F3F0F5" w:val="clear"/>
          </w:tcPr>
          <w:p>
            <w:pPr>
              <w:jc w:val="left"/>
            </w:pPr>
            <w:r>
              <w:rPr>
                <w:rFonts w:ascii="Times New Roman" w:cs="Times New Roman" w:eastAsia="Times New Roman" w:hAnsi="Times New Roman"/>
                <w:sz w:val="20"/>
                <w:szCs w:val="20"/>
              </w:rPr>
              <w:t xml:space="preserve">Object.keys(counts)</w:t>
            </w:r>
          </w:p>
        </w:tc>
      </w:tr>
      <w:tr>
        <w:tc>
          <w:tcPr>
            <w:shd w:fill="FFFFFF" w:val="clear"/>
          </w:tcPr>
          <w:p>
            <w:pPr>
              <w:jc w:val="left"/>
            </w:pPr>
            <w:r>
              <w:rPr>
                <w:rFonts w:ascii="Times New Roman" w:cs="Times New Roman" w:eastAsia="Times New Roman" w:hAnsi="Times New Roman"/>
                <w:sz w:val="20"/>
                <w:szCs w:val="20"/>
              </w:rPr>
              <w:t xml:space="preserve">data</w:t>
            </w:r>
          </w:p>
        </w:tc>
        <w:tc>
          <w:tcPr>
            <w:shd w:fill="FFFFFF" w:val="clear"/>
          </w:tcPr>
          <w:p>
            <w:pPr>
              <w:jc w:val="left"/>
            </w:pPr>
            <w:r>
              <w:rPr>
                <w:rFonts w:ascii="Times New Roman" w:cs="Times New Roman" w:eastAsia="Times New Roman" w:hAnsi="Times New Roman"/>
                <w:sz w:val="20"/>
                <w:szCs w:val="20"/>
              </w:rPr>
              <w:t xml:space="preserve">Array con la cantidad correspondiente a cada tratamiento.</w:t>
            </w:r>
          </w:p>
        </w:tc>
        <w:tc>
          <w:tcPr>
            <w:shd w:fill="FFFFFF" w:val="clear"/>
          </w:tcPr>
          <w:p>
            <w:pPr>
              <w:jc w:val="left"/>
            </w:pPr>
            <w:r>
              <w:rPr>
                <w:rFonts w:ascii="Times New Roman" w:cs="Times New Roman" w:eastAsia="Times New Roman" w:hAnsi="Times New Roman"/>
                <w:sz w:val="20"/>
                <w:szCs w:val="20"/>
              </w:rPr>
              <w:t xml:space="preserve">Object.values(counts)</w:t>
            </w:r>
          </w:p>
        </w:tc>
      </w:tr>
      <w:tr>
        <w:tc>
          <w:tcPr>
            <w:shd w:fill="F3F0F5" w:val="clear"/>
          </w:tcPr>
          <w:p>
            <w:pPr>
              <w:jc w:val="left"/>
            </w:pPr>
            <w:r>
              <w:rPr>
                <w:rFonts w:ascii="Times New Roman" w:cs="Times New Roman" w:eastAsia="Times New Roman" w:hAnsi="Times New Roman"/>
                <w:sz w:val="20"/>
                <w:szCs w:val="20"/>
              </w:rPr>
              <w:t xml:space="preserve">total</w:t>
            </w:r>
          </w:p>
        </w:tc>
        <w:tc>
          <w:tcPr>
            <w:shd w:fill="F3F0F5" w:val="clear"/>
          </w:tcPr>
          <w:p>
            <w:pPr>
              <w:jc w:val="left"/>
            </w:pPr>
            <w:r>
              <w:rPr>
                <w:rFonts w:ascii="Times New Roman" w:cs="Times New Roman" w:eastAsia="Times New Roman" w:hAnsi="Times New Roman"/>
                <w:sz w:val="20"/>
                <w:szCs w:val="20"/>
              </w:rPr>
              <w:t xml:space="preserve">Suma total de todas las sesiones registradas por esa esteticista.</w:t>
            </w:r>
          </w:p>
        </w:tc>
        <w:tc>
          <w:tcPr>
            <w:shd w:fill="F3F0F5" w:val="clear"/>
          </w:tcPr>
          <w:p>
            <w:pPr>
              <w:jc w:val="left"/>
            </w:pPr>
            <w:r>
              <w:rPr>
                <w:rFonts w:ascii="Times New Roman" w:cs="Times New Roman" w:eastAsia="Times New Roman" w:hAnsi="Times New Roman"/>
                <w:sz w:val="20"/>
                <w:szCs w:val="20"/>
              </w:rPr>
              <w:t xml:space="preserve">regs.length</w:t>
            </w:r>
          </w:p>
        </w:tc>
      </w:tr>
    </w:tbl>
    <w:p>
      <w:pPr>
        <w:spacing w:after="160"/>
      </w:pPr>
    </w:p>
    <w:p>
      <w:pPr>
        <w:pStyle w:val="Heading2"/>
        <w:spacing w:after="100" w:before="240"/>
      </w:pPr>
      <w:r>
        <w:rPr>
          <w:rFonts w:ascii="Times New Roman" w:cs="Times New Roman" w:eastAsia="Times New Roman" w:hAnsi="Times New Roman"/>
          <w:b/>
          <w:bCs/>
          <w:color w:val="C06080"/>
          <w:sz w:val="26"/>
          <w:szCs w:val="26"/>
        </w:rPr>
        <w:t xml:space="preserve">3.2  Gráfica de Dona (Doughnut Chart)</w:t>
      </w:r>
    </w:p>
    <w:p>
      <w:pPr>
        <w:spacing w:after="120"/>
        <w:jc w:val="both"/>
      </w:pPr>
      <w:r>
        <w:rPr>
          <w:rFonts w:ascii="Times New Roman" w:cs="Times New Roman" w:eastAsia="Times New Roman" w:hAnsi="Times New Roman"/>
          <w:sz w:val="22"/>
          <w:szCs w:val="22"/>
        </w:rPr>
        <w:t xml:space="preserve">La librería Chart.js recibe los arrays labels y data para construir la gráfica circular. Cada segmento representa un tratamiento y su tamaño es proporcional a la cantidad de veces realizado. En el centro de la gráfica se muestra el total de sesiones registradas.</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new Chart( canvas, {</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type: "doughnut",</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data: { labels, datasets: [{ data, backgroundColor: colors }] }</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w:t>
      </w:r>
    </w:p>
    <w:p>
      <w:pPr>
        <w:spacing w:after="160"/>
      </w:pPr>
    </w:p>
    <w:p>
      <w:pPr>
        <w:pBdr>
          <w:left w:val="single" w:color="C06080" w:sz="8" w:space="6"/>
        </w:pBdr>
        <w:shd w:fill="FFF5F8" w:val="clear"/>
        <w:spacing w:after="100" w:before="60"/>
        <w:ind w:left="360"/>
        <w:jc w:val="both"/>
      </w:pPr>
      <w:r>
        <w:rPr>
          <w:rFonts w:ascii="Times New Roman" w:cs="Times New Roman" w:eastAsia="Times New Roman" w:hAnsi="Times New Roman"/>
          <w:b/>
          <w:bCs/>
          <w:color w:val="C06080"/>
          <w:sz w:val="20"/>
          <w:szCs w:val="20"/>
        </w:rPr>
        <w:t xml:space="preserve">Nota: </w:t>
      </w:r>
      <w:r>
        <w:rPr>
          <w:rFonts w:ascii="Times New Roman" w:cs="Times New Roman" w:eastAsia="Times New Roman" w:hAnsi="Times New Roman"/>
          <w:i/>
          <w:iCs/>
          <w:color w:val="5A3050"/>
          <w:sz w:val="20"/>
          <w:szCs w:val="20"/>
        </w:rPr>
        <w:t xml:space="preserve">Si una esteticista no tiene registros, la gráfica no se renderiza y se muestra el mensaje "Sin registros aún".</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3.3  Código fuente — ubicación en el proyecto</w:t>
      </w:r>
    </w:p>
    <w:p>
      <w:pPr>
        <w:spacing w:after="120"/>
        <w:jc w:val="both"/>
      </w:pPr>
      <w:r>
        <w:rPr>
          <w:rFonts w:ascii="Times New Roman" w:cs="Times New Roman" w:eastAsia="Times New Roman" w:hAnsi="Times New Roman"/>
          <w:sz w:val="22"/>
          <w:szCs w:val="22"/>
        </w:rPr>
        <w:t xml:space="preserve">Las fórmulas se encuentran en el archivo Home/Home.Js en la siguiente función:</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renderEstadisticas()  → líneas 1003 – 1080</w:t>
      </w:r>
    </w:p>
    <w:p>
      <w:r>
        <w:br w:type="page"/>
      </w:r>
    </w:p>
    <w:p>
      <w:pPr>
        <w:pStyle w:val="Heading1"/>
        <w:pBdr>
          <w:bottom w:val="single" w:color="7C4D8A" w:sz="6" w:space="4"/>
        </w:pBdr>
        <w:shd w:fill="F3F0F5" w:val="clear"/>
        <w:spacing w:after="160" w:before="360"/>
      </w:pPr>
      <w:r>
        <w:rPr>
          <w:rFonts w:ascii="Times New Roman" w:cs="Times New Roman" w:eastAsia="Times New Roman" w:hAnsi="Times New Roman"/>
          <w:b/>
          <w:bCs/>
          <w:color w:val="4A2458"/>
          <w:sz w:val="32"/>
          <w:szCs w:val="32"/>
        </w:rPr>
        <w:t xml:space="preserve">  IV. Módulo de Ingresos</w:t>
      </w:r>
    </w:p>
    <w:p>
      <w:pPr>
        <w:spacing w:after="120"/>
        <w:jc w:val="both"/>
      </w:pPr>
      <w:r>
        <w:rPr>
          <w:rFonts w:ascii="Times New Roman" w:cs="Times New Roman" w:eastAsia="Times New Roman" w:hAnsi="Times New Roman"/>
          <w:sz w:val="22"/>
          <w:szCs w:val="22"/>
        </w:rPr>
        <w:t xml:space="preserve">El módulo de ingresos calcula y presenta los ingresos generados por el spa mes a mes, con comparación respecto al mes anterior y análisis de crecimiento. Los valores se obtienen a partir de una tabla de precios fijos definida en el sistema y los registros de tratamientos realizados.</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4.1  Ingresos del Mes Actual</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totalMes = Σ PRECIOS[tratamiento]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para cada registro cuya fecha pertenece al mes y año actuales</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4.2  Ingresos del Mes Anterior</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totalAnterior = Σ PRECIOS[tratamiento]</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               para cada registro del mes inmediatamente anterior</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4.3  Porcentaje de Crecimiento</w:t>
      </w:r>
    </w:p>
    <w:p>
      <w:pPr>
        <w:spacing w:after="120"/>
        <w:jc w:val="both"/>
      </w:pPr>
      <w:r>
        <w:rPr>
          <w:rFonts w:ascii="Times New Roman" w:cs="Times New Roman" w:eastAsia="Times New Roman" w:hAnsi="Times New Roman"/>
          <w:sz w:val="22"/>
          <w:szCs w:val="22"/>
        </w:rPr>
        <w:t xml:space="preserve">Compara el mes actual con el mes anterior para expresar la variación porcentual:</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crecimiento (%) = ((totalMes − totalAnterior) / totalAnterior) × 100</w:t>
      </w:r>
    </w:p>
    <w:p>
      <w:pPr>
        <w:spacing w:after="80"/>
      </w:pPr>
    </w:p>
    <w:p>
      <w:pPr>
        <w:pBdr>
          <w:left w:val="single" w:color="C06080" w:sz="8" w:space="6"/>
        </w:pBdr>
        <w:shd w:fill="FFF5F8" w:val="clear"/>
        <w:spacing w:after="100" w:before="60"/>
        <w:ind w:left="360"/>
        <w:jc w:val="both"/>
      </w:pPr>
      <w:r>
        <w:rPr>
          <w:rFonts w:ascii="Times New Roman" w:cs="Times New Roman" w:eastAsia="Times New Roman" w:hAnsi="Times New Roman"/>
          <w:b/>
          <w:bCs/>
          <w:color w:val="C06080"/>
          <w:sz w:val="20"/>
          <w:szCs w:val="20"/>
        </w:rPr>
        <w:t xml:space="preserve">Nota: </w:t>
      </w:r>
      <w:r>
        <w:rPr>
          <w:rFonts w:ascii="Times New Roman" w:cs="Times New Roman" w:eastAsia="Times New Roman" w:hAnsi="Times New Roman"/>
          <w:i/>
          <w:iCs/>
          <w:color w:val="5A3050"/>
          <w:sz w:val="20"/>
          <w:szCs w:val="20"/>
        </w:rPr>
        <w:t xml:space="preserve">Si el mes anterior no tiene ingresos registrados (totalAnterior = 0), el sistema muestra "—" en lugar de un porcentaje para evitar una división por cero.</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4.4  Promedio por Sesión</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promedioPorSesion = totalMes / cantidadDeSesionesDélMes</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4.5  Desglose por Tratamiento</w:t>
      </w:r>
    </w:p>
    <w:p>
      <w:pPr>
        <w:spacing w:after="120"/>
        <w:jc w:val="both"/>
      </w:pPr>
      <w:r>
        <w:rPr>
          <w:rFonts w:ascii="Times New Roman" w:cs="Times New Roman" w:eastAsia="Times New Roman" w:hAnsi="Times New Roman"/>
          <w:sz w:val="22"/>
          <w:szCs w:val="22"/>
        </w:rPr>
        <w:t xml:space="preserve">Dentro del panel de detalle, el sistema agrupa los registros del mes por tipo de tratamiento:</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totalPorTratamiento = PRECIOS[tratamiento] × vecesRealizado</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tblHeader/>
        </w:trPr>
        <w:tc>
          <w:tcPr>
            <w:shd w:fill="7C4D8A" w:val="clear"/>
          </w:tcPr>
          <w:p>
            <w:pPr>
              <w:jc w:val="center"/>
            </w:pPr>
            <w:r>
              <w:rPr>
                <w:rFonts w:ascii="Times New Roman" w:cs="Times New Roman" w:eastAsia="Times New Roman" w:hAnsi="Times New Roman"/>
                <w:b/>
                <w:bCs/>
                <w:color w:val="FFFFFF"/>
                <w:sz w:val="20"/>
                <w:szCs w:val="20"/>
              </w:rPr>
              <w:t xml:space="preserve">Elemento</w:t>
            </w:r>
          </w:p>
        </w:tc>
        <w:tc>
          <w:tcPr>
            <w:shd w:fill="7C4D8A" w:val="clear"/>
          </w:tcPr>
          <w:p>
            <w:pPr>
              <w:jc w:val="center"/>
            </w:pPr>
            <w:r>
              <w:rPr>
                <w:rFonts w:ascii="Times New Roman" w:cs="Times New Roman" w:eastAsia="Times New Roman" w:hAnsi="Times New Roman"/>
                <w:b/>
                <w:bCs/>
                <w:color w:val="FFFFFF"/>
                <w:sz w:val="20"/>
                <w:szCs w:val="20"/>
              </w:rPr>
              <w:t xml:space="preserve">Descripción</w:t>
            </w:r>
          </w:p>
        </w:tc>
        <w:tc>
          <w:tcPr>
            <w:shd w:fill="7C4D8A" w:val="clear"/>
          </w:tcPr>
          <w:p>
            <w:pPr>
              <w:jc w:val="center"/>
            </w:pPr>
            <w:r>
              <w:rPr>
                <w:rFonts w:ascii="Times New Roman" w:cs="Times New Roman" w:eastAsia="Times New Roman" w:hAnsi="Times New Roman"/>
                <w:b/>
                <w:bCs/>
                <w:color w:val="FFFFFF"/>
                <w:sz w:val="20"/>
                <w:szCs w:val="20"/>
              </w:rPr>
              <w:t xml:space="preserve">Valor por defecto</w:t>
            </w:r>
          </w:p>
        </w:tc>
      </w:tr>
      <w:tr>
        <w:tc>
          <w:tcPr>
            <w:shd w:fill="FFFFFF" w:val="clear"/>
          </w:tcPr>
          <w:p>
            <w:pPr>
              <w:jc w:val="left"/>
            </w:pPr>
            <w:r>
              <w:rPr>
                <w:rFonts w:ascii="Times New Roman" w:cs="Times New Roman" w:eastAsia="Times New Roman" w:hAnsi="Times New Roman"/>
                <w:sz w:val="20"/>
                <w:szCs w:val="20"/>
              </w:rPr>
              <w:t xml:space="preserve">PRECIOS[tratamiento]</w:t>
            </w:r>
          </w:p>
        </w:tc>
        <w:tc>
          <w:tcPr>
            <w:shd w:fill="FFFFFF" w:val="clear"/>
          </w:tcPr>
          <w:p>
            <w:pPr>
              <w:jc w:val="left"/>
            </w:pPr>
            <w:r>
              <w:rPr>
                <w:rFonts w:ascii="Times New Roman" w:cs="Times New Roman" w:eastAsia="Times New Roman" w:hAnsi="Times New Roman"/>
                <w:sz w:val="20"/>
                <w:szCs w:val="20"/>
              </w:rPr>
              <w:t xml:space="preserve">Precio fijo del tratamiento, definido en la tabla de precios del sistema.</w:t>
            </w:r>
          </w:p>
        </w:tc>
        <w:tc>
          <w:tcPr>
            <w:shd w:fill="FFFFFF" w:val="clear"/>
          </w:tcPr>
          <w:p>
            <w:pPr>
              <w:jc w:val="left"/>
            </w:pPr>
            <w:r>
              <w:rPr>
                <w:rFonts w:ascii="Times New Roman" w:cs="Times New Roman" w:eastAsia="Times New Roman" w:hAnsi="Times New Roman"/>
                <w:sz w:val="20"/>
                <w:szCs w:val="20"/>
              </w:rPr>
              <w:t xml:space="preserve">Tabla interna del sistema</w:t>
            </w:r>
          </w:p>
        </w:tc>
      </w:tr>
      <w:tr>
        <w:tc>
          <w:tcPr>
            <w:shd w:fill="F3F0F5" w:val="clear"/>
          </w:tcPr>
          <w:p>
            <w:pPr>
              <w:jc w:val="left"/>
            </w:pPr>
            <w:r>
              <w:rPr>
                <w:rFonts w:ascii="Times New Roman" w:cs="Times New Roman" w:eastAsia="Times New Roman" w:hAnsi="Times New Roman"/>
                <w:sz w:val="20"/>
                <w:szCs w:val="20"/>
              </w:rPr>
              <w:t xml:space="preserve">vecesRealizado</w:t>
            </w:r>
          </w:p>
        </w:tc>
        <w:tc>
          <w:tcPr>
            <w:shd w:fill="F3F0F5" w:val="clear"/>
          </w:tcPr>
          <w:p>
            <w:pPr>
              <w:jc w:val="left"/>
            </w:pPr>
            <w:r>
              <w:rPr>
                <w:rFonts w:ascii="Times New Roman" w:cs="Times New Roman" w:eastAsia="Times New Roman" w:hAnsi="Times New Roman"/>
                <w:sz w:val="20"/>
                <w:szCs w:val="20"/>
              </w:rPr>
              <w:t xml:space="preserve">Cantidad de veces que ese tratamiento fue registrado en el período evaluado.</w:t>
            </w:r>
          </w:p>
        </w:tc>
        <w:tc>
          <w:tcPr>
            <w:shd w:fill="F3F0F5" w:val="clear"/>
          </w:tcPr>
          <w:p>
            <w:pPr>
              <w:jc w:val="left"/>
            </w:pPr>
            <w:r>
              <w:rPr>
                <w:rFonts w:ascii="Times New Roman" w:cs="Times New Roman" w:eastAsia="Times New Roman" w:hAnsi="Times New Roman"/>
                <w:sz w:val="20"/>
                <w:szCs w:val="20"/>
              </w:rPr>
              <w:t xml:space="preserve">count por tipo</w:t>
            </w:r>
          </w:p>
        </w:tc>
      </w:tr>
      <w:tr>
        <w:tc>
          <w:tcPr>
            <w:shd w:fill="FFFFFF" w:val="clear"/>
          </w:tcPr>
          <w:p>
            <w:pPr>
              <w:jc w:val="left"/>
            </w:pPr>
            <w:r>
              <w:rPr>
                <w:rFonts w:ascii="Times New Roman" w:cs="Times New Roman" w:eastAsia="Times New Roman" w:hAnsi="Times New Roman"/>
                <w:sz w:val="20"/>
                <w:szCs w:val="20"/>
              </w:rPr>
              <w:t xml:space="preserve">totalPorTratamiento</w:t>
            </w:r>
          </w:p>
        </w:tc>
        <w:tc>
          <w:tcPr>
            <w:shd w:fill="FFFFFF" w:val="clear"/>
          </w:tcPr>
          <w:p>
            <w:pPr>
              <w:jc w:val="left"/>
            </w:pPr>
            <w:r>
              <w:rPr>
                <w:rFonts w:ascii="Times New Roman" w:cs="Times New Roman" w:eastAsia="Times New Roman" w:hAnsi="Times New Roman"/>
                <w:sz w:val="20"/>
                <w:szCs w:val="20"/>
              </w:rPr>
              <w:t xml:space="preserve">Subtotal del tratamiento para el período: precio × frecuencia.</w:t>
            </w:r>
          </w:p>
        </w:tc>
        <w:tc>
          <w:tcPr>
            <w:shd w:fill="FFFFFF" w:val="clear"/>
          </w:tcPr>
          <w:p>
            <w:pPr>
              <w:jc w:val="left"/>
            </w:pPr>
            <w:r>
              <w:rPr>
                <w:rFonts w:ascii="Times New Roman" w:cs="Times New Roman" w:eastAsia="Times New Roman" w:hAnsi="Times New Roman"/>
                <w:sz w:val="20"/>
                <w:szCs w:val="20"/>
              </w:rPr>
              <w:t xml:space="preserve">precio × count</w:t>
            </w:r>
          </w:p>
        </w:tc>
      </w:tr>
    </w:tbl>
    <w:p>
      <w:pPr>
        <w:spacing w:after="160"/>
      </w:pPr>
    </w:p>
    <w:p>
      <w:pPr>
        <w:pBdr>
          <w:left w:val="single" w:color="C06080" w:sz="8" w:space="6"/>
        </w:pBdr>
        <w:shd w:fill="FFF5F8" w:val="clear"/>
        <w:spacing w:after="100" w:before="60"/>
        <w:ind w:left="360"/>
        <w:jc w:val="both"/>
      </w:pPr>
      <w:r>
        <w:rPr>
          <w:rFonts w:ascii="Times New Roman" w:cs="Times New Roman" w:eastAsia="Times New Roman" w:hAnsi="Times New Roman"/>
          <w:b/>
          <w:bCs/>
          <w:color w:val="C06080"/>
          <w:sz w:val="20"/>
          <w:szCs w:val="20"/>
        </w:rPr>
        <w:t xml:space="preserve">Nota: </w:t>
      </w:r>
      <w:r>
        <w:rPr>
          <w:rFonts w:ascii="Times New Roman" w:cs="Times New Roman" w:eastAsia="Times New Roman" w:hAnsi="Times New Roman"/>
          <w:i/>
          <w:iCs/>
          <w:color w:val="5A3050"/>
          <w:sz w:val="20"/>
          <w:szCs w:val="20"/>
        </w:rPr>
        <w:t xml:space="preserve">Los ingresos se calculan a partir de los precios definidos en la tabla PRECIOS del sistema, no desde un campo de precio ingresado manualmente. Si un tratamiento no está en esa tabla, su valor se toma como $ 0.</w:t>
      </w:r>
    </w:p>
    <w:p>
      <w:pPr>
        <w:spacing w:after="160"/>
      </w:pPr>
    </w:p>
    <w:p>
      <w:pPr>
        <w:pStyle w:val="Heading2"/>
        <w:spacing w:after="100" w:before="240"/>
      </w:pPr>
      <w:r>
        <w:rPr>
          <w:rFonts w:ascii="Times New Roman" w:cs="Times New Roman" w:eastAsia="Times New Roman" w:hAnsi="Times New Roman"/>
          <w:b/>
          <w:bCs/>
          <w:color w:val="C06080"/>
          <w:sz w:val="26"/>
          <w:szCs w:val="26"/>
        </w:rPr>
        <w:t xml:space="preserve">4.6  Código fuente — ubicación en el proyecto</w:t>
      </w:r>
    </w:p>
    <w:p>
      <w:pPr>
        <w:spacing w:after="120"/>
        <w:jc w:val="both"/>
      </w:pPr>
      <w:r>
        <w:rPr>
          <w:rFonts w:ascii="Times New Roman" w:cs="Times New Roman" w:eastAsia="Times New Roman" w:hAnsi="Times New Roman"/>
          <w:sz w:val="22"/>
          <w:szCs w:val="22"/>
        </w:rPr>
        <w:t xml:space="preserve">Las fórmulas se encuentran en el archivo Home/Home.Js en las siguientes funciones:</w:t>
      </w:r>
    </w:p>
    <w:p>
      <w:pPr>
        <w:spacing w:after="80"/>
      </w:pP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renderIngresos()        → líneas 1416 – 1530</w:t>
      </w:r>
    </w:p>
    <w:p>
      <w:pPr>
        <w:pBdr>
          <w:left w:val="single" w:color="7C4D8A" w:sz="12" w:space="6"/>
        </w:pBdr>
        <w:shd w:fill="F5F0F8" w:val="clear"/>
        <w:spacing w:after="40" w:before="40"/>
        <w:ind w:left="431"/>
      </w:pPr>
      <w:r>
        <w:rPr>
          <w:rFonts w:ascii="Courier New" w:cs="Courier New" w:eastAsia="Courier New" w:hAnsi="Courier New"/>
          <w:color w:val="2E0A40"/>
          <w:sz w:val="20"/>
          <w:szCs w:val="20"/>
        </w:rPr>
        <w:t xml:space="preserve">actualizarStatsGerente() → líneas 321  – 335</w:t>
      </w:r>
    </w:p>
    <w:p>
      <w:pPr>
        <w:spacing w:after="800"/>
      </w:pPr>
    </w:p>
    <w:p>
      <w:pPr>
        <w:spacing w:after="200" w:before="200"/>
        <w:jc w:val="center"/>
      </w:pPr>
      <w:r>
        <w:rPr>
          <w:rFonts w:ascii="Times New Roman" w:cs="Times New Roman" w:eastAsia="Times New Roman" w:hAnsi="Times New Roman"/>
          <w:color w:val="C06080"/>
          <w:sz w:val="22"/>
          <w:szCs w:val="22"/>
        </w:rPr>
        <w:t xml:space="preserve">— ✦ —</w:t>
      </w:r>
    </w:p>
    <w:p>
      <w:pPr>
        <w:spacing w:after="400"/>
      </w:pPr>
    </w:p>
    <w:p>
      <w:pPr>
        <w:jc w:val="center"/>
      </w:pPr>
      <w:r>
        <w:rPr>
          <w:rFonts w:ascii="Times New Roman" w:cs="Times New Roman" w:eastAsia="Times New Roman" w:hAnsi="Times New Roman"/>
          <w:i/>
          <w:iCs/>
          <w:color w:val="999999"/>
          <w:sz w:val="18"/>
          <w:szCs w:val="18"/>
        </w:rPr>
        <w:t xml:space="preserve">Tania Spa — Todos los derechos reservados · 2026</w:t>
      </w:r>
    </w:p>
    <w:sectPr>
      <w:headerReference w:type="default" r:id="rId7"/>
      <w:footerReference w:type="default" r:id="rId8"/>
      <w:pgSz w:w="11906" w:h="16838" w:orient="portrait"/>
      <w:pgMar w:top="1699" w:right="1699" w:bottom="1699" w:left="19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8DC" w:sz="4"/>
      </w:pBdr>
      <w:jc w:val="center"/>
    </w:pPr>
    <w:r>
      <w:rPr>
        <w:rFonts w:ascii="Times New Roman" w:cs="Times New Roman" w:eastAsia="Times New Roman" w:hAnsi="Times New Roman"/>
        <w:color w:val="888888"/>
        <w:sz w:val="18"/>
        <w:szCs w:val="18"/>
      </w:rPr>
      <w:t xml:space="preserve">Página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de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8DC" w:sz="4"/>
      </w:pBdr>
      <w:jc w:val="right"/>
    </w:pPr>
    <w:r>
      <w:rPr>
        <w:rFonts w:ascii="Times New Roman" w:cs="Times New Roman" w:eastAsia="Times New Roman" w:hAnsi="Times New Roman"/>
        <w:i/>
        <w:iCs/>
        <w:color w:val="888888"/>
        <w:sz w:val="18"/>
        <w:szCs w:val="18"/>
      </w:rPr>
      <w:t xml:space="preserve">Tania Spa — Documentación Técnica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2026-05-03T06:18:31.536Z</dcterms:created>
  <dcterms:modified xsi:type="dcterms:W3CDTF">2026-05-03T06:18:31.538Z</dcterms:modified>
</cp:coreProperties>
</file>

<file path=docProps/custom.xml><?xml version="1.0" encoding="utf-8"?>
<Properties xmlns="http://schemas.openxmlformats.org/officeDocument/2006/custom-properties" xmlns:vt="http://schemas.openxmlformats.org/officeDocument/2006/docPropsVTypes"/>
</file>