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ParkSmart v0.5.0</w:t>
      </w:r>
    </w:p>
    <w:p>
      <w:r>
        <w:t>Aplicación Android con moderación administrativa y políticas de privacidad</w:t>
      </w:r>
    </w:p>
    <w:p>
      <w:r>
        <w:t>Documentación de la quinta ampliación  |  11 de octubre de 2026</w:t>
      </w:r>
    </w:p>
    <w:p>
      <w:pPr>
        <w:pStyle w:val="Heading1"/>
      </w:pPr>
      <w:r>
        <w:t>Objetivo y alcance</w:t>
      </w:r>
    </w:p>
    <w:p>
      <w:r>
        <w:t>V0.4 amplía ParkSmart con un mapa interactivo de reportes cercanos. La app usa MapLibre Native y teselas raster de OpenStreetMap para desarrollo, con filtros por categoría, estado y periodo; los puntos se agrupan visualmente y la selección muestra el detalle disponible. FastAPI consulta reportes georreferenciados y calcula estadísticas en cuadrículas de 1 km con PostGIS. La dirección manual sigue siendo texto: se evaluó geocodificarla, pero no se envía a un proveedor externo sin consentimiento y una política de privacidad definida.</w:t>
      </w:r>
    </w:p>
    <w:p>
      <w:pPr>
        <w:pStyle w:val="Heading1"/>
      </w:pPr>
      <w:r>
        <w:t>Cambios en Android</w:t>
      </w:r>
    </w:p>
    <w:p>
      <w:pPr>
        <w:pStyle w:val="ListBullet"/>
      </w:pPr>
      <w:r>
        <w:t>El registro y el inicio de sesión continúan siendo manuales, con correo y contraseña.</w:t>
      </w:r>
    </w:p>
    <w:p>
      <w:pPr>
        <w:pStyle w:val="ListBullet"/>
      </w:pPr>
      <w:r>
        <w:t>Retrofit/OkHttp consumen la API REST; JWT se guarda en preferencias privadas y se envía en rutas protegidas.</w:t>
      </w:r>
    </w:p>
    <w:p>
      <w:pPr>
        <w:pStyle w:val="ListBullet"/>
      </w:pPr>
      <w:r>
        <w:t>La cámara abre la actividad de captura del sistema después de pedir CAMERA. Photo Picker selecciona imágenes sin permiso amplio de almacenamiento.</w:t>
      </w:r>
    </w:p>
    <w:p>
      <w:pPr>
        <w:pStyle w:val="ListBullet"/>
      </w:pPr>
      <w:r>
        <w:t>El permiso de ubicación solo se solicita si el usuario pulsa Obtener ubicación; se usa en primer plano y es opcional para enviar el reporte.</w:t>
      </w:r>
    </w:p>
    <w:p>
      <w:pPr>
        <w:pStyle w:val="ListBullet"/>
      </w:pPr>
      <w:r>
        <w:t>Cada reporte requiere tipo de vehículo, fotografía, localidad y dirección exacta; la descripción es opcional y las coordenadas GPS se adjuntan solo si se obtuvieron.</w:t>
      </w:r>
    </w:p>
    <w:p>
      <w:pPr>
        <w:pStyle w:val="ListBullet"/>
      </w:pPr>
      <w:r>
        <w:t>El mapa principal ahora usa MapLibre Native, muestra reportes con coordenadas reales, filtros y agrupación de marcadores; la ilustración esquemática anterior se retiró de esta vista.</w:t>
      </w:r>
    </w:p>
    <w:p>
      <w:pPr>
        <w:pStyle w:val="ListBullet"/>
      </w:pPr>
      <w:r>
        <w:t>El launcher usa un icono adaptativo derivado del logo existente.</w:t>
      </w:r>
    </w:p>
    <w:p>
      <w:pPr>
        <w:pStyle w:val="Heading1"/>
      </w:pPr>
      <w:r>
        <w:t>Arquitectura y datos</w:t>
      </w:r>
    </w:p>
    <w:p>
      <w:r>
        <w:t>Android/Kotlin/Compose → Retrofit/OkHttp → FastAPI → SQLAlchemy/GeoAlchemy2 → PostgreSQL 17 + PostGIS 3.5. MapLibre representa los datos cartográficos y recibe teselas raster configurables. El endpoint de cercanía filtra puntos en un radio de 25 km; otro endpoint agrega datos en cuadrículas métricas de 1 km tras proyectar a EPSG:3116. Los reportes que solo tienen dirección manual no participan en consultas espaciales.</w:t>
      </w:r>
    </w:p>
    <w:p>
      <w:pPr>
        <w:pStyle w:val="Heading1"/>
      </w:pPr>
      <w:r>
        <w:t>API v1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15B48"/>
          </w:tcPr>
          <w:p>
            <w:r>
              <w:rPr>
                <w:b/>
                <w:color w:val="FFFFFF"/>
                <w:sz w:val="18"/>
              </w:rPr>
              <w:t>Método y ruta</w:t>
            </w:r>
          </w:p>
        </w:tc>
        <w:tc>
          <w:tcPr>
            <w:tcW w:type="dxa" w:w="3312"/>
            <w:vAlign w:val="center"/>
            <w:shd w:fill="315B48"/>
          </w:tcPr>
          <w:p>
            <w:r>
              <w:rPr>
                <w:b/>
                <w:color w:val="FFFFFF"/>
                <w:sz w:val="18"/>
              </w:rPr>
              <w:t>Acceso</w:t>
            </w:r>
          </w:p>
        </w:tc>
        <w:tc>
          <w:tcPr>
            <w:tcW w:type="dxa" w:w="3312"/>
            <w:vAlign w:val="center"/>
            <w:shd w:fill="315B48"/>
          </w:tcPr>
          <w:p>
            <w:r>
              <w:rPr>
                <w:b/>
                <w:color w:val="FFFFFF"/>
                <w:sz w:val="18"/>
              </w:rPr>
              <w:t>Uso</w:t>
            </w:r>
          </w:p>
        </w:tc>
      </w:tr>
      <w:tr>
        <w:tc>
          <w:tcPr>
            <w:tcW w:type="dxa" w:w="3312"/>
            <w:vAlign w:val="center"/>
          </w:tcPr>
          <w:p>
            <w:pPr>
              <w:spacing w:after="40"/>
            </w:pPr>
            <w:r>
              <w:rPr>
                <w:sz w:val="17"/>
              </w:rPr>
              <w:t>POST /api/v1/auth/register</w:t>
            </w:r>
          </w:p>
        </w:tc>
        <w:tc>
          <w:tcPr>
            <w:tcW w:type="dxa" w:w="3312"/>
            <w:vAlign w:val="center"/>
          </w:tcPr>
          <w:p>
            <w:pPr>
              <w:spacing w:after="40"/>
            </w:pPr>
            <w:r>
              <w:rPr>
                <w:sz w:val="17"/>
              </w:rPr>
              <w:t>Público</w:t>
            </w:r>
          </w:p>
        </w:tc>
        <w:tc>
          <w:tcPr>
            <w:tcW w:type="dxa" w:w="3312"/>
            <w:vAlign w:val="center"/>
          </w:tcPr>
          <w:p>
            <w:pPr>
              <w:spacing w:after="40"/>
            </w:pPr>
            <w:r>
              <w:rPr>
                <w:sz w:val="17"/>
              </w:rPr>
              <w:t>Crear cuenta y JWT</w:t>
            </w:r>
          </w:p>
        </w:tc>
      </w:tr>
      <w:tr>
        <w:tc>
          <w:tcPr>
            <w:tcW w:type="dxa" w:w="3312"/>
            <w:vAlign w:val="center"/>
          </w:tcPr>
          <w:p>
            <w:pPr>
              <w:spacing w:after="40"/>
            </w:pPr>
            <w:r>
              <w:rPr>
                <w:sz w:val="17"/>
              </w:rPr>
              <w:t>POST /api/v1/auth/login</w:t>
            </w:r>
          </w:p>
        </w:tc>
        <w:tc>
          <w:tcPr>
            <w:tcW w:type="dxa" w:w="3312"/>
            <w:vAlign w:val="center"/>
          </w:tcPr>
          <w:p>
            <w:pPr>
              <w:spacing w:after="40"/>
            </w:pPr>
            <w:r>
              <w:rPr>
                <w:sz w:val="17"/>
              </w:rPr>
              <w:t>Público</w:t>
            </w:r>
          </w:p>
        </w:tc>
        <w:tc>
          <w:tcPr>
            <w:tcW w:type="dxa" w:w="3312"/>
            <w:vAlign w:val="center"/>
          </w:tcPr>
          <w:p>
            <w:pPr>
              <w:spacing w:after="40"/>
            </w:pPr>
            <w:r>
              <w:rPr>
                <w:sz w:val="17"/>
              </w:rPr>
              <w:t>Iniciar sesión</w:t>
            </w:r>
          </w:p>
        </w:tc>
      </w:tr>
      <w:tr>
        <w:tc>
          <w:tcPr>
            <w:tcW w:type="dxa" w:w="3312"/>
            <w:vAlign w:val="center"/>
          </w:tcPr>
          <w:p>
            <w:pPr>
              <w:spacing w:after="40"/>
            </w:pPr>
            <w:r>
              <w:rPr>
                <w:sz w:val="17"/>
              </w:rPr>
              <w:t>GET /api/v1/auth/me</w:t>
            </w:r>
          </w:p>
        </w:tc>
        <w:tc>
          <w:tcPr>
            <w:tcW w:type="dxa" w:w="3312"/>
            <w:vAlign w:val="center"/>
          </w:tcPr>
          <w:p>
            <w:pPr>
              <w:spacing w:after="40"/>
            </w:pPr>
            <w:r>
              <w:rPr>
                <w:sz w:val="17"/>
              </w:rPr>
              <w:t>Bearer</w:t>
            </w:r>
          </w:p>
        </w:tc>
        <w:tc>
          <w:tcPr>
            <w:tcW w:type="dxa" w:w="3312"/>
            <w:vAlign w:val="center"/>
          </w:tcPr>
          <w:p>
            <w:pPr>
              <w:spacing w:after="40"/>
            </w:pPr>
            <w:r>
              <w:rPr>
                <w:sz w:val="17"/>
              </w:rPr>
              <w:t>Perfil</w:t>
            </w:r>
          </w:p>
        </w:tc>
      </w:tr>
      <w:tr>
        <w:tc>
          <w:tcPr>
            <w:tcW w:type="dxa" w:w="3312"/>
            <w:vAlign w:val="center"/>
          </w:tcPr>
          <w:p>
            <w:pPr>
              <w:spacing w:after="40"/>
            </w:pPr>
            <w:r>
              <w:rPr>
                <w:sz w:val="17"/>
              </w:rPr>
              <w:t>POST /api/v1/reports</w:t>
            </w:r>
          </w:p>
        </w:tc>
        <w:tc>
          <w:tcPr>
            <w:tcW w:type="dxa" w:w="3312"/>
            <w:vAlign w:val="center"/>
          </w:tcPr>
          <w:p>
            <w:pPr>
              <w:spacing w:after="40"/>
            </w:pPr>
            <w:r>
              <w:rPr>
                <w:sz w:val="17"/>
              </w:rPr>
              <w:t>Bearer</w:t>
            </w:r>
          </w:p>
        </w:tc>
        <w:tc>
          <w:tcPr>
            <w:tcW w:type="dxa" w:w="3312"/>
            <w:vAlign w:val="center"/>
          </w:tcPr>
          <w:p>
            <w:pPr>
              <w:spacing w:after="40"/>
            </w:pPr>
            <w:r>
              <w:rPr>
                <w:sz w:val="17"/>
              </w:rPr>
              <w:t>Subir foto, localidad y dirección; coordenadas GPS opcionales</w:t>
            </w:r>
          </w:p>
        </w:tc>
      </w:tr>
      <w:tr>
        <w:tc>
          <w:tcPr>
            <w:tcW w:type="dxa" w:w="3312"/>
            <w:vAlign w:val="center"/>
          </w:tcPr>
          <w:p>
            <w:pPr>
              <w:spacing w:after="40"/>
            </w:pPr>
            <w:r>
              <w:rPr>
                <w:sz w:val="17"/>
              </w:rPr>
              <w:t>GET /api/v1/reports</w:t>
            </w:r>
          </w:p>
        </w:tc>
        <w:tc>
          <w:tcPr>
            <w:tcW w:type="dxa" w:w="3312"/>
            <w:vAlign w:val="center"/>
          </w:tcPr>
          <w:p>
            <w:pPr>
              <w:spacing w:after="40"/>
            </w:pPr>
            <w:r>
              <w:rPr>
                <w:sz w:val="17"/>
              </w:rPr>
              <w:t>Bearer</w:t>
            </w:r>
          </w:p>
        </w:tc>
        <w:tc>
          <w:tcPr>
            <w:tcW w:type="dxa" w:w="3312"/>
            <w:vAlign w:val="center"/>
          </w:tcPr>
          <w:p>
            <w:pPr>
              <w:spacing w:after="40"/>
            </w:pPr>
            <w:r>
              <w:rPr>
                <w:sz w:val="17"/>
              </w:rPr>
              <w:t>Reportes propios</w:t>
            </w:r>
          </w:p>
        </w:tc>
      </w:tr>
      <w:tr>
        <w:tc>
          <w:tcPr>
            <w:tcW w:type="dxa" w:w="3312"/>
            <w:vAlign w:val="center"/>
          </w:tcPr>
          <w:p>
            <w:pPr>
              <w:spacing w:after="40"/>
            </w:pPr>
            <w:r>
              <w:rPr>
                <w:sz w:val="17"/>
              </w:rPr>
              <w:t>GET /api/v1/reports/{id}/photo</w:t>
            </w:r>
          </w:p>
        </w:tc>
        <w:tc>
          <w:tcPr>
            <w:tcW w:type="dxa" w:w="3312"/>
            <w:vAlign w:val="center"/>
          </w:tcPr>
          <w:p>
            <w:pPr>
              <w:spacing w:after="40"/>
            </w:pPr>
            <w:r>
              <w:rPr>
                <w:sz w:val="17"/>
              </w:rPr>
              <w:t>Bearer</w:t>
            </w:r>
          </w:p>
        </w:tc>
        <w:tc>
          <w:tcPr>
            <w:tcW w:type="dxa" w:w="3312"/>
            <w:vAlign w:val="center"/>
          </w:tcPr>
          <w:p>
            <w:pPr>
              <w:spacing w:after="40"/>
            </w:pPr>
            <w:r>
              <w:rPr>
                <w:sz w:val="17"/>
              </w:rPr>
              <w:t>Descargar foto propia</w:t>
            </w:r>
          </w:p>
        </w:tc>
      </w:tr>
      <w:tr>
        <w:tc>
          <w:tcPr>
            <w:tcW w:type="dxa" w:w="3312"/>
            <w:vAlign w:val="center"/>
          </w:tcPr>
          <w:p>
            <w:pPr>
              <w:spacing w:after="40"/>
            </w:pPr>
            <w:r>
              <w:rPr>
                <w:sz w:val="17"/>
              </w:rPr>
              <w:t>GET /api/v1/dashboard</w:t>
            </w:r>
          </w:p>
        </w:tc>
        <w:tc>
          <w:tcPr>
            <w:tcW w:type="dxa" w:w="3312"/>
            <w:vAlign w:val="center"/>
          </w:tcPr>
          <w:p>
            <w:pPr>
              <w:spacing w:after="40"/>
            </w:pPr>
            <w:r>
              <w:rPr>
                <w:sz w:val="17"/>
              </w:rPr>
              <w:t>Bearer</w:t>
            </w:r>
          </w:p>
        </w:tc>
        <w:tc>
          <w:tcPr>
            <w:tcW w:type="dxa" w:w="3312"/>
            <w:vAlign w:val="center"/>
          </w:tcPr>
          <w:p>
            <w:pPr>
              <w:spacing w:after="40"/>
            </w:pPr>
            <w:r>
              <w:rPr>
                <w:sz w:val="17"/>
              </w:rPr>
              <w:t>Totales e historial</w:t>
            </w:r>
          </w:p>
        </w:tc>
      </w:tr>
      <w:tr>
        <w:tc>
          <w:tcPr>
            <w:tcW w:type="dxa" w:w="3312"/>
            <w:vAlign w:val="center"/>
          </w:tcPr>
          <w:p>
            <w:pPr>
              <w:spacing w:after="40"/>
            </w:pPr>
            <w:r>
              <w:rPr>
                <w:sz w:val="17"/>
              </w:rPr>
              <w:t>GET /health</w:t>
            </w:r>
          </w:p>
        </w:tc>
        <w:tc>
          <w:tcPr>
            <w:tcW w:type="dxa" w:w="3312"/>
            <w:vAlign w:val="center"/>
          </w:tcPr>
          <w:p>
            <w:pPr>
              <w:spacing w:after="40"/>
            </w:pPr>
            <w:r>
              <w:rPr>
                <w:sz w:val="17"/>
              </w:rPr>
              <w:t>Público</w:t>
            </w:r>
          </w:p>
        </w:tc>
        <w:tc>
          <w:tcPr>
            <w:tcW w:type="dxa" w:w="3312"/>
            <w:vAlign w:val="center"/>
          </w:tcPr>
          <w:p>
            <w:pPr>
              <w:spacing w:after="40"/>
            </w:pPr>
            <w:r>
              <w:rPr>
                <w:sz w:val="17"/>
              </w:rPr>
              <w:t>Estado de API/base</w:t>
            </w:r>
          </w:p>
        </w:tc>
      </w:tr>
    </w:tbl>
    <w:p>
      <w:pPr>
        <w:pStyle w:val="Heading1"/>
      </w:pPr>
      <w:r>
        <w:t>Herramientas y ejecución</w:t>
      </w:r>
    </w:p>
    <w:p>
      <w:r>
        <w:t>Requisitos: Android Studio Rabbit 1 (2026.2.1) o compatible con AGP 9.4; SDK 37, Build Tools 36.0.0, JDK 17; emulador API 37 o dispositivo API 26+; Docker Desktop con WSL2 y Compose; Internet para primera descarga.</w:t>
      </w:r>
    </w:p>
    <w:p>
      <w:r>
        <w:t>Desde Android Studio, abrir la raíz ParkSmart y sincronizar Gradle. Copiar .env.example a .env, cambiar POSTGRES_PASSWORD, JWT_SECRET y PGADMIN_DEFAULT_PASSWORD, luego ejecutar desde PowerShell:</w:t>
      </w:r>
    </w:p>
    <w:p>
      <w:pPr>
        <w:ind w:left="360"/>
      </w:pPr>
      <w:r>
        <w:rPr>
          <w:rFonts w:ascii="Consolas" w:hAnsi="Consolas"/>
          <w:b/>
        </w:rPr>
        <w:t>docker compose up --build -d</w:t>
      </w:r>
    </w:p>
    <w:p>
      <w:pPr>
        <w:pStyle w:val="ListBullet"/>
      </w:pPr>
      <w:r>
        <w:t>API local: http://localhost:8000; OpenAPI: http://localhost:8000/docs; pgAdmin: http://localhost:5050. En pgAdmin registra el host db, puerto 5432, base parksmart y usuario parksmart.</w:t>
      </w:r>
    </w:p>
    <w:p>
      <w:pPr>
        <w:pStyle w:val="ListBullet"/>
      </w:pPr>
      <w:r>
        <w:t>El emulador usa http://10.0.2.2:8000 por defecto. Para teléfono físico, agrega parksmart.apiBaseUrl=http://IP_DEL_PC:8000/ a local.properties y permite el puerto 8000 en el firewall. Este archivo se ignora en Git, así que cada equipo puede tener su URL sin editar el código compartido.</w:t>
      </w:r>
    </w:p>
    <w:p>
      <w:pPr>
        <w:pStyle w:val="ListBullet"/>
      </w:pPr>
      <w:r>
        <w:t>docker compose down detiene servicios conservando volúmenes. docker compose down -v elimina la base y las imágenes locales.</w:t>
      </w:r>
    </w:p>
    <w:p>
      <w:pPr>
        <w:pStyle w:val="Heading1"/>
      </w:pPr>
      <w:r>
        <w:t>En v0.4 se implementaron consultas espaciales autenticadas, filtros y estadísticas por cuadrícula; las pruebas del backend se ejecutaron sobre PostGIS. La compilación Android no pudo verificarse desde esta sesión porque Gradle no logró establecer su conexión loopback interna. Android Studio reportó además un error de acceso a Modifier.weight; se eliminó el import explícito interno y se conservaron los usos dentro de los ámbitos Row/Column. La compilación final debe confirmarse en Android Studio.</w:t>
      </w:r>
    </w:p>
    <w:p>
      <w:r>
        <w:t>Docker Compose validó la configuración y levantó la API, PostGIS y pgAdmin. Alembic aplicó la migración 0002 sobre la base local existente; GET /health confirmó conexión y la interfaz pgAdmin respondió HTTP 200. Pasaron tres pruebas del catálogo de localidades y una comprobación de serialización de un reporte manual sin coordenadas. OpenAPI confirmó que localidad, dirección y foto son requeridas y que latitud/longitud son opcionales. La compilación Android no pudo verificarse en esta sesión: Gradle no logró establecer su conexión loopback interna. El error de script Unresolved reference util se corrigió importando java.util.Properties explícitamente; debe confirmarse Sync/Run desde Android Studio.</w:t>
      </w:r>
    </w:p>
    <w:p>
      <w:pPr>
        <w:pStyle w:val="Heading1"/>
      </w:pPr>
      <w:r>
        <w:t>Seguridad y límites</w:t>
      </w:r>
    </w:p>
    <w:p>
      <w:pPr>
        <w:pStyle w:val="ListBullet"/>
      </w:pPr>
      <w:r>
        <w:t>HTTP sin TLS y secretos locales son solo para desarrollo. Cambiar POSTGRES_PASSWORD, JWT_SECRET y PGADMIN_DEFAULT_PASSWORD antes de compartir el equipo; pgAdmin queda ligado a 127.0.0.1 y no debe exponerse a la red.</w:t>
      </w:r>
    </w:p>
    <w:p>
      <w:pPr>
        <w:pStyle w:val="ListBullet"/>
      </w:pPr>
      <w:r>
        <w:t>Fotos limitadas a JPEG/PNG/WebP y 10 MB; las direcciones exactas son datos personales y se guardan en la base. Antes de producción definir acceso, retención y borrado, validar contenido real, reforzar límites y controlar intentos.</w:t>
      </w:r>
    </w:p>
    <w:p>
      <w:pPr>
        <w:pStyle w:val="ListBullet"/>
      </w:pPr>
      <w:r>
        <w:t>Sin verificación de correo, recuperación de contraseña, administración, edición/eliminación, paginación ni notificaciones.</w:t>
      </w:r>
    </w:p>
    <w:p>
      <w:pPr>
        <w:pStyle w:val="ListBullet"/>
      </w:pPr>
      <w:r>
        <w:t>El mapa usa teselas estándar de OpenStreetMap para desarrollo y pruebas; no son un servicio con SLA y deben sustituirse por un proveedor contratado o infraestructura propia antes de producción. Solo aparecen reportes con coordenadas GPS. El radio de búsqueda es de 25 km y la respuesta está limitada a 500 registros. Las estadísticas son celdas cuadradas de 1 km en EPSG:3116, no límites oficiales de localidades. Las direcciones manuales se almacenan como texto y no se geocodifican.</w:t>
      </w:r>
    </w:p>
    <w:p>
      <w:pPr>
        <w:pStyle w:val="Heading1"/>
      </w:pPr>
      <w:r>
        <w:t>Próximos pasos</w:t>
      </w:r>
    </w:p>
    <w:p>
      <w:pPr>
        <w:pStyle w:val="ListNumber"/>
      </w:pPr>
      <w:r>
        <w:t>Completado en v0.4: mapa MapLibre, reportes cercanos, filtros por categoría/estado/periodo, agrupación visual y agregados espaciales PostGIS por cuadrícula. La geocodificación se evaluó y queda pendiente por consentimiento, privacidad y selección de proveedor.</w:t>
      </w:r>
    </w:p>
    <w:p>
      <w:pPr>
        <w:pStyle w:val="ListNumber"/>
      </w:pPr>
      <w:r>
        <w:t>Completado en v0.5: roles de usuario, moderación manual de reportes y pantalla de políticas visibles. La verificación de correo y recuperación de contraseña siguen pendientes.</w:t>
      </w:r>
    </w:p>
    <w:p>
      <w:pPr>
        <w:pStyle w:val="ListNumber"/>
      </w:pPr>
      <w:r>
        <w:t>v0.6 - Analítica e inteligencia: construir tendencias y zonas críticas a partir de datos agregados; evaluar clasificación asistida por IA para categorizar reportes, con revisión humana y mediciones de calidad.</w:t>
      </w:r>
    </w:p>
    <w:p>
      <w:pPr>
        <w:pStyle w:val="ListNumber"/>
      </w:pPr>
      <w:r>
        <w:t>v1.0 - Preparación para uso real: desplegar API y base de datos en infraestructura administrada; incorporar HTTPS/TLS, secretos gestionados, límites antiabuso, copias de seguridad, monitoreo, CI/CD, pruebas de seguridad y publicación Android.</w:t>
      </w:r>
    </w:p>
    <w:p>
      <w:pPr>
        <w:pStyle w:val="ListNumber"/>
      </w:pPr>
      <w:r>
        <w:t>Mantener pruebas automatizadas Android/API, validación y límites de imágenes, paginación espacial, accesibilidad y pruebas en dispositivos reales. Antes de producción, sustituir las teselas OSM estándar por infraestructura apropiada.</w:t>
      </w:r>
    </w:p>
    <w:p>
      <w:r/>
    </w:p>
    <w:p>
      <w:pPr>
        <w:pStyle w:val="Heading1"/>
      </w:pPr>
      <w:r>
        <w:t>Errores encontrados y soluciones</w:t>
      </w:r>
    </w:p>
    <w:p>
      <w:r>
        <w:t>Durante las versiones v0.1 a v0.5 aparecieron los siguientes problemas de configuración y compilación. Se conserva cada mensaje para reconocerlo y se describe la corrección aplicada.</w:t>
      </w:r>
    </w:p>
    <w:p>
      <w:pPr>
        <w:pStyle w:val="Heading2"/>
      </w:pPr>
      <w:r>
        <w:t>Ruta del proyecto con caracteres no ASCII</w:t>
      </w:r>
    </w:p>
    <w:p>
      <w:pPr>
        <w:spacing w:after="120"/>
      </w:pPr>
      <w:r>
        <w:t>Android Gradle Plugin rechazó la ruta que incluía la tilde de Programación. Se movió el proyecto a una ruta sin tildes ni caracteres no ASCII, por ejemplo E:/Trabajos/Programacion/Ingenieria de Software/ParkSmart.</w:t>
      </w:r>
    </w:p>
    <w:p>
      <w:pPr>
        <w:pStyle w:val="Heading2"/>
      </w:pPr>
      <w:r>
        <w:t>ApplicationExtensionImpl no se puede convertir a BaseExtension</w:t>
      </w:r>
    </w:p>
    <w:p>
      <w:pPr>
        <w:spacing w:after="120"/>
      </w:pPr>
      <w:r>
        <w:t>El plugin Kotlin Android heredado no era compatible con la configuración integrada de AGP 9. Se retiró org.jetbrains.kotlin.android y se mantuvo Kotlin integrado de AGP junto con org.jetbrains.kotlin.plugin.compose.</w:t>
      </w:r>
    </w:p>
    <w:p>
      <w:pPr>
        <w:pStyle w:val="Heading2"/>
      </w:pPr>
      <w:r>
        <w:t>listOf con demasiados argumentos en DemoMapCanvas</w:t>
      </w:r>
    </w:p>
    <w:p>
      <w:pPr>
        <w:spacing w:after="120"/>
      </w:pPr>
      <w:r>
        <w:t>Las rutas del dibujo del mapa quedaron agrupadas con listas y paréntesis incorrectos; los errores posteriores de points y x/y eran en cascada. Se corrigió paths como una lista exterior de listas de Offset, una por camino.</w:t>
      </w:r>
    </w:p>
    <w:p>
      <w:pPr>
        <w:pStyle w:val="Heading2"/>
      </w:pPr>
      <w:r>
        <w:t>Unresolved reference repository en ParkSmartViewModel</w:t>
      </w:r>
    </w:p>
    <w:p>
      <w:pPr>
        <w:spacing w:after="120"/>
      </w:pPr>
      <w:r>
        <w:t>El repositorio se usaba dentro de los métodos, pero el argumento del constructor no se había declarado como propiedad. Se guardó como private val repository y se alinearon el import y el tipo con ParkSmartApiRepository.</w:t>
      </w:r>
    </w:p>
    <w:p>
      <w:pPr>
        <w:pStyle w:val="Heading2"/>
      </w:pPr>
      <w:r>
        <w:t>java.lang.OutOfMemoryError: Java heap space</w:t>
      </w:r>
    </w:p>
    <w:p>
      <w:pPr>
        <w:spacing w:after="120"/>
      </w:pPr>
      <w:r>
        <w:t>Se elevó el heap de Gradle a 2 GB en gradle.properties mediante -Xmx2048m y un máximo de metaspace de 768 MB. Si vuelve a ocurrir, cerrar procesos pesados y reiniciar Gradle o Android Studio.</w:t>
      </w:r>
    </w:p>
    <w:p>
      <w:pPr>
        <w:pStyle w:val="Heading2"/>
      </w:pPr>
      <w:r>
        <w:t>Function invocation 'error(...)' expected</w:t>
      </w:r>
    </w:p>
    <w:p>
      <w:pPr>
        <w:spacing w:after="120"/>
      </w:pPr>
      <w:r>
        <w:t>Una lambda onFailure usaba el identificador error sin declarar el argumento. Se cambió a .onFailure { error -&gt; ... } antes de llamar error.messageForUser().</w:t>
      </w:r>
    </w:p>
    <w:p>
      <w:pPr>
        <w:pStyle w:val="Heading2"/>
      </w:pPr>
      <w:r>
        <w:t>Unsupported escape sequence en app/build.gradle.kts</w:t>
      </w:r>
    </w:p>
    <w:p>
      <w:pPr>
        <w:spacing w:after="120"/>
      </w:pPr>
      <w:r>
        <w:t>Unsupported escape sequence en app/build.gradle.kts: una URL escrita como literal con escapes incorrectos hacía fallar el script Kotlin. La configuración se cambió para leer parksmart.apiBaseUrl desde local.properties y usar 10.0.2.2 para el emulador si la propiedad no está definida.</w:t>
      </w:r>
    </w:p>
    <w:p>
      <w:pPr>
        <w:ind w:left="360"/>
      </w:pPr>
      <w:r>
        <w:rPr>
          <w:rFonts w:ascii="Consolas" w:hAnsi="Consolas"/>
          <w:sz w:val="18"/>
        </w:rPr>
        <w:t>La URL se obtiene de parksmart.apiBaseUrl en local.properties. Si la propiedad no existe, Gradle usa http://10.0.2.2:8000/ para el emulador. Para un teléfono físico, se configura la IP LAN del PC en local.properties; el archivo está ignorado por Git.</w:t>
      </w:r>
    </w:p>
    <w:p>
      <w:r>
        <w:t>Corrección adicional: el emulador usa el valor por defecto http://10.0.2.2:8000/; un teléfono utiliza la IP LAN del PC configurada en local.properties. No se editan escapes ni se comparte ese archivo.</w:t>
      </w:r>
    </w:p>
    <w:p>
      <w:pPr>
        <w:pStyle w:val="Heading2"/>
      </w:pPr>
      <w:r>
        <w:t>Avisos de compatibilidad Kotlin</w:t>
      </w:r>
    </w:p>
    <w:p>
      <w:r>
        <w:t>El aviso de jvmTarget obsoleto no era la causa del fallo de compilación. Se evita la configuración heredada kotlinOptions y se conserva el target Java 17 en compileOptions. Con AGP 9, Kotlin Android viene integrado; no agregar otra vez el plugin org.jetbrains.kotlin.android.</w:t>
      </w:r>
    </w:p>
    <w:p>
      <w:pPr>
        <w:pStyle w:val="Heading2"/>
      </w:pPr>
      <w:r>
        <w:t>Unresolved reference util en build.gradle.kts</w:t>
      </w:r>
    </w:p>
    <w:p>
      <w:r>
        <w:t>Kotlin DSL no resolvió java.util.Properties() escrito con nombre totalmente calificado en este script. Se corrigió importando java.util.Properties al inicio del archivo y creando Properties(). Los errores posteriores de load y getProperty eran consecuencia del primer error.</w:t>
      </w:r>
    </w:p>
    <w:p>
      <w:pPr>
        <w:pStyle w:val="Heading2"/>
      </w:pPr>
      <w:r>
        <w:t>Cannot access RowColumnParentData.weight</w:t>
      </w:r>
    </w:p>
    <w:p>
      <w:pPr/>
      <w:r>
        <w:t>ParkSmartApp.kt: el import explícito androidx.compose.foundation.layout.weight intentaba acceder a una propiedad interna de Compose. Se eliminó ese import. Modifier.weight(...) se mantiene dentro de los ámbitos Row y Column, donde Compose resuelve la extensión de forma válida.</w:t>
      </w:r>
    </w:p>
    <w:p>
      <w:pPr/>
      <w:r>
        <w:t>La compilación Android no se pudo confirmar en esta sesión: Gradle terminó con “Unable to establish loopback connection” al ejecutar :app:compileDebugKotlin. El fallo ocurrió antes de reportar errores de Kotlin, por lo que no demuestra un defecto del código ni permite afirmar que el APK compile. Reintentar Sync y Run desde Android Studio; si persiste, revisar firewall/antivirus y permisos de loopback para Java/Gradle y volver a ejecutar la tarea.</w:t>
      </w:r>
    </w:p>
    <w:p>
      <w:pPr/>
      <w:r>
        <w:t>Docker Compose validó su configuración; la migración 0003 quedó aplicada y las 11 pruebas automatizadas del backend pasaron. Se comprobó el inicio de sesión administrador y la lectura del control (3 registros en la base local); una cuenta ciudadana recibió 403. También se probó el rechazo sobre un reporte temporal y luego se eliminó ese registro de prueba.</w:t>
      </w:r>
    </w:p>
    <w:p>
      <w:pPr>
        <w:pStyle w:val="Heading2"/>
      </w:pPr>
      <w:r>
        <w:t>Verificación de v0.5</w:t>
      </w:r>
    </w:p>
    <w:p>
      <w:pPr/>
      <w:r>
        <w:t>La vista aclara los límites actuales: la lectura de la política no se registra como consentimiento verificable; las fotografías no tienen todavía vencimiento o borrado automático. Antes de operar con usuarios reales se debe definir responsable, canal para ejercer derechos, plazos y proceso de supresión.</w:t>
      </w:r>
    </w:p>
    <w:p>
      <w:pPr>
        <w:pStyle w:val="ListBullet"/>
      </w:pPr>
      <w:r>
        <w:t>En Perfil, Notificaciones se sustituyó por Políticas de privacidad. La vista describe datos tratados, finalidad, acceso, GPS opcional y retención actual de fotografías, e incluye referencias informativas de la SIC.</w:t>
      </w:r>
    </w:p>
    <w:p>
      <w:pPr>
        <w:pStyle w:val="ListBullet"/>
      </w:pPr>
      <w:r>
        <w:t>Android conserva el rol de la sesión, muestra Control solo a administradores y permite revisar reportes, ver fotos y aprobar o rechazar. Los estados se reflejan en historial y mapa.</w:t>
      </w:r>
    </w:p>
    <w:p>
      <w:pPr>
        <w:pStyle w:val="ListBullet"/>
      </w:pPr>
      <w:r>
        <w:t>La API expone GET /api/v1/admin/reports, GET /api/v1/admin/reports/{id}/photo y PATCH /api/v1/admin/reports/{id}/decision. Los endpoints de control y la lectura de fotografías están protegidos por rol; una cuenta normal recibe 403.</w:t>
      </w:r>
    </w:p>
    <w:p>
      <w:pPr>
        <w:pStyle w:val="ListBullet"/>
      </w:pPr>
      <w:r>
        <w:t>La migración Alembic 0003 agrega el rol a los usuarios y los campos de moderación a los reportes. Al iniciar FastAPI se asegura la cuenta administrativa Carlos Ramírez (movilidad@gmail.com); ADMIN_PASSWORD se define en el .env local y se almacena en la base mediante hash Argon2. El .env no se incluye en Git.</w:t>
      </w:r>
    </w:p>
    <w:p>
      <w:pPr/>
      <w:r>
        <w:t>Esta ampliación incorpora roles y revisión humana de reportes. Todo reporte nuevo se registra inicialmente como recibido; una cuenta con rol administrador puede aprobarlo o rechazarlo desde Control. La decisión y su autor quedan asociados al reporte para auditoría.</w:t>
      </w:r>
    </w:p>
    <w:p>
      <w:pPr>
        <w:pStyle w:val="Heading1"/>
      </w:pPr>
      <w:r>
        <w:t>Cambios implementados en v0.5</w:t>
      </w:r>
    </w:p>
    <w:p>
      <w:pPr>
        <w:pStyle w:val="Heading1"/>
      </w:pPr>
      <w:r>
        <w:t>Hoja de ruta recomendada</w:t>
      </w:r>
    </w:p>
    <w:p>
      <w:r>
        <w:t>La versión 0.5.0 incorpora control administrativo de reportes y una pantalla informativa de privacidad. La compilación Android debe confirmarse en un entorno donde Gradle pueda abrir su conexión loopback.</w:t>
      </w:r>
    </w:p>
    <w:p>
      <w:pPr>
        <w:pStyle w:val="ListNumber"/>
      </w:pPr>
      <w:r>
        <w:rPr>
          <w:b/>
        </w:rPr>
        <w:t>Completado en v0.3: reporte con localidad y dirección manual, GPS opcional, historial actualizado, persistencia en API/PostGIS y pgAdmin para inspección local.</w:t>
      </w:r>
      <w:r/>
    </w:p>
    <w:p>
      <w:pPr>
        <w:pStyle w:val="ListNumber"/>
      </w:pPr>
      <w:r>
        <w:t>Completado en v0.4 - Mapa y exploración: integración de MapLibre, reportes cercanos con filtros, clusters y estadísticas PostGIS por cuadrícula. Geocodificación de direcciones manuales evaluada y aplazada.</w:t>
      </w:r>
    </w:p>
    <w:p>
      <w:pPr>
        <w:pStyle w:val="ListNumber"/>
      </w:pPr>
      <w:r>
        <w:t>Completado en v0.5: roles de usuario, moderación manual de reportes y pantalla de políticas visibles. La verificación de correo y recuperación de contraseña siguen pendientes.</w:t>
      </w:r>
    </w:p>
    <w:p>
      <w:pPr>
        <w:pStyle w:val="ListNumber"/>
      </w:pPr>
      <w:r>
        <w:rPr>
          <w:b/>
        </w:rPr>
        <w:t xml:space="preserve">v0.6 - Analítica e inteligencia: </w:t>
      </w:r>
      <w:r>
        <w:t>Construir tendencias y zonas críticas a partir de datos agregados; evaluar clasificación asistida por IA para categorizar reportes, con revisión humana y mediciones de calidad.</w:t>
      </w:r>
    </w:p>
    <w:p>
      <w:pPr>
        <w:pStyle w:val="ListNumber"/>
      </w:pPr>
      <w:r>
        <w:rPr>
          <w:b/>
        </w:rPr>
        <w:t xml:space="preserve">v1.0 - Preparación para uso real: </w:t>
      </w:r>
      <w:r>
        <w:t>Desplegar API y base de datos en infraestructura administrada; incorporar HTTPS/TLS, secretos gestionados, límites antiabuso, copias de seguridad, monitoreo, CI/CD, pruebas de seguridad y publicación Android.</w:t>
      </w:r>
    </w:p>
    <w:p>
      <w:pPr>
        <w:pStyle w:val="Heading2"/>
      </w:pPr>
      <w:r>
        <w:t>Trabajo transversal</w:t>
      </w:r>
    </w:p>
    <w:p>
      <w:r>
        <w:t>En todas las etapas deben considerarse pruebas de integración entre Android y la API, paginación espacial, límites y validación de imágenes, estrategia de retención, accesibilidad y pruebas en teléfonos reales. IA y despliegue productivo no forman parte de v0.5.0.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68"/>
        <w:sz w:val="16"/>
      </w:rPr>
      <w:t>ParkSmart  |  Versión 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