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Appendix_A"/>
      <w:pPr>
        <w:pStyle w:val="Title"/>
      </w:pPr>
      <w:r>
        <w:t>Appendix A — Data provenance and extended descriptive summaries</w:t>
      </w:r>
      <w:bookmarkEnd w:id="1"/>
    </w:p>
    <w:p>
      <w:r>
        <w:t>These observed summaries preceded fold-local imputation. Percentages used the full analytical sample; recorded variable codes were not assigned additional clinical interpretations.</w:t>
      </w:r>
    </w:p>
    <w:p>
      <w:pPr>
        <w:pStyle w:val="Heading2"/>
      </w:pPr>
      <w:r>
        <w:t>Observed missingness by predictor</w:t>
      </w:r>
    </w:p>
    <w:tbl>
      <w:tblPr>
        <w:tblW w:type="auto" w:w="0"/>
        <w:jc w:val="center"/>
        <w:tblLayout w:type="fixed"/>
        <w:tblLook w:firstColumn="1" w:firstRow="1" w:lastColumn="0" w:lastRow="0" w:noHBand="0" w:noVBand="1" w:val="04A0"/>
      </w:tblPr>
      <w:tblGrid>
        <w:gridCol w:w="2779"/>
        <w:gridCol w:w="2779"/>
        <w:gridCol w:w="9264"/>
      </w:tblGrid>
      <w:tr>
        <w:trPr>
          <w:cantSplit/>
          <w:tblHeader/>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Predictor</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Missing n</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Missing % of analytical sample</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age</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sex</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trestbps</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chol</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fbs</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restecg</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thalach</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exang</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oldpeak</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slope</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1.3%</w:t>
            </w:r>
          </w:p>
        </w:tc>
      </w:tr>
      <w:tr>
        <w:trPr>
          <w:cantSplit/>
        </w:trPr>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277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w:t>
            </w:r>
          </w:p>
        </w:tc>
        <w:tc>
          <w:tcPr>
            <w:tcW w:type="dxa" w:w="92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0.7%</w:t>
            </w:r>
          </w:p>
        </w:tc>
      </w:tr>
    </w:tbl>
    <w:p>
      <w:pPr>
        <w:spacing w:line="40" w:lineRule="exact" w:after="40"/>
      </w:pPr>
    </w:p>
    <w:p>
      <w:pPr>
        <w:pStyle w:val="Heading2"/>
      </w:pPr>
      <w:r>
        <w:t>Extended numeric descriptions</w:t>
      </w:r>
    </w:p>
    <w:tbl>
      <w:tblPr>
        <w:tblW w:type="auto" w:w="0"/>
        <w:jc w:val="center"/>
        <w:tblLayout w:type="fixed"/>
        <w:tblLook w:firstColumn="1" w:firstRow="1" w:lastColumn="0" w:lastRow="0" w:noHBand="0" w:noVBand="1" w:val="04A0"/>
      </w:tblPr>
      <w:tblGrid>
        <w:gridCol w:w="2340"/>
        <w:gridCol w:w="1560"/>
        <w:gridCol w:w="1560"/>
        <w:gridCol w:w="1560"/>
        <w:gridCol w:w="1560"/>
        <w:gridCol w:w="1560"/>
        <w:gridCol w:w="1560"/>
        <w:gridCol w:w="1560"/>
        <w:gridCol w:w="1560"/>
      </w:tblGrid>
      <w:tr>
        <w:trPr>
          <w:cantSplit/>
          <w:tblHeader/>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predictor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Observed n</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SD</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Minimum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25th percentile</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Median</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75th percentile</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Maximum</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age</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303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54.44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9.04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48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56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61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77</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trestbps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303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131.69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17.60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94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120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140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200</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chol</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303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246.69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51.78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126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211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241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275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564</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thalach</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303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149.61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22.88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71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133.50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153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166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202</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oldpeak</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6.20</w:t>
            </w:r>
          </w:p>
        </w:tc>
      </w:tr>
    </w:tbl>
    <w:p>
      <w:pPr>
        <w:spacing w:line="40" w:lineRule="exact" w:after="40"/>
      </w:pPr>
    </w:p>
    <w:p>
      <w:pPr>
        <w:pStyle w:val="Heading2"/>
      </w:pPr>
      <w:r>
        <w:t>Complete categorical frequencies</w:t>
      </w:r>
    </w:p>
    <w:tbl>
      <w:tblPr>
        <w:tblW w:type="auto" w:w="0"/>
        <w:jc w:val="center"/>
        <w:tblLayout w:type="fixed"/>
        <w:tblLook w:firstColumn="1" w:firstRow="1" w:lastColumn="0" w:lastRow="0" w:noHBand="0" w:noVBand="1" w:val="04A0"/>
      </w:tblPr>
      <w:tblGrid>
        <w:gridCol w:w="1962"/>
        <w:gridCol w:w="6103"/>
        <w:gridCol w:w="872"/>
        <w:gridCol w:w="5885"/>
      </w:tblGrid>
      <w:tr>
        <w:trPr>
          <w:cantSplit/>
          <w:tblHeader/>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Predictor</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code / status</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n</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 of full analytical sample</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sex</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206</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68.0%</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sex</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97</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32.0%</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144</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47.5%</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86</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28.4%</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50</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16.5%</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23</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7.6%</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fbs</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258</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85.1%</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fbs</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45</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14.9%</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restecg</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151</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49.8%</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restecg</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148</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48.8%</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restecg</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1.3%</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exang</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204</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67.3%</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exang</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99</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32.7%</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slope</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142</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46.9%</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slope</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140</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46.2%</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slope</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21</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6.9%</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176</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58.1%</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65</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21.5%</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38</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12.5%</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6.6%</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Missing (blank source level)</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4</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1.3%</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166</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54.8%</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7.0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117</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38.6%</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6.0</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18</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5.9%</w:t>
            </w:r>
          </w:p>
        </w:tc>
      </w:tr>
      <w:tr>
        <w:trPr>
          <w:cantSplit/>
        </w:trPr>
        <w:tc>
          <w:tcPr>
            <w:tcW w:type="dxa" w:w="196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Missing (blank source level)</w:t>
            </w:r>
          </w:p>
        </w:tc>
        <w:tc>
          <w:tcPr>
            <w:tcW w:type="dxa" w:w="8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w:t>
            </w:r>
          </w:p>
        </w:tc>
        <w:tc>
          <w:tcPr>
            <w:tcW w:type="dxa" w:w="588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0.7%</w:t>
            </w:r>
          </w:p>
        </w:tc>
      </w:tr>
    </w:tbl>
    <w:p>
      <w:pPr>
        <w:spacing w:line="40" w:lineRule="exact" w:after="40"/>
      </w:pPr>
    </w:p>
    <w:p>
      <w:pPr>
        <w:sectPr>
          <w:footerReference w:type="default" r:id="rId9"/>
          <w:pgSz w:w="16838" w:h="11906" w:orient="landscape"/>
          <w:pgMar w:top="1080" w:right="1008" w:bottom="1080" w:left="1008" w:header="504" w:footer="504" w:gutter="0"/>
          <w:cols w:space="720"/>
          <w:docGrid w:linePitch="360"/>
          <w:pgNumType w:start="46" w:fmt="decimal"/>
        </w:sectPr>
      </w:pPr>
    </w:p>
    <w:p>
      <w:pPr>
        <w:pStyle w:val="Caption"/>
      </w:pPr>
      <w:r>
        <w:rPr>
          <w:b/>
        </w:rPr>
        <w:t>Figure 4.1</w:t>
      </w:r>
    </w:p>
    <w:p>
      <w:pPr>
        <w:pStyle w:val="Caption"/>
      </w:pPr>
      <w:r>
        <w:t>Observed outcome distribution and missingness before imputation.</w:t>
      </w:r>
    </w:p>
    <w:p>
      <w:pPr>
        <w:keepNext/>
        <w:spacing w:after="80"/>
        <w:jc w:val="center"/>
      </w:pPr>
      <w:r>
        <w:drawing>
          <wp:inline xmlns:a="http://schemas.openxmlformats.org/drawingml/2006/main" xmlns:pic="http://schemas.openxmlformats.org/drawingml/2006/picture">
            <wp:extent cx="9411970" cy="3764788"/>
            <wp:docPr id="1" name="Picture 1"/>
            <wp:cNvGraphicFramePr>
              <a:graphicFrameLocks noChangeAspect="1"/>
            </wp:cNvGraphicFramePr>
            <a:graphic>
              <a:graphicData uri="http://schemas.openxmlformats.org/drawingml/2006/picture">
                <pic:pic>
                  <pic:nvPicPr>
                    <pic:cNvPr id="0" name="Figure_4_1_Print.png"/>
                    <pic:cNvPicPr/>
                  </pic:nvPicPr>
                  <pic:blipFill>
                    <a:blip r:embed="rId10"/>
                    <a:stretch>
                      <a:fillRect/>
                    </a:stretch>
                  </pic:blipFill>
                  <pic:spPr>
                    <a:xfrm>
                      <a:off x="0" y="0"/>
                      <a:ext cx="9411970" cy="3764788"/>
                    </a:xfrm>
                    <a:prstGeom prst="rect"/>
                  </pic:spPr>
                </pic:pic>
              </a:graphicData>
            </a:graphic>
          </wp:inline>
        </w:drawing>
      </w:r>
    </w:p>
    <w:p>
      <w:r>
        <w:t>Source: present study, executed workflow.</w:t>
      </w:r>
    </w:p>
    <w:p>
      <w:pPr>
        <w:pStyle w:val="Heading2"/>
      </w:pPr>
      <w:r>
        <w:t>Electronic supporting records</w:t>
      </w:r>
    </w:p>
    <w:p>
      <w:pPr>
        <w:spacing w:line="240" w:lineRule="auto" w:after="40"/>
      </w:pPr>
      <w:hyperlink r:id="rId11">
        <w:r>
          <w:rPr>
            <w:color w:val="000000"/>
            <w:u w:val="single"/>
          </w:rPr>
          <w:t>data provenance</w:t>
        </w:r>
      </w:hyperlink>
    </w:p>
    <w:p>
      <w:pPr>
        <w:spacing w:line="240" w:lineRule="auto" w:after="40"/>
      </w:pPr>
      <w:hyperlink r:id="rId12">
        <w:r>
          <w:rPr>
            <w:color w:val="000000"/>
            <w:u w:val="single"/>
          </w:rPr>
          <w:t>dataset class distribution</w:t>
        </w:r>
      </w:hyperlink>
    </w:p>
    <w:p>
      <w:pPr>
        <w:spacing w:line="240" w:lineRule="auto" w:after="40"/>
      </w:pPr>
      <w:hyperlink r:id="rId13">
        <w:r>
          <w:rPr>
            <w:color w:val="000000"/>
            <w:u w:val="single"/>
          </w:rPr>
          <w:t>dataset missingness</w:t>
        </w:r>
      </w:hyperlink>
    </w:p>
    <w:p>
      <w:pPr>
        <w:spacing w:line="240" w:lineRule="auto" w:after="40"/>
      </w:pPr>
      <w:hyperlink r:id="rId14">
        <w:r>
          <w:rPr>
            <w:color w:val="000000"/>
            <w:u w:val="single"/>
          </w:rPr>
          <w:t>dataset numeric summary</w:t>
        </w:r>
      </w:hyperlink>
    </w:p>
    <w:p>
      <w:pPr>
        <w:spacing w:line="240" w:lineRule="auto" w:after="40"/>
      </w:pPr>
      <w:hyperlink r:id="rId15">
        <w:r>
          <w:rPr>
            <w:color w:val="000000"/>
            <w:u w:val="single"/>
          </w:rPr>
          <w:t>dataset categorical frequencies</w:t>
        </w:r>
      </w:hyperlink>
    </w:p>
    <w:p>
      <w:r>
        <w:t>Data source: Janosi et al. (1989), Heart Disease dataset, University of California, Irvine Machine Learning Repository. Dataset attribution is listed separately in the chapter reference file.</w:t>
      </w:r>
    </w:p>
    <w:p>
      <w:pPr>
        <w:sectPr>
          <w:pgSz w:w="16838" w:h="11906" w:orient="landscape"/>
          <w:pgMar w:top="1080" w:right="1008" w:bottom="1080" w:left="1008" w:header="504" w:footer="504" w:gutter="0"/>
          <w:cols w:space="720"/>
          <w:docGrid w:linePitch="360"/>
        </w:sectPr>
      </w:pPr>
    </w:p>
    <w:p>
      <w:bookmarkStart w:id="2" w:name="Appendix_B"/>
      <w:pPr>
        <w:pStyle w:val="Title"/>
      </w:pPr>
      <w:r>
        <w:t>Appendix B — Fold performance, calibration and paired summaries</w:t>
      </w:r>
      <w:bookmarkEnd w:id="2"/>
    </w:p>
    <w:p>
      <w:r>
        <w:t>Fold descriptions concerned dependent validation splits. Conditional bootstrap intervals described realised aggregated predictions and did not repeat model development or test the approved fold-mean hypotheses.</w:t>
      </w:r>
    </w:p>
    <w:p>
      <w:pPr>
        <w:pStyle w:val="Heading2"/>
      </w:pPr>
      <w:r>
        <w:t>Full secondary metric contrasts and conditional intervals</w:t>
      </w:r>
    </w:p>
    <w:tbl>
      <w:tblPr>
        <w:tblW w:type="auto" w:w="0"/>
        <w:jc w:val="center"/>
        <w:tblLayout w:type="fixed"/>
        <w:tblLook w:firstColumn="1" w:firstRow="1" w:lastColumn="0" w:lastRow="0" w:noHBand="0" w:noVBand="1" w:val="04A0"/>
      </w:tblPr>
      <w:tblGrid>
        <w:gridCol w:w="1360"/>
        <w:gridCol w:w="2856"/>
        <w:gridCol w:w="2312"/>
        <w:gridCol w:w="4623"/>
        <w:gridCol w:w="3672"/>
      </w:tblGrid>
      <w:tr>
        <w:trPr>
          <w:cantSplit/>
          <w:tblHeader/>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Subtraction direction</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Metric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Difference; conditional interval</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Interval spans/touches zero</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-0.0474; 95% CI [-0.0907, -0.0067]</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false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+0.0018; 95% CI [-0.0072, +0.0104]</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-0.0123; 95% CI [-0.0310, +0.0081]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-0.0474; 95% CI [-0.1011, +0.0065]</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+0.0032; 95% CI [-0.0054, +0.0117]</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-0.0201; 95% CI [-0.0421, +0.0058]</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+0.0001; 95% CI [-0.0399, +0.0400]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-0.0014; 95% CI [-0.0055, +0.0031]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+0.0078; 95% CI [-0.0044, +0.0191]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+0.0351; 95% CI [-0.0361, +0.1070]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-0.0038; 95% CI [-0.0210, +0.0139]</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-0.0039; 95% CI [-0.0471, +0.0375]</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+0.0333; 95% CI [-0.0462, +0.1134]</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-0.0065; 95% CI [-0.0233, +0.0096]</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+0.0161; 95% CI [-0.0253, +0.0578]</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+0.0018; 95% CI [-0.0588, +0.0621]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+0.0028; 95% CI [-0.0093, +0.0161]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-0.0200; 95% CI [-0.0645, +0.0243]</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+0.0066; 95% CI [-0.0335, +0.0517]</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+0.0014; 95% CI [-0.0045, +0.0074]</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-0.0106; 95% CI [-0.0240, +0.0024]</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+0.0267; 95% CI [-0.0202, +0.0801]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-0.0020; 95% CI [-0.0073, +0.0033]</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-0.0068; 95% CI [-0.0209, +0.0055]</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-0.0200; 95% CI [-0.0600, +0.0188]</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+0.0034; 95% CI [-0.0010, +0.0076]</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-0.0039; 95% CI [-0.0140, +0.0077]</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+0.0264; 95% CI [-0.0270, +0.0866]</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-0.0002; 95% CI [-0.0117, +0.0116]</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-0.0031; 95% CI [-0.0190, +0.0132]</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+0.0264; 95% CI [-0.0261, +0.0802]</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+0.0006; 95% CI [-0.0118, +0.0130]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-0.0078; 95% CI [-0.0263, +0.0102]</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0.0000; 95% CI [-0.0401, +0.0400]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-0.0008; 95% CI [-0.0074, +0.0062]</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+0.0046; 95% CI [-0.0063, +0.0155]</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+0.0270; 95% CI [-0.0326, +0.0805]</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-0.0034; 95% CI [-0.0118, +0.0051]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-0.0008; 95% CI [-0.0207, +0.0170]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+0.0270; 95% CI [-0.0203, +0.0761]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-0.0021; 95% CI [-0.0101, +0.0061]</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 minus ALL</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+0.0002; 95% CI [-0.0148, +0.0144]</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MCC</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0.0000; 95% CI [-0.0535, +0.0532]</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Brier</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-0.0013; 95% CI [-0.0091, +0.0070]</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r>
        <w:trPr>
          <w:cantSplit/>
        </w:trPr>
        <w:tc>
          <w:tcPr>
            <w:tcW w:type="dxa" w:w="13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85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 minus PSO</w:t>
            </w:r>
          </w:p>
        </w:tc>
        <w:tc>
          <w:tcPr>
            <w:tcW w:type="dxa" w:w="23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Average precision</w:t>
            </w:r>
          </w:p>
        </w:tc>
        <w:tc>
          <w:tcPr>
            <w:tcW w:type="dxa" w:w="46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-0.0009; 95% CI [-0.0174, +0.0159]</w:t>
            </w:r>
          </w:p>
        </w:tc>
        <w:tc>
          <w:tcPr>
            <w:tcW w:type="dxa" w:w="367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true</w:t>
            </w:r>
          </w:p>
        </w:tc>
      </w:tr>
    </w:tbl>
    <w:p>
      <w:pPr>
        <w:spacing w:line="40" w:lineRule="exact" w:after="40"/>
      </w:pPr>
    </w:p>
    <w:p>
      <w:pPr>
        <w:pStyle w:val="Heading2"/>
      </w:pPr>
      <w:r>
        <w:t>Registered disagreement in ROC-AUC direction</w:t>
      </w:r>
    </w:p>
    <w:tbl>
      <w:tblPr>
        <w:tblW w:type="auto" w:w="0"/>
        <w:jc w:val="center"/>
        <w:tblLayout w:type="fixed"/>
        <w:tblLook w:firstColumn="1" w:firstRow="1" w:lastColumn="0" w:lastRow="0" w:noHBand="0" w:noVBand="1" w:val="04A0"/>
      </w:tblPr>
      <w:tblGrid>
        <w:gridCol w:w="1830"/>
        <w:gridCol w:w="3843"/>
        <w:gridCol w:w="4758"/>
        <w:gridCol w:w="4392"/>
      </w:tblGrid>
      <w:tr>
        <w:trPr>
          <w:cantSplit/>
          <w:tblHeader/>
        </w:trPr>
        <w:tc>
          <w:tcPr>
            <w:tcW w:type="dxa" w:w="183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Classifier</w:t>
            </w:r>
          </w:p>
        </w:tc>
        <w:tc>
          <w:tcPr>
            <w:tcW w:type="dxa" w:w="384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Subtraction direction</w:t>
            </w:r>
          </w:p>
        </w:tc>
        <w:tc>
          <w:tcPr>
            <w:tcW w:type="dxa" w:w="475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Paired-fold mean direction</w:t>
            </w:r>
          </w:p>
        </w:tc>
        <w:tc>
          <w:tcPr>
            <w:tcW w:type="dxa" w:w="439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Aggregated-OOF direction</w:t>
            </w:r>
          </w:p>
        </w:tc>
      </w:tr>
      <w:tr>
        <w:trPr>
          <w:cantSplit/>
        </w:trPr>
        <w:tc>
          <w:tcPr>
            <w:tcW w:type="dxa" w:w="183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DT</w:t>
            </w:r>
          </w:p>
        </w:tc>
        <w:tc>
          <w:tcPr>
            <w:tcW w:type="dxa" w:w="384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GA minus ALL</w:t>
            </w:r>
          </w:p>
        </w:tc>
        <w:tc>
          <w:tcPr>
            <w:tcW w:type="dxa" w:w="475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negative</w:t>
            </w:r>
          </w:p>
        </w:tc>
        <w:tc>
          <w:tcPr>
            <w:tcW w:type="dxa" w:w="439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positive</w:t>
            </w:r>
          </w:p>
        </w:tc>
      </w:tr>
      <w:tr>
        <w:trPr>
          <w:cantSplit/>
        </w:trPr>
        <w:tc>
          <w:tcPr>
            <w:tcW w:type="dxa" w:w="183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XGB</w:t>
            </w:r>
          </w:p>
        </w:tc>
        <w:tc>
          <w:tcPr>
            <w:tcW w:type="dxa" w:w="384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GA minus ALL</w:t>
            </w:r>
          </w:p>
        </w:tc>
        <w:tc>
          <w:tcPr>
            <w:tcW w:type="dxa" w:w="475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negative</w:t>
            </w:r>
          </w:p>
        </w:tc>
        <w:tc>
          <w:tcPr>
            <w:tcW w:type="dxa" w:w="439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positive</w:t>
            </w:r>
          </w:p>
        </w:tc>
      </w:tr>
    </w:tbl>
    <w:p>
      <w:pPr>
        <w:spacing w:line="40" w:lineRule="exact" w:after="40"/>
      </w:pPr>
    </w:p>
    <w:p>
      <w:pPr>
        <w:sectPr>
          <w:pgSz w:w="16838" w:h="11906" w:orient="landscape"/>
          <w:pgMar w:top="1080" w:right="1008" w:bottom="1080" w:left="1008" w:header="504" w:footer="504" w:gutter="0"/>
          <w:cols w:space="720"/>
          <w:docGrid w:linePitch="360"/>
        </w:sectPr>
      </w:pPr>
    </w:p>
    <w:p>
      <w:pPr>
        <w:pStyle w:val="Caption"/>
      </w:pPr>
      <w:r>
        <w:rPr>
          <w:b/>
        </w:rPr>
        <w:t>Figure 4.2</w:t>
      </w:r>
    </w:p>
    <w:p>
      <w:pPr>
        <w:pStyle w:val="Caption"/>
      </w:pPr>
      <w:r>
        <w:t>Descriptive ROC-AUC distributions across dependent outer folds.</w:t>
      </w:r>
    </w:p>
    <w:p>
      <w:pPr>
        <w:keepNext/>
        <w:spacing w:after="80"/>
        <w:jc w:val="center"/>
      </w:pPr>
      <w:r>
        <w:drawing>
          <wp:inline xmlns:a="http://schemas.openxmlformats.org/drawingml/2006/main" xmlns:pic="http://schemas.openxmlformats.org/drawingml/2006/picture">
            <wp:extent cx="9347200" cy="4206240"/>
            <wp:docPr id="2" name="Picture 2"/>
            <wp:cNvGraphicFramePr>
              <a:graphicFrameLocks noChangeAspect="1"/>
            </wp:cNvGraphicFramePr>
            <a:graphic>
              <a:graphicData uri="http://schemas.openxmlformats.org/drawingml/2006/picture">
                <pic:pic>
                  <pic:nvPicPr>
                    <pic:cNvPr id="0" name="Figure_4_2_Print.png"/>
                    <pic:cNvPicPr/>
                  </pic:nvPicPr>
                  <pic:blipFill>
                    <a:blip r:embed="rId16"/>
                    <a:stretch>
                      <a:fillRect/>
                    </a:stretch>
                  </pic:blipFill>
                  <pic:spPr>
                    <a:xfrm>
                      <a:off x="0" y="0"/>
                      <a:ext cx="9347200"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4.3 LR</w:t>
      </w:r>
    </w:p>
    <w:p>
      <w:pPr>
        <w:pStyle w:val="Caption"/>
      </w:pPr>
      <w:r>
        <w:t>Aggregated OOF ROC and precision–recall curves. Precision–recall legend values reported average precision.</w:t>
      </w:r>
    </w:p>
    <w:p>
      <w:pPr>
        <w:keepNext/>
        <w:spacing w:after="80"/>
        <w:jc w:val="center"/>
      </w:pPr>
      <w:r>
        <w:drawing>
          <wp:inline xmlns:a="http://schemas.openxmlformats.org/drawingml/2006/main" xmlns:pic="http://schemas.openxmlformats.org/drawingml/2006/picture">
            <wp:extent cx="9411970" cy="3388309"/>
            <wp:docPr id="3" name="Picture 3"/>
            <wp:cNvGraphicFramePr>
              <a:graphicFrameLocks noChangeAspect="1"/>
            </wp:cNvGraphicFramePr>
            <a:graphic>
              <a:graphicData uri="http://schemas.openxmlformats.org/drawingml/2006/picture">
                <pic:pic>
                  <pic:nvPicPr>
                    <pic:cNvPr id="0" name="Figure_4_3_LR.png"/>
                    <pic:cNvPicPr/>
                  </pic:nvPicPr>
                  <pic:blipFill>
                    <a:blip r:embed="rId17"/>
                    <a:stretch>
                      <a:fillRect/>
                    </a:stretch>
                  </pic:blipFill>
                  <pic:spPr>
                    <a:xfrm>
                      <a:off x="0" y="0"/>
                      <a:ext cx="9411970" cy="338830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4.3 DT continued</w:t>
      </w:r>
    </w:p>
    <w:p>
      <w:pPr>
        <w:keepNext/>
        <w:spacing w:after="80"/>
        <w:jc w:val="center"/>
      </w:pPr>
      <w:r>
        <w:drawing>
          <wp:inline xmlns:a="http://schemas.openxmlformats.org/drawingml/2006/main" xmlns:pic="http://schemas.openxmlformats.org/drawingml/2006/picture">
            <wp:extent cx="9411970" cy="3388309"/>
            <wp:docPr id="4" name="Picture 4"/>
            <wp:cNvGraphicFramePr>
              <a:graphicFrameLocks noChangeAspect="1"/>
            </wp:cNvGraphicFramePr>
            <a:graphic>
              <a:graphicData uri="http://schemas.openxmlformats.org/drawingml/2006/picture">
                <pic:pic>
                  <pic:nvPicPr>
                    <pic:cNvPr id="0" name="Figure_4_3_DT.png"/>
                    <pic:cNvPicPr/>
                  </pic:nvPicPr>
                  <pic:blipFill>
                    <a:blip r:embed="rId18"/>
                    <a:stretch>
                      <a:fillRect/>
                    </a:stretch>
                  </pic:blipFill>
                  <pic:spPr>
                    <a:xfrm>
                      <a:off x="0" y="0"/>
                      <a:ext cx="9411970" cy="338830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4.3 RF continued</w:t>
      </w:r>
    </w:p>
    <w:p>
      <w:pPr>
        <w:keepNext/>
        <w:spacing w:after="80"/>
        <w:jc w:val="center"/>
      </w:pPr>
      <w:r>
        <w:drawing>
          <wp:inline xmlns:a="http://schemas.openxmlformats.org/drawingml/2006/main" xmlns:pic="http://schemas.openxmlformats.org/drawingml/2006/picture">
            <wp:extent cx="9411970" cy="3388309"/>
            <wp:docPr id="5" name="Picture 5"/>
            <wp:cNvGraphicFramePr>
              <a:graphicFrameLocks noChangeAspect="1"/>
            </wp:cNvGraphicFramePr>
            <a:graphic>
              <a:graphicData uri="http://schemas.openxmlformats.org/drawingml/2006/picture">
                <pic:pic>
                  <pic:nvPicPr>
                    <pic:cNvPr id="0" name="Figure_4_3_RF.png"/>
                    <pic:cNvPicPr/>
                  </pic:nvPicPr>
                  <pic:blipFill>
                    <a:blip r:embed="rId19"/>
                    <a:stretch>
                      <a:fillRect/>
                    </a:stretch>
                  </pic:blipFill>
                  <pic:spPr>
                    <a:xfrm>
                      <a:off x="0" y="0"/>
                      <a:ext cx="9411970" cy="338830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4.3 SVM continued</w:t>
      </w:r>
    </w:p>
    <w:p>
      <w:pPr>
        <w:keepNext/>
        <w:spacing w:after="80"/>
        <w:jc w:val="center"/>
      </w:pPr>
      <w:r>
        <w:drawing>
          <wp:inline xmlns:a="http://schemas.openxmlformats.org/drawingml/2006/main" xmlns:pic="http://schemas.openxmlformats.org/drawingml/2006/picture">
            <wp:extent cx="9411970" cy="3388309"/>
            <wp:docPr id="6" name="Picture 6"/>
            <wp:cNvGraphicFramePr>
              <a:graphicFrameLocks noChangeAspect="1"/>
            </wp:cNvGraphicFramePr>
            <a:graphic>
              <a:graphicData uri="http://schemas.openxmlformats.org/drawingml/2006/picture">
                <pic:pic>
                  <pic:nvPicPr>
                    <pic:cNvPr id="0" name="Figure_4_3_SVM.png"/>
                    <pic:cNvPicPr/>
                  </pic:nvPicPr>
                  <pic:blipFill>
                    <a:blip r:embed="rId20"/>
                    <a:stretch>
                      <a:fillRect/>
                    </a:stretch>
                  </pic:blipFill>
                  <pic:spPr>
                    <a:xfrm>
                      <a:off x="0" y="0"/>
                      <a:ext cx="9411970" cy="338830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4.3 XGB continued</w:t>
      </w:r>
    </w:p>
    <w:p>
      <w:pPr>
        <w:keepNext/>
        <w:spacing w:after="80"/>
        <w:jc w:val="center"/>
      </w:pPr>
      <w:r>
        <w:drawing>
          <wp:inline xmlns:a="http://schemas.openxmlformats.org/drawingml/2006/main" xmlns:pic="http://schemas.openxmlformats.org/drawingml/2006/picture">
            <wp:extent cx="9411970" cy="3388309"/>
            <wp:docPr id="7" name="Picture 7"/>
            <wp:cNvGraphicFramePr>
              <a:graphicFrameLocks noChangeAspect="1"/>
            </wp:cNvGraphicFramePr>
            <a:graphic>
              <a:graphicData uri="http://schemas.openxmlformats.org/drawingml/2006/picture">
                <pic:pic>
                  <pic:nvPicPr>
                    <pic:cNvPr id="0" name="Figure_4_3_XGB.png"/>
                    <pic:cNvPicPr/>
                  </pic:nvPicPr>
                  <pic:blipFill>
                    <a:blip r:embed="rId21"/>
                    <a:stretch>
                      <a:fillRect/>
                    </a:stretch>
                  </pic:blipFill>
                  <pic:spPr>
                    <a:xfrm>
                      <a:off x="0" y="0"/>
                      <a:ext cx="9411970" cy="338830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4.4</w:t>
      </w:r>
    </w:p>
    <w:p>
      <w:pPr>
        <w:pStyle w:val="Caption"/>
      </w:pPr>
      <w:r>
        <w:t>Secondary descriptive calibration of aggregated OOF probabilities; visual proximity to the diagonal did not establish clinical calibration.</w:t>
      </w:r>
    </w:p>
    <w:p>
      <w:pPr>
        <w:keepNext/>
        <w:spacing w:after="80"/>
        <w:jc w:val="center"/>
      </w:pPr>
      <w:r>
        <w:drawing>
          <wp:inline xmlns:a="http://schemas.openxmlformats.org/drawingml/2006/main" xmlns:pic="http://schemas.openxmlformats.org/drawingml/2006/picture">
            <wp:extent cx="9411970" cy="3482428"/>
            <wp:docPr id="8" name="Picture 8"/>
            <wp:cNvGraphicFramePr>
              <a:graphicFrameLocks noChangeAspect="1"/>
            </wp:cNvGraphicFramePr>
            <a:graphic>
              <a:graphicData uri="http://schemas.openxmlformats.org/drawingml/2006/picture">
                <pic:pic>
                  <pic:nvPicPr>
                    <pic:cNvPr id="0" name="Figure_4_4_Panel_1.png"/>
                    <pic:cNvPicPr/>
                  </pic:nvPicPr>
                  <pic:blipFill>
                    <a:blip r:embed="rId22"/>
                    <a:stretch>
                      <a:fillRect/>
                    </a:stretch>
                  </pic:blipFill>
                  <pic:spPr>
                    <a:xfrm>
                      <a:off x="0" y="0"/>
                      <a:ext cx="9411970" cy="348242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4.4 continued</w:t>
      </w:r>
    </w:p>
    <w:p>
      <w:pPr>
        <w:keepNext/>
        <w:spacing w:after="80"/>
        <w:jc w:val="center"/>
      </w:pPr>
      <w:r>
        <w:drawing>
          <wp:inline xmlns:a="http://schemas.openxmlformats.org/drawingml/2006/main" xmlns:pic="http://schemas.openxmlformats.org/drawingml/2006/picture">
            <wp:extent cx="9411970" cy="3482428"/>
            <wp:docPr id="9" name="Picture 9"/>
            <wp:cNvGraphicFramePr>
              <a:graphicFrameLocks noChangeAspect="1"/>
            </wp:cNvGraphicFramePr>
            <a:graphic>
              <a:graphicData uri="http://schemas.openxmlformats.org/drawingml/2006/picture">
                <pic:pic>
                  <pic:nvPicPr>
                    <pic:cNvPr id="0" name="Figure_4_4_Panel_2.png"/>
                    <pic:cNvPicPr/>
                  </pic:nvPicPr>
                  <pic:blipFill>
                    <a:blip r:embed="rId23"/>
                    <a:stretch>
                      <a:fillRect/>
                    </a:stretch>
                  </pic:blipFill>
                  <pic:spPr>
                    <a:xfrm>
                      <a:off x="0" y="0"/>
                      <a:ext cx="9411970" cy="348242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4.4 continued</w:t>
      </w:r>
    </w:p>
    <w:p>
      <w:pPr>
        <w:keepNext/>
        <w:spacing w:after="80"/>
        <w:jc w:val="center"/>
      </w:pPr>
      <w:r>
        <w:drawing>
          <wp:inline xmlns:a="http://schemas.openxmlformats.org/drawingml/2006/main" xmlns:pic="http://schemas.openxmlformats.org/drawingml/2006/picture">
            <wp:extent cx="5684108" cy="4206240"/>
            <wp:docPr id="10" name="Picture 10"/>
            <wp:cNvGraphicFramePr>
              <a:graphicFrameLocks noChangeAspect="1"/>
            </wp:cNvGraphicFramePr>
            <a:graphic>
              <a:graphicData uri="http://schemas.openxmlformats.org/drawingml/2006/picture">
                <pic:pic>
                  <pic:nvPicPr>
                    <pic:cNvPr id="0" name="Figure_4_4_Panel_3.png"/>
                    <pic:cNvPicPr/>
                  </pic:nvPicPr>
                  <pic:blipFill>
                    <a:blip r:embed="rId24"/>
                    <a:stretch>
                      <a:fillRect/>
                    </a:stretch>
                  </pic:blipFill>
                  <pic:spPr>
                    <a:xfrm>
                      <a:off x="0" y="0"/>
                      <a:ext cx="5684108"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4.5</w:t>
      </w:r>
    </w:p>
    <w:p>
      <w:pPr>
        <w:pStyle w:val="Caption"/>
      </w:pPr>
      <w:r>
        <w:t>Secondary aggregated OOF ROC-AUC differences with 95% outcome-stratified paired bootstrap intervals conditional on realised aggregated predictions. These were not intervals for paired outer-fold means.</w:t>
      </w:r>
    </w:p>
    <w:p>
      <w:pPr>
        <w:keepNext/>
        <w:spacing w:after="80"/>
        <w:jc w:val="center"/>
      </w:pPr>
      <w:r>
        <w:drawing>
          <wp:inline xmlns:a="http://schemas.openxmlformats.org/drawingml/2006/main" xmlns:pic="http://schemas.openxmlformats.org/drawingml/2006/picture">
            <wp:extent cx="9153044" cy="4206240"/>
            <wp:docPr id="11" name="Picture 11"/>
            <wp:cNvGraphicFramePr>
              <a:graphicFrameLocks noChangeAspect="1"/>
            </wp:cNvGraphicFramePr>
            <a:graphic>
              <a:graphicData uri="http://schemas.openxmlformats.org/drawingml/2006/picture">
                <pic:pic>
                  <pic:nvPicPr>
                    <pic:cNvPr id="0" name="Figure_4_5_Panel_1.png"/>
                    <pic:cNvPicPr/>
                  </pic:nvPicPr>
                  <pic:blipFill>
                    <a:blip r:embed="rId25"/>
                    <a:stretch>
                      <a:fillRect/>
                    </a:stretch>
                  </pic:blipFill>
                  <pic:spPr>
                    <a:xfrm>
                      <a:off x="0" y="0"/>
                      <a:ext cx="9153044"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4.5 continued</w:t>
      </w:r>
    </w:p>
    <w:p>
      <w:pPr>
        <w:keepNext/>
        <w:spacing w:after="80"/>
        <w:jc w:val="center"/>
      </w:pPr>
      <w:r>
        <w:drawing>
          <wp:inline xmlns:a="http://schemas.openxmlformats.org/drawingml/2006/main" xmlns:pic="http://schemas.openxmlformats.org/drawingml/2006/picture">
            <wp:extent cx="9411970" cy="3482428"/>
            <wp:docPr id="12" name="Picture 12"/>
            <wp:cNvGraphicFramePr>
              <a:graphicFrameLocks noChangeAspect="1"/>
            </wp:cNvGraphicFramePr>
            <a:graphic>
              <a:graphicData uri="http://schemas.openxmlformats.org/drawingml/2006/picture">
                <pic:pic>
                  <pic:nvPicPr>
                    <pic:cNvPr id="0" name="Figure_4_5_Panel_2.png"/>
                    <pic:cNvPicPr/>
                  </pic:nvPicPr>
                  <pic:blipFill>
                    <a:blip r:embed="rId26"/>
                    <a:stretch>
                      <a:fillRect/>
                    </a:stretch>
                  </pic:blipFill>
                  <pic:spPr>
                    <a:xfrm>
                      <a:off x="0" y="0"/>
                      <a:ext cx="9411970" cy="3482428"/>
                    </a:xfrm>
                    <a:prstGeom prst="rect"/>
                  </pic:spPr>
                </pic:pic>
              </a:graphicData>
            </a:graphic>
          </wp:inline>
        </w:drawing>
      </w:r>
    </w:p>
    <w:p>
      <w:r>
        <w:t>Source: present study, executed workflow.</w:t>
      </w:r>
    </w:p>
    <w:p>
      <w:pPr>
        <w:pStyle w:val="Heading2"/>
      </w:pPr>
      <w:r>
        <w:t>Electronic supporting records</w:t>
      </w:r>
    </w:p>
    <w:p>
      <w:pPr>
        <w:spacing w:line="240" w:lineRule="auto" w:after="40"/>
      </w:pPr>
      <w:hyperlink r:id="rId27">
        <w:r>
          <w:rPr>
            <w:color w:val="000000"/>
            <w:u w:val="single"/>
          </w:rPr>
          <w:t>fold metrics</w:t>
        </w:r>
      </w:hyperlink>
    </w:p>
    <w:p>
      <w:pPr>
        <w:spacing w:line="240" w:lineRule="auto" w:after="40"/>
      </w:pPr>
      <w:hyperlink r:id="rId28">
        <w:r>
          <w:rPr>
            <w:color w:val="000000"/>
            <w:u w:val="single"/>
          </w:rPr>
          <w:t>outer split metadata</w:t>
        </w:r>
      </w:hyperlink>
    </w:p>
    <w:p>
      <w:pPr>
        <w:spacing w:line="240" w:lineRule="auto" w:after="40"/>
      </w:pPr>
      <w:hyperlink r:id="rId29">
        <w:r>
          <w:rPr>
            <w:color w:val="000000"/>
            <w:u w:val="single"/>
          </w:rPr>
          <w:t>aggregated oof performance</w:t>
        </w:r>
      </w:hyperlink>
    </w:p>
    <w:p>
      <w:pPr>
        <w:spacing w:line="240" w:lineRule="auto" w:after="40"/>
      </w:pPr>
      <w:hyperlink r:id="rId30">
        <w:r>
          <w:rPr>
            <w:color w:val="000000"/>
            <w:u w:val="single"/>
          </w:rPr>
          <w:t>descriptive outer fold performance</w:t>
        </w:r>
      </w:hyperlink>
    </w:p>
    <w:p>
      <w:pPr>
        <w:spacing w:line="240" w:lineRule="auto" w:after="40"/>
      </w:pPr>
      <w:hyperlink r:id="rId31">
        <w:r>
          <w:rPr>
            <w:color w:val="000000"/>
            <w:u w:val="single"/>
          </w:rPr>
          <w:t>calibration results</w:t>
        </w:r>
      </w:hyperlink>
    </w:p>
    <w:p>
      <w:pPr>
        <w:spacing w:line="240" w:lineRule="auto" w:after="40"/>
      </w:pPr>
      <w:hyperlink r:id="rId32">
        <w:r>
          <w:rPr>
            <w:color w:val="000000"/>
            <w:u w:val="single"/>
          </w:rPr>
          <w:t>paired bootstrap differences</w:t>
        </w:r>
      </w:hyperlink>
    </w:p>
    <w:p>
      <w:pPr>
        <w:spacing w:line="240" w:lineRule="auto" w:after="40"/>
      </w:pPr>
      <w:hyperlink r:id="rId33">
        <w:r>
          <w:rPr>
            <w:color w:val="000000"/>
            <w:u w:val="single"/>
          </w:rPr>
          <w:t>paired outer fold roc auc differences</w:t>
        </w:r>
      </w:hyperlink>
    </w:p>
    <w:p>
      <w:pPr>
        <w:spacing w:line="240" w:lineRule="auto" w:after="40"/>
      </w:pPr>
      <w:hyperlink r:id="rId34">
        <w:r>
          <w:rPr>
            <w:color w:val="000000"/>
            <w:u w:val="single"/>
          </w:rPr>
          <w:t>outer fold roc auc contrast summary</w:t>
        </w:r>
      </w:hyperlink>
    </w:p>
    <w:p>
      <w:pPr>
        <w:spacing w:line="240" w:lineRule="auto" w:after="40"/>
      </w:pPr>
      <w:hyperlink r:id="rId35">
        <w:r>
          <w:rPr>
            <w:color w:val="000000"/>
            <w:u w:val="single"/>
          </w:rPr>
          <w:t>estimand alignment summary</w:t>
        </w:r>
      </w:hyperlink>
    </w:p>
    <w:p>
      <w:pPr>
        <w:spacing w:line="240" w:lineRule="auto" w:after="40"/>
      </w:pPr>
      <w:hyperlink r:id="rId36">
        <w:r>
          <w:rPr>
            <w:color w:val="000000"/>
            <w:u w:val="single"/>
          </w:rPr>
          <w:t>Verified precision supplement</w:t>
        </w:r>
      </w:hyperlink>
    </w:p>
    <w:p>
      <w:pPr>
        <w:sectPr>
          <w:pgSz w:w="16838" w:h="11906" w:orient="landscape"/>
          <w:pgMar w:top="1080" w:right="1008" w:bottom="1080" w:left="1008" w:header="504" w:footer="504" w:gutter="0"/>
          <w:cols w:space="720"/>
          <w:docGrid w:linePitch="360"/>
        </w:sectPr>
      </w:pPr>
    </w:p>
    <w:p>
      <w:bookmarkStart w:id="3" w:name="Appendix_C"/>
      <w:pPr>
        <w:pStyle w:val="Title"/>
      </w:pPr>
      <w:r>
        <w:t>Appendix C — Individual and aggregated prediction records</w:t>
      </w:r>
      <w:bookmarkEnd w:id="3"/>
    </w:p>
    <w:p>
      <w:r>
        <w:t>These electronic records preserve individual held-out predictions and their repeated-probability aggregation. They are supporting data, not additional participants or a prospectively deployed model.</w:t>
      </w:r>
    </w:p>
    <w:p>
      <w:pPr>
        <w:spacing w:line="240" w:lineRule="auto" w:after="40"/>
      </w:pPr>
      <w:hyperlink r:id="rId37">
        <w:r>
          <w:rPr>
            <w:color w:val="000000"/>
            <w:u w:val="single"/>
          </w:rPr>
          <w:t>all outer predictions</w:t>
        </w:r>
      </w:hyperlink>
    </w:p>
    <w:p>
      <w:pPr>
        <w:spacing w:line="240" w:lineRule="auto" w:after="40"/>
      </w:pPr>
      <w:hyperlink r:id="rId38">
        <w:r>
          <w:rPr>
            <w:color w:val="000000"/>
            <w:u w:val="single"/>
          </w:rPr>
          <w:t>aggregated oof predictions</w:t>
        </w:r>
      </w:hyperlink>
    </w:p>
    <w:p>
      <w:pPr>
        <w:sectPr>
          <w:pgSz w:w="16838" w:h="11906" w:orient="landscape"/>
          <w:pgMar w:top="1080" w:right="1008" w:bottom="1080" w:left="1008" w:header="504" w:footer="504" w:gutter="0"/>
          <w:cols w:space="720"/>
          <w:docGrid w:linePitch="360"/>
        </w:sectPr>
      </w:pPr>
    </w:p>
    <w:p>
      <w:bookmarkStart w:id="4" w:name="Appendix_D"/>
      <w:pPr>
        <w:pStyle w:val="Title"/>
      </w:pPr>
      <w:r>
        <w:t>Appendix D — Feature masks, selection frequencies and stability</w:t>
      </w:r>
      <w:bookmarkEnd w:id="4"/>
    </w:p>
    <w:p>
      <w:r>
        <w:t>Prediction-selected masks supplied feature counts and matched GA–PSO overlap. Seed-best masks supplied frequencies and within-classifier stability. Recurrence was not causal or clinical importance.</w:t>
      </w:r>
    </w:p>
    <w:p>
      <w:pPr>
        <w:pStyle w:val="Heading2"/>
      </w:pPr>
      <w:r>
        <w:t>Complete GA frequencies</w:t>
      </w:r>
    </w:p>
    <w:p>
      <w:pPr>
        <w:pStyle w:val="Heading3"/>
      </w:pPr>
      <w:r>
        <w:t>Feature-frequency panel 1</w:t>
      </w:r>
    </w:p>
    <w:tbl>
      <w:tblPr>
        <w:tblW w:type="auto" w:w="0"/>
        <w:jc w:val="center"/>
        <w:tblLayout w:type="fixed"/>
        <w:tblLook w:firstColumn="1" w:firstRow="1" w:lastColumn="0" w:lastRow="0" w:noHBand="0" w:noVBand="1" w:val="04A0"/>
      </w:tblPr>
      <w:tblGrid>
        <w:gridCol w:w="3294"/>
        <w:gridCol w:w="1318"/>
        <w:gridCol w:w="1318"/>
        <w:gridCol w:w="1318"/>
        <w:gridCol w:w="2635"/>
        <w:gridCol w:w="1318"/>
        <w:gridCol w:w="1318"/>
        <w:gridCol w:w="2306"/>
      </w:tblGrid>
      <w:tr>
        <w:trPr>
          <w:cantSplit/>
          <w:tblHeader/>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age</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sex</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cp</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trestbps</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chol</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fbs</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restecg</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LR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0.23</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DT</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0.73</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0.07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0.17</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RF</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0.33</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0.63</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SVM</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0.27</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0.63</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0.37</w:t>
            </w:r>
          </w:p>
        </w:tc>
      </w:tr>
    </w:tbl>
    <w:p>
      <w:pPr>
        <w:spacing w:line="40" w:lineRule="exact" w:after="40"/>
      </w:pPr>
    </w:p>
    <w:p>
      <w:pPr>
        <w:pStyle w:val="Heading3"/>
      </w:pPr>
      <w:r>
        <w:t>Feature-frequency panel 2</w:t>
      </w:r>
    </w:p>
    <w:tbl>
      <w:tblPr>
        <w:tblW w:type="auto" w:w="0"/>
        <w:jc w:val="center"/>
        <w:tblLayout w:type="fixed"/>
        <w:tblLook w:firstColumn="1" w:firstRow="1" w:lastColumn="0" w:lastRow="0" w:noHBand="0" w:noVBand="1" w:val="04A0"/>
      </w:tblPr>
      <w:tblGrid>
        <w:gridCol w:w="3529"/>
        <w:gridCol w:w="2470"/>
        <w:gridCol w:w="1765"/>
        <w:gridCol w:w="2470"/>
        <w:gridCol w:w="1765"/>
        <w:gridCol w:w="1412"/>
        <w:gridCol w:w="1412"/>
      </w:tblGrid>
      <w:tr>
        <w:trPr>
          <w:cantSplit/>
          <w:tblHeader/>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thalach</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exang</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oldpeak</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slope</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thal</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LR</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0.40</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0.93</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DT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0.00</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0.70</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RF</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SVM</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0.97</w:t>
            </w:r>
          </w:p>
        </w:tc>
      </w:tr>
    </w:tbl>
    <w:p>
      <w:pPr>
        <w:spacing w:line="40" w:lineRule="exact" w:after="40"/>
      </w:pPr>
    </w:p>
    <w:p>
      <w:pPr>
        <w:pStyle w:val="Heading2"/>
      </w:pPr>
      <w:r>
        <w:t>Complete PSO frequencies</w:t>
      </w:r>
    </w:p>
    <w:p>
      <w:pPr>
        <w:pStyle w:val="Heading3"/>
      </w:pPr>
      <w:r>
        <w:t>Feature-frequency panel 1</w:t>
      </w:r>
    </w:p>
    <w:tbl>
      <w:tblPr>
        <w:tblW w:type="auto" w:w="0"/>
        <w:jc w:val="center"/>
        <w:tblLayout w:type="fixed"/>
        <w:tblLook w:firstColumn="1" w:firstRow="1" w:lastColumn="0" w:lastRow="0" w:noHBand="0" w:noVBand="1" w:val="04A0"/>
      </w:tblPr>
      <w:tblGrid>
        <w:gridCol w:w="3294"/>
        <w:gridCol w:w="1318"/>
        <w:gridCol w:w="1318"/>
        <w:gridCol w:w="1318"/>
        <w:gridCol w:w="2635"/>
        <w:gridCol w:w="1318"/>
        <w:gridCol w:w="1318"/>
        <w:gridCol w:w="2306"/>
      </w:tblGrid>
      <w:tr>
        <w:trPr>
          <w:cantSplit/>
          <w:tblHeader/>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age</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sex</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cp</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trestbps</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chol</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fbs</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restecg</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LR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0.37</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DT</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0.07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0.87</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0.33</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0.33</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RF</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0.77</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SVM</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0.90</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0.33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0.57</w:t>
            </w:r>
          </w:p>
        </w:tc>
      </w:tr>
      <w:tr>
        <w:trPr>
          <w:cantSplit/>
        </w:trPr>
        <w:tc>
          <w:tcPr>
            <w:tcW w:type="dxa" w:w="329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w:t>
            </w:r>
          </w:p>
        </w:tc>
        <w:tc>
          <w:tcPr>
            <w:tcW w:type="dxa" w:w="263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0.27</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0.13</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0.60</w:t>
            </w:r>
          </w:p>
        </w:tc>
        <w:tc>
          <w:tcPr>
            <w:tcW w:type="dxa" w:w="230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0.37</w:t>
            </w:r>
          </w:p>
        </w:tc>
      </w:tr>
    </w:tbl>
    <w:p>
      <w:pPr>
        <w:spacing w:line="40" w:lineRule="exact" w:after="40"/>
      </w:pPr>
    </w:p>
    <w:p>
      <w:pPr>
        <w:pStyle w:val="Heading3"/>
      </w:pPr>
      <w:r>
        <w:t>Feature-frequency panel 2</w:t>
      </w:r>
    </w:p>
    <w:tbl>
      <w:tblPr>
        <w:tblW w:type="auto" w:w="0"/>
        <w:jc w:val="center"/>
        <w:tblLayout w:type="fixed"/>
        <w:tblLook w:firstColumn="1" w:firstRow="1" w:lastColumn="0" w:lastRow="0" w:noHBand="0" w:noVBand="1" w:val="04A0"/>
      </w:tblPr>
      <w:tblGrid>
        <w:gridCol w:w="3529"/>
        <w:gridCol w:w="2470"/>
        <w:gridCol w:w="1765"/>
        <w:gridCol w:w="2470"/>
        <w:gridCol w:w="1765"/>
        <w:gridCol w:w="1412"/>
        <w:gridCol w:w="1412"/>
      </w:tblGrid>
      <w:tr>
        <w:trPr>
          <w:cantSplit/>
          <w:tblHeader/>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thalach</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exang</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oldpeak</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slope</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thal</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LR</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0.50</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0.97</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DT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0.13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0.20</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0.80</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RF</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0.67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0.97</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SVM</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0.57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0.47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0.73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center"/>
            </w:pPr>
            <w:r>
              <w:rPr>
                <w:sz w:val="24"/>
              </w:rPr>
              <w:t>0.97</w:t>
            </w:r>
          </w:p>
        </w:tc>
      </w:tr>
      <w:tr>
        <w:trPr>
          <w:cantSplit/>
        </w:trPr>
        <w:tc>
          <w:tcPr>
            <w:tcW w:type="dxa" w:w="35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0.17</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0.43</w:t>
            </w:r>
          </w:p>
        </w:tc>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w:t>
            </w:r>
          </w:p>
        </w:tc>
      </w:tr>
    </w:tbl>
    <w:p>
      <w:pPr>
        <w:spacing w:line="40" w:lineRule="exact" w:after="40"/>
      </w:pPr>
    </w:p>
    <w:p>
      <w:pPr>
        <w:pStyle w:val="Heading2"/>
      </w:pPr>
      <w:r>
        <w:t>Cross-classifier recurrence</w:t>
      </w:r>
    </w:p>
    <w:tbl>
      <w:tblPr>
        <w:tblW w:type="auto" w:w="0"/>
        <w:jc w:val="center"/>
        <w:tblLayout w:type="fixed"/>
        <w:tblLook w:firstColumn="1" w:firstRow="1" w:lastColumn="0" w:lastRow="0" w:noHBand="0" w:noVBand="1" w:val="04A0"/>
      </w:tblPr>
      <w:tblGrid>
        <w:gridCol w:w="2790"/>
        <w:gridCol w:w="5929"/>
        <w:gridCol w:w="6103"/>
      </w:tblGrid>
      <w:tr>
        <w:trPr>
          <w:cantSplit/>
          <w:tblHeader/>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Original feature</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GA mean cross-classifier frequency</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PSO mean cross-classifier frequency</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age</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0.47</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0.31</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sex</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0.89</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0.87</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cp</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0.93</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0.95</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trestbps</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0.33</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0.37</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chol</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0.24</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0.27</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fbs</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0.38</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0.48</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restecg</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0.41</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0.47</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thalach</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0.31</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0.37</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exang</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0.59</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0.70</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oldpeak</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0.41</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0.36</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slope</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0.77</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0.76</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0.98</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0.98</w:t>
            </w:r>
          </w:p>
        </w:tc>
      </w:tr>
      <w:tr>
        <w:trPr>
          <w:cantSplit/>
        </w:trPr>
        <w:tc>
          <w:tcPr>
            <w:tcW w:type="dxa" w:w="27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thal</w:t>
            </w:r>
          </w:p>
        </w:tc>
        <w:tc>
          <w:tcPr>
            <w:tcW w:type="dxa" w:w="592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0.92</w:t>
            </w:r>
          </w:p>
        </w:tc>
        <w:tc>
          <w:tcPr>
            <w:tcW w:type="dxa" w:w="610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0.91</w:t>
            </w:r>
          </w:p>
        </w:tc>
      </w:tr>
    </w:tbl>
    <w:p>
      <w:pPr>
        <w:spacing w:line="40" w:lineRule="exact" w:after="40"/>
      </w:pPr>
    </w:p>
    <w:p>
      <w:pPr>
        <w:pStyle w:val="Heading2"/>
      </w:pPr>
      <w:r>
        <w:t>Pairwise Jaccard and Nogueira stability</w:t>
      </w:r>
    </w:p>
    <w:tbl>
      <w:tblPr>
        <w:tblW w:type="auto" w:w="0"/>
        <w:jc w:val="center"/>
        <w:tblLayout w:type="fixed"/>
        <w:tblLook w:firstColumn="1" w:firstRow="1" w:lastColumn="0" w:lastRow="0" w:noHBand="0" w:noVBand="1" w:val="04A0"/>
      </w:tblPr>
      <w:tblGrid>
        <w:gridCol w:w="2340"/>
        <w:gridCol w:w="1560"/>
        <w:gridCol w:w="1560"/>
        <w:gridCol w:w="1560"/>
        <w:gridCol w:w="1560"/>
        <w:gridCol w:w="1560"/>
        <w:gridCol w:w="1560"/>
        <w:gridCol w:w="1560"/>
        <w:gridCol w:w="1560"/>
      </w:tblGrid>
      <w:tr>
        <w:trPr>
          <w:cantSplit/>
          <w:tblHeader/>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Selector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Seed-best masks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Pairwise Jaccard 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Median</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Minimum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Maximum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Nogueira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Status</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0.18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estimated</w:t>
            </w:r>
          </w:p>
        </w:tc>
      </w:tr>
    </w:tbl>
    <w:p>
      <w:pPr>
        <w:spacing w:line="40" w:lineRule="exact" w:after="40"/>
      </w:pPr>
    </w:p>
    <w:p>
      <w:pPr>
        <w:pStyle w:val="Heading2"/>
      </w:pPr>
      <w:r>
        <w:t>Matched GA–PSO overlap across outer splits</w:t>
      </w:r>
    </w:p>
    <w:tbl>
      <w:tblPr>
        <w:tblW w:type="auto" w:w="0"/>
        <w:jc w:val="center"/>
        <w:tblLayout w:type="fixed"/>
        <w:tblLook w:firstColumn="1" w:firstRow="1" w:lastColumn="0" w:lastRow="0" w:noHBand="0" w:noVBand="1" w:val="04A0"/>
      </w:tblPr>
      <w:tblGrid>
        <w:gridCol w:w="1765"/>
        <w:gridCol w:w="4411"/>
        <w:gridCol w:w="2470"/>
        <w:gridCol w:w="3705"/>
        <w:gridCol w:w="2470"/>
      </w:tblGrid>
      <w:tr>
        <w:trPr>
          <w:cantSplit/>
          <w:tblHeader/>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Outer split (saved index)</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GA–PSO Jaccard</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Intersection features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Union features</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0.56</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0.86</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0.73</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0.67</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0.71</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0.57</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0.25</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0.43</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0.57</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0.44</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0.55</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0.73</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0.64</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0.50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0.44</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0.60</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0.62</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r>
      <w:tr>
        <w:trPr>
          <w:cantSplit/>
        </w:trPr>
        <w:tc>
          <w:tcPr>
            <w:tcW w:type="dxa" w:w="176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441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0.78</w:t>
            </w:r>
          </w:p>
        </w:tc>
        <w:tc>
          <w:tcPr>
            <w:tcW w:type="dxa" w:w="3705"/>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r>
    </w:tbl>
    <w:p>
      <w:pPr>
        <w:spacing w:line="40" w:lineRule="exact" w:after="40"/>
      </w:pPr>
    </w:p>
    <w:p>
      <w:pPr>
        <w:sectPr>
          <w:pgSz w:w="16838" w:h="11906" w:orient="landscape"/>
          <w:pgMar w:top="1080" w:right="1008" w:bottom="1080" w:left="1008" w:header="504" w:footer="504" w:gutter="0"/>
          <w:cols w:space="720"/>
          <w:docGrid w:linePitch="360"/>
        </w:sectPr>
      </w:pPr>
    </w:p>
    <w:p>
      <w:pPr>
        <w:pStyle w:val="Caption"/>
      </w:pPr>
      <w:r>
        <w:rPr>
          <w:b/>
        </w:rPr>
        <w:t>Figure 4.6a</w:t>
      </w:r>
    </w:p>
    <w:p>
      <w:pPr>
        <w:pStyle w:val="Caption"/>
      </w:pPr>
      <w:r>
        <w:t>GA selection frequencies over seed-best masks, not causal importance.</w:t>
      </w:r>
    </w:p>
    <w:p>
      <w:pPr>
        <w:keepNext/>
        <w:spacing w:after="80"/>
        <w:jc w:val="center"/>
      </w:pPr>
      <w:r>
        <w:drawing>
          <wp:inline xmlns:a="http://schemas.openxmlformats.org/drawingml/2006/main" xmlns:pic="http://schemas.openxmlformats.org/drawingml/2006/picture">
            <wp:extent cx="9411970" cy="3294189"/>
            <wp:docPr id="13" name="Picture 13"/>
            <wp:cNvGraphicFramePr>
              <a:graphicFrameLocks noChangeAspect="1"/>
            </wp:cNvGraphicFramePr>
            <a:graphic>
              <a:graphicData uri="http://schemas.openxmlformats.org/drawingml/2006/picture">
                <pic:pic>
                  <pic:nvPicPr>
                    <pic:cNvPr id="0" name="Figure_4_6_GA_Print.png"/>
                    <pic:cNvPicPr/>
                  </pic:nvPicPr>
                  <pic:blipFill>
                    <a:blip r:embed="rId39"/>
                    <a:stretch>
                      <a:fillRect/>
                    </a:stretch>
                  </pic:blipFill>
                  <pic:spPr>
                    <a:xfrm>
                      <a:off x="0" y="0"/>
                      <a:ext cx="9411970" cy="3294189"/>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4.6b</w:t>
      </w:r>
    </w:p>
    <w:p>
      <w:pPr>
        <w:pStyle w:val="Caption"/>
      </w:pPr>
      <w:r>
        <w:t>PSO selection frequencies over seed-best masks, not causal importance.</w:t>
      </w:r>
    </w:p>
    <w:p>
      <w:pPr>
        <w:keepNext/>
        <w:spacing w:after="80"/>
        <w:jc w:val="center"/>
      </w:pPr>
      <w:r>
        <w:drawing>
          <wp:inline xmlns:a="http://schemas.openxmlformats.org/drawingml/2006/main" xmlns:pic="http://schemas.openxmlformats.org/drawingml/2006/picture">
            <wp:extent cx="9411970" cy="3294189"/>
            <wp:docPr id="14" name="Picture 14"/>
            <wp:cNvGraphicFramePr>
              <a:graphicFrameLocks noChangeAspect="1"/>
            </wp:cNvGraphicFramePr>
            <a:graphic>
              <a:graphicData uri="http://schemas.openxmlformats.org/drawingml/2006/picture">
                <pic:pic>
                  <pic:nvPicPr>
                    <pic:cNvPr id="0" name="Figure_4_6_PSO_Print.png"/>
                    <pic:cNvPicPr/>
                  </pic:nvPicPr>
                  <pic:blipFill>
                    <a:blip r:embed="rId40"/>
                    <a:stretch>
                      <a:fillRect/>
                    </a:stretch>
                  </pic:blipFill>
                  <pic:spPr>
                    <a:xfrm>
                      <a:off x="0" y="0"/>
                      <a:ext cx="9411970" cy="3294189"/>
                    </a:xfrm>
                    <a:prstGeom prst="rect"/>
                  </pic:spPr>
                </pic:pic>
              </a:graphicData>
            </a:graphic>
          </wp:inline>
        </w:drawing>
      </w:r>
    </w:p>
    <w:p>
      <w:r>
        <w:t>Source: present study, executed workflow.</w:t>
      </w:r>
    </w:p>
    <w:p>
      <w:pPr>
        <w:pStyle w:val="Heading2"/>
      </w:pPr>
      <w:r>
        <w:t>Electronic supporting records</w:t>
      </w:r>
    </w:p>
    <w:p>
      <w:pPr>
        <w:spacing w:line="240" w:lineRule="auto" w:after="40"/>
      </w:pPr>
      <w:hyperlink r:id="rId41">
        <w:r>
          <w:rPr>
            <w:color w:val="000000"/>
            <w:u w:val="single"/>
          </w:rPr>
          <w:t>selected masks</w:t>
        </w:r>
      </w:hyperlink>
    </w:p>
    <w:p>
      <w:pPr>
        <w:spacing w:line="240" w:lineRule="auto" w:after="40"/>
      </w:pPr>
      <w:hyperlink r:id="rId42">
        <w:r>
          <w:rPr>
            <w:color w:val="000000"/>
            <w:u w:val="single"/>
          </w:rPr>
          <w:t>selected feature counts</w:t>
        </w:r>
      </w:hyperlink>
    </w:p>
    <w:p>
      <w:pPr>
        <w:spacing w:line="240" w:lineRule="auto" w:after="40"/>
      </w:pPr>
      <w:hyperlink r:id="rId43">
        <w:r>
          <w:rPr>
            <w:color w:val="000000"/>
            <w:u w:val="single"/>
          </w:rPr>
          <w:t>feature selection frequencies</w:t>
        </w:r>
      </w:hyperlink>
    </w:p>
    <w:p>
      <w:pPr>
        <w:spacing w:line="240" w:lineRule="auto" w:after="40"/>
      </w:pPr>
      <w:hyperlink r:id="rId44">
        <w:r>
          <w:rPr>
            <w:color w:val="000000"/>
            <w:u w:val="single"/>
          </w:rPr>
          <w:t>cross classifier consensus</w:t>
        </w:r>
      </w:hyperlink>
    </w:p>
    <w:p>
      <w:pPr>
        <w:spacing w:line="240" w:lineRule="auto" w:after="40"/>
      </w:pPr>
      <w:hyperlink r:id="rId45">
        <w:r>
          <w:rPr>
            <w:color w:val="000000"/>
            <w:u w:val="single"/>
          </w:rPr>
          <w:t>ga pso overlap</w:t>
        </w:r>
      </w:hyperlink>
    </w:p>
    <w:p>
      <w:pPr>
        <w:spacing w:line="240" w:lineRule="auto" w:after="40"/>
      </w:pPr>
      <w:hyperlink r:id="rId46">
        <w:r>
          <w:rPr>
            <w:color w:val="000000"/>
            <w:u w:val="single"/>
          </w:rPr>
          <w:t>stability jaccard nogueira</w:t>
        </w:r>
      </w:hyperlink>
    </w:p>
    <w:p>
      <w:pPr>
        <w:sectPr>
          <w:pgSz w:w="16838" w:h="11906" w:orient="landscape"/>
          <w:pgMar w:top="1080" w:right="1008" w:bottom="1080" w:left="1008" w:header="504" w:footer="504" w:gutter="0"/>
          <w:cols w:space="720"/>
          <w:docGrid w:linePitch="360"/>
        </w:sectPr>
      </w:pPr>
    </w:p>
    <w:p>
      <w:bookmarkStart w:id="5" w:name="Appendix_E"/>
      <w:pPr>
        <w:pStyle w:val="Title"/>
      </w:pPr>
      <w:r>
        <w:t>Appendix E — Hyperparameter grids and selected configurations</w:t>
      </w:r>
      <w:bookmarkEnd w:id="5"/>
    </w:p>
    <w:p>
      <w:pPr>
        <w:pStyle w:val="Heading2"/>
      </w:pPr>
      <w:r>
        <w:t>E.1 Tuning context</w:t>
      </w:r>
    </w:p>
    <w:p>
      <w:r>
        <w:t>The following tables reproduce the saved condition-specific tuning grid and selected parameter records. Grid-search ROC-AUC used frozen inner partitions within outer training. Selection preceded tuning; the inner partitions were reused, and selection was not repeated within every tuning/calibration fold. The selected inner scores are optimisation records, not unbiased held-out performance estimates. ALL used every original predictor; GA and PSO used their prediction-selected original-variable masks before condition-specific tuning.</w:t>
      </w:r>
    </w:p>
    <w:p>
      <w:r>
        <w:t xml:space="preserve">LR = logistic regression; DT = decision tree; RF = random forest; SVM = support vector machine; XGB = extreme gradient boosting; ALL = all-feature condition; GA = genetic algorithm; PSO = particle swarm optimisation; ROC-AUC = area under the receiver operating characteristic curve. Parameter names preserve the pipeline's </w:t>
      </w:r>
      <w:r>
        <w:t>model__</w:t>
      </w:r>
      <w:r>
        <w:t xml:space="preserve"> prefix. Encoded column widths are not inferred from the masks.</w:t>
      </w:r>
    </w:p>
    <w:p>
      <w:pPr>
        <w:pStyle w:val="Caption"/>
      </w:pPr>
      <w:r>
        <w:rPr>
          <w:b/>
          <w:i w:val="0"/>
        </w:rPr>
        <w:t>Table E.1</w:t>
      </w:r>
    </w:p>
    <w:p>
      <w:pPr>
        <w:pStyle w:val="Caption"/>
      </w:pPr>
      <w:r>
        <w:rPr>
          <w:b w:val="0"/>
          <w:i/>
        </w:rPr>
        <w:t>Complete saved hyperparameter grids</w:t>
      </w:r>
    </w:p>
    <w:tbl>
      <w:tblPr>
        <w:tblW w:type="auto" w:w="0"/>
        <w:jc w:val="center"/>
        <w:tblLayout w:type="fixed"/>
        <w:tblLook w:firstColumn="1" w:firstRow="1" w:lastColumn="0" w:lastRow="0" w:noHBand="0" w:noVBand="1" w:val="04A0"/>
      </w:tblPr>
      <w:tblGrid>
        <w:gridCol w:w="2797"/>
        <w:gridCol w:w="6432"/>
        <w:gridCol w:w="5593"/>
      </w:tblGrid>
      <w:tr>
        <w:trPr>
          <w:cantSplit/>
          <w:tblHeader/>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Classifier</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Pipeline parameter</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Candidate values</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LR</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model__C</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[0.1, 1.0, 10.0]</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DT</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model__max_depth</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[None, 3, 5]</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DT</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model__min_samples_leaf</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 5, 10]</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RF</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model__n_estimators</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[150, 300]</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RF</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model__max_depth</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[None, 5]</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RF</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model__min_samples_leaf</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 5]</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SVM</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model__C</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[0.1, 1.0, 10.0]</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SVM</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model__gamma</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['scale', 0.01, 0.1]</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XGB</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model__n_estimators</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[100, 200]</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XGB</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model__max_depth</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 3]</w:t>
            </w:r>
          </w:p>
        </w:tc>
      </w:tr>
      <w:tr>
        <w:trPr>
          <w:cantSplit/>
        </w:trPr>
        <w:tc>
          <w:tcPr>
            <w:tcW w:type="dxa" w:w="279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XGB</w:t>
            </w:r>
          </w:p>
        </w:tc>
        <w:tc>
          <w:tcPr>
            <w:tcW w:type="dxa" w:w="64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model__learning_rate</w:t>
            </w:r>
          </w:p>
        </w:tc>
        <w:tc>
          <w:tcPr>
            <w:tcW w:type="dxa" w:w="559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[0.03, 0.1]</w:t>
            </w:r>
          </w:p>
        </w:tc>
      </w:tr>
    </w:tbl>
    <w:p>
      <w:pPr>
        <w:spacing w:line="40" w:lineRule="exact" w:after="40"/>
      </w:pPr>
    </w:p>
    <w:p>
      <w:r>
        <w:rPr>
          <w:b w:val="0"/>
          <w:i/>
        </w:rPr>
        <w:t>Note.</w:t>
      </w:r>
      <w:r>
        <w:t xml:space="preserve"> Candidate lists are reproduced from the saved grid table. </w:t>
      </w:r>
      <w:r>
        <w:t>None</w:t>
      </w:r>
      <w:r>
        <w:t xml:space="preserve"> is the recorded unset limit, not a missing result. These were final condition-specific tuning grids, not a claim that every wrapper fitness evaluation used this full grid. Fixed wrapper settings are documented in the Methodology and executed Method Register.</w:t>
      </w:r>
    </w:p>
    <w:p>
      <w:pPr>
        <w:pStyle w:val="Heading2"/>
      </w:pPr>
      <w:r>
        <w:t>E.2 Selected configurations by outer split</w:t>
      </w:r>
    </w:p>
    <w:p>
      <w:pPr>
        <w:pStyle w:val="Caption"/>
      </w:pPr>
      <w:r>
        <w:rPr>
          <w:b/>
          <w:i w:val="0"/>
        </w:rPr>
        <w:t>Table E.2</w:t>
      </w:r>
    </w:p>
    <w:p>
      <w:pPr>
        <w:pStyle w:val="Caption"/>
      </w:pPr>
      <w:r>
        <w:rPr>
          <w:b w:val="0"/>
          <w:i/>
        </w:rPr>
        <w:t>Selected parameters and recorded inner scores for all classifier–condition records</w:t>
      </w:r>
    </w:p>
    <w:tbl>
      <w:tblPr>
        <w:tblW w:type="auto" w:w="0"/>
        <w:jc w:val="center"/>
        <w:tblLayout w:type="fixed"/>
        <w:tblLook w:firstColumn="1" w:firstRow="1" w:lastColumn="0" w:lastRow="0" w:noHBand="0" w:noVBand="1" w:val="04A0"/>
      </w:tblPr>
      <w:tblGrid>
        <w:gridCol w:w="1186"/>
        <w:gridCol w:w="1482"/>
        <w:gridCol w:w="1482"/>
        <w:gridCol w:w="6522"/>
        <w:gridCol w:w="1927"/>
        <w:gridCol w:w="2223"/>
      </w:tblGrid>
      <w:tr>
        <w:trPr>
          <w:cantSplit/>
          <w:tblHeader/>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Outer split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Condition</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Selected parameters</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Best inner ROC-AUC</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Training calibration</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0.813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0.840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0.842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0.860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0.835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"scale"}</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0.851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0.833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0.833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0.818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0.860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3,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0.812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"scale"}</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0.844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0.941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"scale"}</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0.943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"scale"}</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2,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0.932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0.1, "model__max_depth": 3,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0.940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3, "model__n_estimators": 200}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0.929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3,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0.816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"scale"}</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0.864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3,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0.891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0.905</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0.919</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10}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0.820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null,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0.876</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0.862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0.907</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1, "model__n_estimators": 300}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0.913</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{"model__max_depth": 5, "model__min_samples_leaf": 5, "model__n_estimators": 150}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0.904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 "model__gamma": 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0.914</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{"model__C": 10.0, "model__gamma": 0.01}</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0.911</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sigmoid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ALL</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0.888</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3,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0.910</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r>
        <w:trPr>
          <w:cantSplit/>
        </w:trPr>
        <w:tc>
          <w:tcPr>
            <w:tcW w:type="dxa" w:w="118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8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652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{"model__learning_rate": 0.03, "model__max_depth": 2, "model__n_estimators": 100}</w:t>
            </w:r>
          </w:p>
        </w:tc>
        <w:tc>
          <w:tcPr>
            <w:tcW w:type="dxa" w:w="192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0.912</w:t>
            </w:r>
          </w:p>
        </w:tc>
        <w:tc>
          <w:tcPr>
            <w:tcW w:type="dxa" w:w="222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Not used</w:t>
            </w:r>
          </w:p>
        </w:tc>
      </w:tr>
    </w:tbl>
    <w:p>
      <w:pPr>
        <w:spacing w:line="40" w:lineRule="exact" w:after="40"/>
      </w:pPr>
    </w:p>
    <w:p>
      <w:r>
        <w:rPr>
          <w:b w:val="0"/>
          <w:i/>
        </w:rPr>
        <w:t>Note.</w:t>
      </w:r>
      <w:r>
        <w:t xml:space="preserve"> Split identifiers are the saved zero-based indices. Inner scores are displayed to three decimals; the electronic record preserves saved precision, runtime, calibration ensemble fields and training hashes. Rows cover every classifier under ALL, GA and PSO on each saved outer split. Sigmoid calibration was specific to SVM within outer training; it was separate from secondary calibration assessment of aggregated predictions. Reused selection/hyperparameter choices limit independence of training-stage calibration predictions.</w:t>
      </w:r>
    </w:p>
    <w:p>
      <w:pPr>
        <w:pStyle w:val="Heading2"/>
      </w:pPr>
      <w:r>
        <w:t>E.3 Supporting electronic records</w:t>
      </w:r>
    </w:p>
    <w:tbl>
      <w:tblPr>
        <w:tblW w:type="auto" w:w="0"/>
        <w:jc w:val="center"/>
        <w:tblLayout w:type="fixed"/>
        <w:tblLook w:firstColumn="1" w:firstRow="1" w:lastColumn="0" w:lastRow="0" w:noHBand="0" w:noVBand="1" w:val="04A0"/>
      </w:tblPr>
      <w:tblGrid>
        <w:gridCol w:w="3469"/>
        <w:gridCol w:w="5677"/>
        <w:gridCol w:w="5677"/>
      </w:tblGrid>
      <w:tr>
        <w:trPr>
          <w:cantSplit/>
          <w:tblHeader/>
        </w:trPr>
        <w:tc>
          <w:tcPr>
            <w:tcW w:type="dxa" w:w="346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Purpose</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Electronic evidence</w:t>
            </w:r>
          </w:p>
        </w:tc>
      </w:tr>
      <w:tr>
        <w:trPr>
          <w:cantSplit/>
        </w:trPr>
        <w:tc>
          <w:tcPr>
            <w:tcW w:type="dxa" w:w="346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model_tuning_grids.csv</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Complete candidate grid</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hyperlink r:id="rId47">
              <w:r>
                <w:rPr>
                  <w:color w:val="000000"/>
                  <w:u w:val="single"/>
                </w:rPr>
                <w:t>Full record</w:t>
              </w:r>
            </w:hyperlink>
          </w:p>
        </w:tc>
      </w:tr>
      <w:tr>
        <w:trPr>
          <w:cantSplit/>
        </w:trPr>
        <w:tc>
          <w:tcPr>
            <w:tcW w:type="dxa" w:w="346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tuning_results.json</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Canonical complete selected configurations</w:t>
            </w:r>
          </w:p>
        </w:tc>
        <w:tc>
          <w:tcPr>
            <w:tcW w:type="dxa" w:w="567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48">
              <w:r>
                <w:rPr>
                  <w:color w:val="000000"/>
                  <w:u w:val="single"/>
                </w:rPr>
                <w:t>Full record</w:t>
              </w:r>
            </w:hyperlink>
          </w:p>
        </w:tc>
      </w:tr>
    </w:tbl>
    <w:p>
      <w:pPr>
        <w:spacing w:line="40" w:lineRule="exact" w:after="40"/>
      </w:pPr>
    </w:p>
    <w:p>
      <w:r>
        <w:t>The saved best-hyperparameters alias was byte-identical to the canonical tuning record. It is not an independent replication or additional tuning run. Source identities and table-rendering checks are documented in the separate appendix audit; no model was refitted to produce this appendix.</w:t>
      </w:r>
    </w:p>
    <w:p>
      <w:pPr>
        <w:sectPr>
          <w:pgSz w:w="16838" w:h="11906" w:orient="landscape"/>
          <w:pgMar w:top="1080" w:right="1008" w:bottom="1080" w:left="1008" w:header="504" w:footer="504" w:gutter="0"/>
          <w:cols w:space="720"/>
          <w:docGrid w:linePitch="360"/>
        </w:sectPr>
      </w:pPr>
    </w:p>
    <w:p>
      <w:bookmarkStart w:id="6" w:name="Appendix_F"/>
      <w:pPr>
        <w:pStyle w:val="Title"/>
      </w:pPr>
      <w:r>
        <w:t>Appendix F — Optimiser runs, computational accounting and histories</w:t>
      </w:r>
      <w:bookmarkEnd w:id="6"/>
    </w:p>
    <w:p>
      <w:r>
        <w:t>Runtime, attempts, unique requests, cache events and stopping labels were separate quantities. Shared cache contexts and equal request caps did not equalise actual fits or elapsed time.</w:t>
      </w:r>
    </w:p>
    <w:p>
      <w:pPr>
        <w:pStyle w:val="Heading2"/>
      </w:pPr>
      <w:r>
        <w:t>Runtime with robust summaries and observed limits</w:t>
      </w:r>
    </w:p>
    <w:tbl>
      <w:tblPr>
        <w:tblW w:type="auto" w:w="0"/>
        <w:jc w:val="center"/>
        <w:tblLayout w:type="fixed"/>
        <w:tblLook w:firstColumn="1" w:firstRow="1" w:lastColumn="0" w:lastRow="0" w:noHBand="0" w:noVBand="1" w:val="04A0"/>
      </w:tblPr>
      <w:tblGrid>
        <w:gridCol w:w="2340"/>
        <w:gridCol w:w="1560"/>
        <w:gridCol w:w="1560"/>
        <w:gridCol w:w="1560"/>
        <w:gridCol w:w="1560"/>
        <w:gridCol w:w="1560"/>
        <w:gridCol w:w="1560"/>
        <w:gridCol w:w="1560"/>
        <w:gridCol w:w="1560"/>
      </w:tblGrid>
      <w:tr>
        <w:trPr>
          <w:cantSplit/>
          <w:tblHeader/>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Selector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Runs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 (s)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SD (s)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Median (s)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IQR (s)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Minimum (s)</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Maximum (s)</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14.47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2.97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15.21</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4.27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7.74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18.54</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7.62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2.29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5.42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10.78</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14.46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1.83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14.48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11.18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17.46</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9.50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1.70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9.90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5.43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13.16</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112.65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20.65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109.36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27.98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67.28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161.78</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64.56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11.50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67.10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13.25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40.25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86.78</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15.63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3.45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16.70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3.83</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7.58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20.15</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9.17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2.19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9.85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2.32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4.49</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12.15</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31.12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5.18</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31.20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7.50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18.66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38.88</w:t>
            </w:r>
          </w:p>
        </w:tc>
      </w:tr>
      <w:tr>
        <w:trPr>
          <w:cantSplit/>
        </w:trPr>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17.16</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4.24</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18.55</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6.32</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8.27</w:t>
            </w:r>
          </w:p>
        </w:tc>
        <w:tc>
          <w:tcPr>
            <w:tcW w:type="dxa" w:w="156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23.73</w:t>
            </w:r>
          </w:p>
        </w:tc>
      </w:tr>
    </w:tbl>
    <w:p>
      <w:pPr>
        <w:spacing w:line="40" w:lineRule="exact" w:after="40"/>
      </w:pPr>
    </w:p>
    <w:p>
      <w:pPr>
        <w:pStyle w:val="Heading2"/>
      </w:pPr>
      <w:r>
        <w:t>Complete request and cache accounting</w:t>
      </w:r>
    </w:p>
    <w:tbl>
      <w:tblPr>
        <w:tblW w:type="auto" w:w="0"/>
        <w:jc w:val="center"/>
        <w:tblLayout w:type="fixed"/>
        <w:tblLook w:firstColumn="1" w:firstRow="1" w:lastColumn="0" w:lastRow="0" w:noHBand="0" w:noVBand="1" w:val="04A0"/>
      </w:tblPr>
      <w:tblGrid>
        <w:gridCol w:w="2117"/>
        <w:gridCol w:w="1412"/>
        <w:gridCol w:w="1412"/>
        <w:gridCol w:w="1412"/>
        <w:gridCol w:w="1412"/>
        <w:gridCol w:w="1412"/>
        <w:gridCol w:w="1412"/>
        <w:gridCol w:w="1412"/>
        <w:gridCol w:w="1412"/>
        <w:gridCol w:w="1412"/>
      </w:tblGrid>
      <w:tr>
        <w:trPr>
          <w:cantSplit/>
          <w:tblHeader/>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Selector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Counter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Runs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Median</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Minimum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Maximum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Total</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145.77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4.63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145.50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4373.00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123.07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6.83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122.50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3692.00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32.47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13.71</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28.50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974.00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113.30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16.56</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116.50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3399.00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4800.00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86.07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10.78</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2582.00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99.13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10.39</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2974.00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60.87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10.39</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1826.00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149.43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5.80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150.50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4483.00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124.50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7.05</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3735.00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33.77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9.55</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1013.00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115.67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13.71</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3470.00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4800.00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100.63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8.61</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3019.00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83.10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2493.00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76.90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78.50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2307.00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146.03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4.77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156.00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4381.00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122.60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7.05</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121.50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3678.00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32.17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11.40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29.50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965.00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113.87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13.95</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116.50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3416.00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4800.00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90.10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7.92</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2703.00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93.87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7.42</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2816.00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66.13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7.42</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1984.00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147.47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4.72</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136.00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4424.00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123.43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6.33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123.50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3703.00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32.70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10.68</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981.00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114.77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13.14</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135.00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3443.00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4800.00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90.83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2725.00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93.40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106.00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2802.00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66.60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1998.00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148.70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5.59</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4461.00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125.03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7.71</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125.00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113.00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3751.00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32.27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11.57</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29.50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58.00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968.00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116.43</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15.09</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142.00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3493.00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attempted_evaluations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160.00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4800.00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unique_requested</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9.90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90.50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107.00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2760.00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cache_hits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92.50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9.64</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91.00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75.00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116.00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2775.00</w:t>
            </w:r>
          </w:p>
        </w:tc>
      </w:tr>
      <w:tr>
        <w:trPr>
          <w:cantSplit/>
        </w:trPr>
        <w:tc>
          <w:tcPr>
            <w:tcW w:type="dxa" w:w="2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cache_misses</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67.50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9.64</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69.00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44.00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85.00</w:t>
            </w:r>
          </w:p>
        </w:tc>
        <w:tc>
          <w:tcPr>
            <w:tcW w:type="dxa" w:w="141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2025.00</w:t>
            </w:r>
          </w:p>
        </w:tc>
      </w:tr>
    </w:tbl>
    <w:p>
      <w:pPr>
        <w:spacing w:line="40" w:lineRule="exact" w:after="40"/>
      </w:pPr>
    </w:p>
    <w:p>
      <w:pPr>
        <w:pStyle w:val="Heading2"/>
      </w:pPr>
      <w:r>
        <w:t>Termination and recorded-history behaviour</w:t>
      </w:r>
    </w:p>
    <w:tbl>
      <w:tblPr>
        <w:tblW w:type="auto" w:w="0"/>
        <w:jc w:val="center"/>
        <w:tblLayout w:type="fixed"/>
        <w:tblLook w:firstColumn="1" w:firstRow="1" w:lastColumn="0" w:lastRow="0" w:noHBand="0" w:noVBand="1" w:val="04A0"/>
      </w:tblPr>
      <w:tblGrid>
        <w:gridCol w:w="1647"/>
        <w:gridCol w:w="1318"/>
        <w:gridCol w:w="4117"/>
        <w:gridCol w:w="5270"/>
        <w:gridCol w:w="2470"/>
      </w:tblGrid>
      <w:tr>
        <w:trPr>
          <w:cantSplit/>
          <w:tblHeader/>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Classifier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Selector</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Histories with a decrease</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Saved termination label</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center"/>
            </w:pPr>
            <w:r>
              <w:rPr>
                <w:b/>
                <w:sz w:val="24"/>
              </w:rPr>
              <w:t>Runs with label</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generation limit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LR</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fixed matched evaluation batches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generation limit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DT</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8</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fixed matched evaluation batches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generation limit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RF</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6</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fixed matched evaluation batches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generation limit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SVM</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fixed matched evaluation batches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GA</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generation limit</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r>
        <w:trPr>
          <w:cantSplit/>
        </w:trPr>
        <w:tc>
          <w:tcPr>
            <w:tcW w:type="dxa" w:w="164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XGB</w:t>
            </w:r>
          </w:p>
        </w:tc>
        <w:tc>
          <w:tcPr>
            <w:tcW w:type="dxa" w:w="131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PSO</w:t>
            </w:r>
          </w:p>
        </w:tc>
        <w:tc>
          <w:tcPr>
            <w:tcW w:type="dxa" w:w="41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10</w:t>
            </w:r>
          </w:p>
        </w:tc>
        <w:tc>
          <w:tcPr>
            <w:tcW w:type="dxa" w:w="52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fixed matched evaluation batches</w:t>
            </w:r>
          </w:p>
        </w:tc>
        <w:tc>
          <w:tcPr>
            <w:tcW w:type="dxa" w:w="247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center"/>
            </w:pPr>
            <w:r>
              <w:rPr>
                <w:sz w:val="24"/>
              </w:rPr>
              <w:t>30</w:t>
            </w:r>
          </w:p>
        </w:tc>
      </w:tr>
    </w:tbl>
    <w:p>
      <w:pPr>
        <w:spacing w:line="40" w:lineRule="exact" w:after="40"/>
      </w:pPr>
    </w:p>
    <w:p>
      <w:pPr>
        <w:sectPr>
          <w:pgSz w:w="16838" w:h="11906" w:orient="landscape"/>
          <w:pgMar w:top="1080" w:right="1008" w:bottom="1080" w:left="1008" w:header="504" w:footer="504" w:gutter="0"/>
          <w:cols w:space="720"/>
          <w:docGrid w:linePitch="360"/>
        </w:sectPr>
      </w:pPr>
    </w:p>
    <w:p>
      <w:pPr>
        <w:pStyle w:val="Caption"/>
      </w:pPr>
      <w:r>
        <w:rPr>
          <w:b/>
        </w:rPr>
        <w:t>Figure 4.7 panel 1</w:t>
      </w:r>
    </w:p>
    <w:p>
      <w:pPr>
        <w:pStyle w:val="Caption"/>
      </w:pPr>
      <w:r>
        <w:t>Parsimony, stability, optimiser runtime and unique requests. The existing display bars were seaborn bootstrap display intervals, not sample SD or paired hypothesis intervals.</w:t>
      </w:r>
    </w:p>
    <w:p>
      <w:pPr>
        <w:keepNext/>
        <w:spacing w:after="80"/>
        <w:jc w:val="center"/>
      </w:pPr>
      <w:r>
        <w:drawing>
          <wp:inline xmlns:a="http://schemas.openxmlformats.org/drawingml/2006/main" xmlns:pic="http://schemas.openxmlformats.org/drawingml/2006/picture">
            <wp:extent cx="6470428" cy="4206240"/>
            <wp:docPr id="15" name="Picture 15"/>
            <wp:cNvGraphicFramePr>
              <a:graphicFrameLocks noChangeAspect="1"/>
            </wp:cNvGraphicFramePr>
            <a:graphic>
              <a:graphicData uri="http://schemas.openxmlformats.org/drawingml/2006/picture">
                <pic:pic>
                  <pic:nvPicPr>
                    <pic:cNvPr id="0" name="07_parsimony_stability_runtime.png"/>
                    <pic:cNvPicPr/>
                  </pic:nvPicPr>
                  <pic:blipFill>
                    <a:blip r:embed="rId49"/>
                    <a:srcRect l="0" t="0" r="50500" b="50000"/>
                    <a:stretch>
                      <a:fillRect/>
                    </a:stretch>
                  </pic:blipFill>
                  <pic:spPr>
                    <a:xfrm>
                      <a:off x="0" y="0"/>
                      <a:ext cx="6470428"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4.7 panel 2</w:t>
      </w:r>
    </w:p>
    <w:p>
      <w:pPr>
        <w:keepNext/>
        <w:spacing w:after="80"/>
        <w:jc w:val="center"/>
      </w:pPr>
      <w:r>
        <w:drawing>
          <wp:inline xmlns:a="http://schemas.openxmlformats.org/drawingml/2006/main" xmlns:pic="http://schemas.openxmlformats.org/drawingml/2006/picture">
            <wp:extent cx="6470428" cy="4206240"/>
            <wp:docPr id="16" name="Picture 16"/>
            <wp:cNvGraphicFramePr>
              <a:graphicFrameLocks noChangeAspect="1"/>
            </wp:cNvGraphicFramePr>
            <a:graphic>
              <a:graphicData uri="http://schemas.openxmlformats.org/drawingml/2006/picture">
                <pic:pic>
                  <pic:nvPicPr>
                    <pic:cNvPr id="0" name="07_parsimony_stability_runtime.png"/>
                    <pic:cNvPicPr/>
                  </pic:nvPicPr>
                  <pic:blipFill>
                    <a:blip r:embed="rId49"/>
                    <a:srcRect l="50500" t="0" r="0" b="50000"/>
                    <a:stretch>
                      <a:fillRect/>
                    </a:stretch>
                  </pic:blipFill>
                  <pic:spPr>
                    <a:xfrm>
                      <a:off x="0" y="0"/>
                      <a:ext cx="6470428"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4.7 panel 3</w:t>
      </w:r>
    </w:p>
    <w:p>
      <w:pPr>
        <w:keepNext/>
        <w:spacing w:after="80"/>
        <w:jc w:val="center"/>
      </w:pPr>
      <w:r>
        <w:drawing>
          <wp:inline xmlns:a="http://schemas.openxmlformats.org/drawingml/2006/main" xmlns:pic="http://schemas.openxmlformats.org/drawingml/2006/picture">
            <wp:extent cx="6470428" cy="4206240"/>
            <wp:docPr id="17" name="Picture 17"/>
            <wp:cNvGraphicFramePr>
              <a:graphicFrameLocks noChangeAspect="1"/>
            </wp:cNvGraphicFramePr>
            <a:graphic>
              <a:graphicData uri="http://schemas.openxmlformats.org/drawingml/2006/picture">
                <pic:pic>
                  <pic:nvPicPr>
                    <pic:cNvPr id="0" name="07_parsimony_stability_runtime.png"/>
                    <pic:cNvPicPr/>
                  </pic:nvPicPr>
                  <pic:blipFill>
                    <a:blip r:embed="rId49"/>
                    <a:srcRect l="0" t="50000" r="50500" b="0"/>
                    <a:stretch>
                      <a:fillRect/>
                    </a:stretch>
                  </pic:blipFill>
                  <pic:spPr>
                    <a:xfrm>
                      <a:off x="0" y="0"/>
                      <a:ext cx="6470428"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4.7 panel 4</w:t>
      </w:r>
    </w:p>
    <w:p>
      <w:pPr>
        <w:keepNext/>
        <w:spacing w:after="80"/>
        <w:jc w:val="center"/>
      </w:pPr>
      <w:r>
        <w:drawing>
          <wp:inline xmlns:a="http://schemas.openxmlformats.org/drawingml/2006/main" xmlns:pic="http://schemas.openxmlformats.org/drawingml/2006/picture">
            <wp:extent cx="6470428" cy="4206240"/>
            <wp:docPr id="18" name="Picture 18"/>
            <wp:cNvGraphicFramePr>
              <a:graphicFrameLocks noChangeAspect="1"/>
            </wp:cNvGraphicFramePr>
            <a:graphic>
              <a:graphicData uri="http://schemas.openxmlformats.org/drawingml/2006/picture">
                <pic:pic>
                  <pic:nvPicPr>
                    <pic:cNvPr id="0" name="07_parsimony_stability_runtime.png"/>
                    <pic:cNvPicPr/>
                  </pic:nvPicPr>
                  <pic:blipFill>
                    <a:blip r:embed="rId49"/>
                    <a:srcRect l="50500" t="50000" r="0" b="0"/>
                    <a:stretch>
                      <a:fillRect/>
                    </a:stretch>
                  </pic:blipFill>
                  <pic:spPr>
                    <a:xfrm>
                      <a:off x="0" y="0"/>
                      <a:ext cx="6470428" cy="4206240"/>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4.8 LR</w:t>
      </w:r>
    </w:p>
    <w:p>
      <w:pPr>
        <w:pStyle w:val="Caption"/>
      </w:pPr>
      <w:r>
        <w:t>Recorded optimiser histories. PSO curves were negated cost histories, not uniformly monotone best-so-far trajectories; stopping did not establish predictive superiority.</w:t>
      </w:r>
    </w:p>
    <w:p>
      <w:pPr>
        <w:keepNext/>
        <w:spacing w:after="80"/>
        <w:jc w:val="center"/>
      </w:pPr>
      <w:r>
        <w:drawing>
          <wp:inline xmlns:a="http://schemas.openxmlformats.org/drawingml/2006/main" xmlns:pic="http://schemas.openxmlformats.org/drawingml/2006/picture">
            <wp:extent cx="9411970" cy="3576548"/>
            <wp:docPr id="19" name="Picture 19"/>
            <wp:cNvGraphicFramePr>
              <a:graphicFrameLocks noChangeAspect="1"/>
            </wp:cNvGraphicFramePr>
            <a:graphic>
              <a:graphicData uri="http://schemas.openxmlformats.org/drawingml/2006/picture">
                <pic:pic>
                  <pic:nvPicPr>
                    <pic:cNvPr id="0" name="Figure_4_8_LR.png"/>
                    <pic:cNvPicPr/>
                  </pic:nvPicPr>
                  <pic:blipFill>
                    <a:blip r:embed="rId50"/>
                    <a:stretch>
                      <a:fillRect/>
                    </a:stretch>
                  </pic:blipFill>
                  <pic:spPr>
                    <a:xfrm>
                      <a:off x="0" y="0"/>
                      <a:ext cx="9411970" cy="357654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4.8 DT continued</w:t>
      </w:r>
    </w:p>
    <w:p>
      <w:pPr>
        <w:keepNext/>
        <w:spacing w:after="80"/>
        <w:jc w:val="center"/>
      </w:pPr>
      <w:r>
        <w:drawing>
          <wp:inline xmlns:a="http://schemas.openxmlformats.org/drawingml/2006/main" xmlns:pic="http://schemas.openxmlformats.org/drawingml/2006/picture">
            <wp:extent cx="9411970" cy="3576548"/>
            <wp:docPr id="20" name="Picture 20"/>
            <wp:cNvGraphicFramePr>
              <a:graphicFrameLocks noChangeAspect="1"/>
            </wp:cNvGraphicFramePr>
            <a:graphic>
              <a:graphicData uri="http://schemas.openxmlformats.org/drawingml/2006/picture">
                <pic:pic>
                  <pic:nvPicPr>
                    <pic:cNvPr id="0" name="Figure_4_8_DT.png"/>
                    <pic:cNvPicPr/>
                  </pic:nvPicPr>
                  <pic:blipFill>
                    <a:blip r:embed="rId51"/>
                    <a:stretch>
                      <a:fillRect/>
                    </a:stretch>
                  </pic:blipFill>
                  <pic:spPr>
                    <a:xfrm>
                      <a:off x="0" y="0"/>
                      <a:ext cx="9411970" cy="357654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4.8 RF continued</w:t>
      </w:r>
    </w:p>
    <w:p>
      <w:pPr>
        <w:keepNext/>
        <w:spacing w:after="80"/>
        <w:jc w:val="center"/>
      </w:pPr>
      <w:r>
        <w:drawing>
          <wp:inline xmlns:a="http://schemas.openxmlformats.org/drawingml/2006/main" xmlns:pic="http://schemas.openxmlformats.org/drawingml/2006/picture">
            <wp:extent cx="9411970" cy="3576548"/>
            <wp:docPr id="21" name="Picture 21"/>
            <wp:cNvGraphicFramePr>
              <a:graphicFrameLocks noChangeAspect="1"/>
            </wp:cNvGraphicFramePr>
            <a:graphic>
              <a:graphicData uri="http://schemas.openxmlformats.org/drawingml/2006/picture">
                <pic:pic>
                  <pic:nvPicPr>
                    <pic:cNvPr id="0" name="Figure_4_8_RF.png"/>
                    <pic:cNvPicPr/>
                  </pic:nvPicPr>
                  <pic:blipFill>
                    <a:blip r:embed="rId52"/>
                    <a:stretch>
                      <a:fillRect/>
                    </a:stretch>
                  </pic:blipFill>
                  <pic:spPr>
                    <a:xfrm>
                      <a:off x="0" y="0"/>
                      <a:ext cx="9411970" cy="357654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4.8 SVM continued</w:t>
      </w:r>
    </w:p>
    <w:p>
      <w:pPr>
        <w:keepNext/>
        <w:spacing w:after="80"/>
        <w:jc w:val="center"/>
      </w:pPr>
      <w:r>
        <w:drawing>
          <wp:inline xmlns:a="http://schemas.openxmlformats.org/drawingml/2006/main" xmlns:pic="http://schemas.openxmlformats.org/drawingml/2006/picture">
            <wp:extent cx="9411970" cy="3576548"/>
            <wp:docPr id="22" name="Picture 22"/>
            <wp:cNvGraphicFramePr>
              <a:graphicFrameLocks noChangeAspect="1"/>
            </wp:cNvGraphicFramePr>
            <a:graphic>
              <a:graphicData uri="http://schemas.openxmlformats.org/drawingml/2006/picture">
                <pic:pic>
                  <pic:nvPicPr>
                    <pic:cNvPr id="0" name="Figure_4_8_SVM.png"/>
                    <pic:cNvPicPr/>
                  </pic:nvPicPr>
                  <pic:blipFill>
                    <a:blip r:embed="rId53"/>
                    <a:stretch>
                      <a:fillRect/>
                    </a:stretch>
                  </pic:blipFill>
                  <pic:spPr>
                    <a:xfrm>
                      <a:off x="0" y="0"/>
                      <a:ext cx="9411970" cy="3576548"/>
                    </a:xfrm>
                    <a:prstGeom prst="rect"/>
                  </pic:spPr>
                </pic:pic>
              </a:graphicData>
            </a:graphic>
          </wp:inline>
        </w:drawing>
      </w:r>
    </w:p>
    <w:p>
      <w:r>
        <w:t>Source: present study, executed workflow.</w:t>
      </w:r>
    </w:p>
    <w:p>
      <w:pPr>
        <w:sectPr>
          <w:pgSz w:w="16838" w:h="11906" w:orient="landscape"/>
          <w:pgMar w:top="1080" w:right="1008" w:bottom="1080" w:left="1008" w:header="504" w:footer="504" w:gutter="0"/>
          <w:cols w:space="720"/>
          <w:docGrid w:linePitch="360"/>
        </w:sectPr>
      </w:pPr>
    </w:p>
    <w:p>
      <w:pPr>
        <w:pStyle w:val="Caption"/>
      </w:pPr>
      <w:r>
        <w:rPr>
          <w:b/>
        </w:rPr>
        <w:t>Figure 4.8 XGB continued</w:t>
      </w:r>
    </w:p>
    <w:p>
      <w:pPr>
        <w:keepNext/>
        <w:spacing w:after="80"/>
        <w:jc w:val="center"/>
      </w:pPr>
      <w:r>
        <w:drawing>
          <wp:inline xmlns:a="http://schemas.openxmlformats.org/drawingml/2006/main" xmlns:pic="http://schemas.openxmlformats.org/drawingml/2006/picture">
            <wp:extent cx="9411970" cy="3576548"/>
            <wp:docPr id="23" name="Picture 23"/>
            <wp:cNvGraphicFramePr>
              <a:graphicFrameLocks noChangeAspect="1"/>
            </wp:cNvGraphicFramePr>
            <a:graphic>
              <a:graphicData uri="http://schemas.openxmlformats.org/drawingml/2006/picture">
                <pic:pic>
                  <pic:nvPicPr>
                    <pic:cNvPr id="0" name="Figure_4_8_XGB.png"/>
                    <pic:cNvPicPr/>
                  </pic:nvPicPr>
                  <pic:blipFill>
                    <a:blip r:embed="rId54"/>
                    <a:stretch>
                      <a:fillRect/>
                    </a:stretch>
                  </pic:blipFill>
                  <pic:spPr>
                    <a:xfrm>
                      <a:off x="0" y="0"/>
                      <a:ext cx="9411970" cy="3576548"/>
                    </a:xfrm>
                    <a:prstGeom prst="rect"/>
                  </pic:spPr>
                </pic:pic>
              </a:graphicData>
            </a:graphic>
          </wp:inline>
        </w:drawing>
      </w:r>
    </w:p>
    <w:p>
      <w:r>
        <w:t>Source: present study, executed workflow.</w:t>
      </w:r>
    </w:p>
    <w:p>
      <w:pPr>
        <w:pStyle w:val="Heading2"/>
      </w:pPr>
      <w:r>
        <w:t>Electronic supporting records</w:t>
      </w:r>
    </w:p>
    <w:p>
      <w:pPr>
        <w:spacing w:line="240" w:lineRule="auto" w:after="40"/>
      </w:pPr>
      <w:hyperlink r:id="rId55">
        <w:r>
          <w:rPr>
            <w:color w:val="000000"/>
            <w:u w:val="single"/>
          </w:rPr>
          <w:t>all optimiser runs</w:t>
        </w:r>
      </w:hyperlink>
    </w:p>
    <w:p>
      <w:pPr>
        <w:spacing w:line="240" w:lineRule="auto" w:after="40"/>
      </w:pPr>
      <w:hyperlink r:id="rId56">
        <w:r>
          <w:rPr>
            <w:color w:val="000000"/>
            <w:u w:val="single"/>
          </w:rPr>
          <w:t>optimiser efficiency</w:t>
        </w:r>
      </w:hyperlink>
    </w:p>
    <w:p>
      <w:pPr>
        <w:sectPr>
          <w:pgSz w:w="16838" w:h="11906" w:orient="landscape"/>
          <w:pgMar w:top="1080" w:right="1008" w:bottom="1080" w:left="1008" w:header="504" w:footer="504" w:gutter="0"/>
          <w:cols w:space="720"/>
          <w:docGrid w:linePitch="360"/>
        </w:sectPr>
      </w:pPr>
    </w:p>
    <w:p>
      <w:bookmarkStart w:id="7" w:name="Appendix_G"/>
      <w:pPr>
        <w:pStyle w:val="Title"/>
      </w:pPr>
      <w:r>
        <w:t>Appendix G — Collected notebook telemetry and stage-event coverage</w:t>
      </w:r>
      <w:bookmarkEnd w:id="7"/>
    </w:p>
    <w:p>
      <w:r>
        <w:t>Notebook telemetry and stage-event records provided resource context for the local run. Reconciled experiment windows distinguished recorded modelling stages from smoke calls. The available process/system processor, memory and page-fault channels were not equivalent to a complete record of every process, disk transfer or paging event.</w:t>
      </w:r>
    </w:p>
    <w:p>
      <w:r>
        <w:t>Page faults alone did not establish hard paging. Sleep duration and the contribution of competing tasks were not established by the available channels. No timing cause was assigned to hardware, paging, sleep or competing processes. Resource comparisons were limited by sampling, stage/timer boundaries and unisolated monitoring overhead.</w:t>
      </w:r>
    </w:p>
    <w:tbl>
      <w:tblPr>
        <w:tblW w:type="auto" w:w="0"/>
        <w:jc w:val="center"/>
        <w:tblLayout w:type="fixed"/>
        <w:tblLook w:firstColumn="1" w:firstRow="1" w:lastColumn="0" w:lastRow="0" w:noHBand="0" w:noVBand="1" w:val="04A0"/>
      </w:tblPr>
      <w:tblGrid>
        <w:gridCol w:w="4359"/>
        <w:gridCol w:w="5231"/>
        <w:gridCol w:w="5231"/>
      </w:tblGrid>
      <w:tr>
        <w:trPr>
          <w:cantSplit/>
          <w:tblHeader/>
        </w:trPr>
        <w:tc>
          <w:tcPr>
            <w:tcW w:type="dxa" w:w="435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Evidence</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Available interpretation</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Boundary</w:t>
            </w:r>
          </w:p>
        </w:tc>
      </w:tr>
      <w:tr>
        <w:trPr>
          <w:cantSplit/>
        </w:trPr>
        <w:tc>
          <w:tcPr>
            <w:tcW w:type="dxa" w:w="435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Notebook telemetry</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Sampled process/system resource context</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Whole-session samples are not automatically a single optimiser-run measurement</w:t>
            </w:r>
          </w:p>
        </w:tc>
      </w:tr>
      <w:tr>
        <w:trPr>
          <w:cantSplit/>
        </w:trPr>
        <w:tc>
          <w:tcPr>
            <w:tcW w:type="dxa" w:w="435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Stage-event records</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Context keys and stage start/end records</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Recorded windows require reconciliation before resource attribution</w:t>
            </w:r>
          </w:p>
        </w:tc>
      </w:tr>
      <w:tr>
        <w:trPr>
          <w:cantSplit/>
        </w:trPr>
        <w:tc>
          <w:tcPr>
            <w:tcW w:type="dxa" w:w="435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Current-process processor time</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Processor use in the recorded process/threads</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Not a complete accounting of child or competing processes</w:t>
            </w:r>
          </w:p>
        </w:tc>
      </w:tr>
      <w:tr>
        <w:trPr>
          <w:cantSplit/>
        </w:trPr>
        <w:tc>
          <w:tcPr>
            <w:tcW w:type="dxa" w:w="4359"/>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Page-fault channel</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Recorded process page-fault events</w:t>
            </w:r>
          </w:p>
        </w:tc>
        <w:tc>
          <w:tcPr>
            <w:tcW w:type="dxa" w:w="5231"/>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Does not identify hard paging or prove a paging-related delay</w:t>
            </w:r>
          </w:p>
        </w:tc>
      </w:tr>
    </w:tbl>
    <w:p>
      <w:pPr>
        <w:spacing w:line="40" w:lineRule="exact" w:after="40"/>
      </w:pPr>
    </w:p>
    <w:p>
      <w:r>
        <w:t>The full raw monitoring files may include machine/account identifiers and were not copied into the accompanying manuscript archive. The source dataset and analytical records were not altered. This appendix describes collected evidence and its inference limits, rather than claiming unavailable measurements were obtained.</w:t>
      </w:r>
    </w:p>
    <w:p>
      <w:pPr>
        <w:sectPr>
          <w:pgSz w:w="16838" w:h="11906" w:orient="landscape"/>
          <w:pgMar w:top="1080" w:right="1008" w:bottom="1080" w:left="1008" w:header="504" w:footer="504" w:gutter="0"/>
          <w:cols w:space="720"/>
          <w:docGrid w:linePitch="360"/>
        </w:sectPr>
      </w:pPr>
    </w:p>
    <w:p>
      <w:bookmarkStart w:id="8" w:name="Appendix_H"/>
      <w:pPr>
        <w:pStyle w:val="Title"/>
      </w:pPr>
      <w:r>
        <w:t>Appendix H — Integrity, configuration, software and warning records</w:t>
      </w:r>
      <w:bookmarkEnd w:id="8"/>
    </w:p>
    <w:p>
      <w:pPr>
        <w:pStyle w:val="Heading2"/>
      </w:pPr>
      <w:r>
        <w:t>H.1 Scope and interpretation</w:t>
      </w:r>
    </w:p>
    <w:p>
      <w:r>
        <w:t>This appendix reproduces selected configuration fields, software versions, recorded integrity assertions, fitting-boundary documentation and warning/error summaries. The supporting files are unchanged copies of saved records. Hash agreement establishes file identity; it does not establish analytical correctness, historical blinding, absence of every leakage mechanism or clinical validity. Workflow assertions are distinguished from independent review.</w:t>
      </w:r>
    </w:p>
    <w:p>
      <w:r>
        <w:t>The executed records described the original fold-mean hypothesis framework. The later two-component directional family was formulated after analysis and was not a new executed test. That change is documented separately; original analytical metadata have not been rewritten to imply prespecification.</w:t>
      </w:r>
    </w:p>
    <w:p>
      <w:pPr>
        <w:pStyle w:val="Heading2"/>
      </w:pPr>
      <w:r>
        <w:t>H.2 Configuration</w:t>
      </w:r>
    </w:p>
    <w:p>
      <w:pPr>
        <w:pStyle w:val="Caption"/>
      </w:pPr>
      <w:r>
        <w:rPr>
          <w:b/>
          <w:i w:val="0"/>
        </w:rPr>
        <w:t>Table H.1</w:t>
      </w:r>
    </w:p>
    <w:p>
      <w:pPr>
        <w:pStyle w:val="Caption"/>
      </w:pPr>
      <w:r>
        <w:rPr>
          <w:b w:val="0"/>
          <w:i/>
        </w:rPr>
        <w:t>Recorded analytical and telemetry settings</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Saved field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value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workflow_version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2.2.0-monitoring-estimands</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fast_mode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False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allow_final_run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random_state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20260817</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outer_folds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outer_repeats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inner_folds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optimiser_seeds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[101, 202, 303]</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fitness_eval_budget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fitness_tolerance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1e-06</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ga_population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pso_particles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decision_threshold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0.5</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bootstrap_replicates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2000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n_jobs_outer</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monitoring_interval_seconds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5.0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monitoring_version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1.0.0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source_member</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processed.cleveland.data</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expected_sha256</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a74b7efa387bc9d108d7d0115d831fe9b414b29ae7124f331b622b4efa0427c8</w:t>
            </w:r>
          </w:p>
        </w:tc>
      </w:tr>
    </w:tbl>
    <w:p>
      <w:pPr>
        <w:spacing w:line="40" w:lineRule="exact" w:after="40"/>
      </w:pPr>
    </w:p>
    <w:p>
      <w:r>
        <w:rPr>
          <w:b w:val="0"/>
          <w:i/>
        </w:rPr>
        <w:t>Note.</w:t>
      </w:r>
      <w:r>
        <w:t xml:space="preserve"> This is a selected configuration schedule, not a claim that every saved field is printed. Only collected notebook telemetry and stage-event evidence is described in the manuscript. The electronic configuration remains complete and unchanged. Budget caps concerned run-local unique nonempty requests; common caps did not establish equal model fits or elapsed time. Original-variable masks preceded training-local encoding.</w:t>
      </w:r>
    </w:p>
    <w:p>
      <w:pPr>
        <w:pStyle w:val="Heading2"/>
      </w:pPr>
      <w:r>
        <w:t>H.3 Software and provenance acknowledgement</w:t>
      </w:r>
    </w:p>
    <w:p>
      <w:pPr>
        <w:pStyle w:val="Caption"/>
      </w:pPr>
      <w:r>
        <w:rPr>
          <w:b/>
          <w:i w:val="0"/>
        </w:rPr>
        <w:t>Table H.2</w:t>
      </w:r>
    </w:p>
    <w:p>
      <w:pPr>
        <w:pStyle w:val="Caption"/>
      </w:pPr>
      <w:r>
        <w:rPr>
          <w:b w:val="0"/>
          <w:i/>
        </w:rPr>
        <w:t>Saved software/platform versions</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Package/platform</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version</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joblib</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1.4.2</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matplotlib</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3.10.1</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numpy</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2.2.4</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pandas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2.2.3</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platform</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Windows-11-10.0.26300-SP0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pygad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3.7.0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pyswarms</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1.3.0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python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3.13.2</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scikit-learn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1.6.1</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scipy</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1.15.2</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seaborn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0.13.2</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xgboost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2.1.4</w:t>
            </w:r>
          </w:p>
        </w:tc>
      </w:tr>
    </w:tbl>
    <w:p>
      <w:pPr>
        <w:spacing w:line="40" w:lineRule="exact" w:after="40"/>
      </w:pPr>
    </w:p>
    <w:p>
      <w:pPr>
        <w:pStyle w:val="Caption"/>
      </w:pPr>
      <w:r>
        <w:rPr>
          <w:b/>
          <w:i w:val="0"/>
        </w:rPr>
        <w:t>Table H.3</w:t>
      </w:r>
    </w:p>
    <w:p>
      <w:pPr>
        <w:pStyle w:val="Caption"/>
      </w:pPr>
      <w:r>
        <w:rPr>
          <w:b w:val="0"/>
          <w:i/>
        </w:rPr>
        <w:t>Recorded run acknowledgement and its boundary</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Saved field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value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configuration_fingerprint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c2c87bcc95ecdf7f</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historical_run_freeze_verified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False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meaning</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Operator acknowledgement for this new run, not independent proof about prior result inspection.</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mode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final</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operator_budget_freeze_acknowledgement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recorded_utc</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2026-10-21T08:38:41.950306+00:00</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source_notebook_sha256</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b2ce58ade83487fd0e5a361495ecc73f380497d81196813a33a09908abbbb129</w:t>
            </w:r>
          </w:p>
        </w:tc>
      </w:tr>
    </w:tbl>
    <w:p>
      <w:pPr>
        <w:spacing w:line="40" w:lineRule="exact" w:after="40"/>
      </w:pPr>
    </w:p>
    <w:p>
      <w:r>
        <w:rPr>
          <w:b w:val="0"/>
          <w:i/>
        </w:rPr>
        <w:t>Note.</w:t>
      </w:r>
      <w:r>
        <w:t xml:space="preserve"> The acknowledgement documented fixed settings for this run. It was not independent evidence of preregistration, prior-result blinding or a historically verified budget freeze. The stored notebook provenance hash is a field in that record, not a newly verified hash of every later notebook file. Verification of execution provenance and integrity is separate from ethical approval; no approval, exemption or consent waiver is created by these records.</w:t>
      </w:r>
    </w:p>
    <w:p>
      <w:pPr>
        <w:pStyle w:val="Heading2"/>
      </w:pPr>
      <w:r>
        <w:t>H.4 Executed estimands and fitting-boundary documentation</w:t>
      </w:r>
    </w:p>
    <w:p>
      <w:pPr>
        <w:pStyle w:val="Caption"/>
      </w:pPr>
      <w:r>
        <w:rPr>
          <w:b/>
          <w:i w:val="0"/>
        </w:rPr>
        <w:t>Table H.4</w:t>
      </w:r>
    </w:p>
    <w:p>
      <w:pPr>
        <w:pStyle w:val="Caption"/>
      </w:pPr>
      <w:r>
        <w:rPr>
          <w:b w:val="0"/>
          <w:i/>
        </w:rPr>
        <w:t>Saved estimand definitions</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field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Executed-record wording</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bootstrap_scope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conditional on realised aggregated OOF predictions; not an interval for the fold-mean hypothesis estimand</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chapter_correction_rule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Register new deterministic summaries separately; correct Chapter 4 through a traceable amendment, never silently through Discussion.</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configuration_fingerprint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c2c87bcc95ecdf7f</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hypothesis_estimand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equal-weight mean of matched outer-fold ROC-AUC differences</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hypothesis_inference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descriptive direction only; no new test or interval</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secondary_estimand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difference of ROC-AUCs calculated from averaged OOF probabilities</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smoke_mode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False</w:t>
            </w:r>
          </w:p>
        </w:tc>
      </w:tr>
    </w:tbl>
    <w:p>
      <w:pPr>
        <w:spacing w:line="40" w:lineRule="exact" w:after="40"/>
      </w:pPr>
    </w:p>
    <w:p>
      <w:pPr>
        <w:pStyle w:val="Caption"/>
      </w:pPr>
      <w:r>
        <w:rPr>
          <w:b/>
          <w:i w:val="0"/>
        </w:rPr>
        <w:t>Table H.5</w:t>
      </w:r>
    </w:p>
    <w:p>
      <w:pPr>
        <w:pStyle w:val="Caption"/>
      </w:pPr>
      <w:r>
        <w:rPr>
          <w:b w:val="0"/>
          <w:i/>
        </w:rPr>
        <w:t>Method-to-code fitting-boundary record</w:t>
      </w:r>
    </w:p>
    <w:tbl>
      <w:tblPr>
        <w:tblW w:type="auto" w:w="0"/>
        <w:jc w:val="center"/>
        <w:tblLayout w:type="fixed"/>
        <w:tblLook w:firstColumn="1" w:firstRow="1" w:lastColumn="0" w:lastRow="0" w:noHBand="0" w:noVBand="1" w:val="04A0"/>
      </w:tblPr>
      <w:tblGrid>
        <w:gridCol w:w="3953"/>
        <w:gridCol w:w="3953"/>
        <w:gridCol w:w="3953"/>
        <w:gridCol w:w="2964"/>
      </w:tblGrid>
      <w:tr>
        <w:trPr>
          <w:cantSplit/>
          <w:tblHeader/>
        </w:trPr>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Method</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Function/stage</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Fitting data</w:t>
            </w:r>
          </w:p>
        </w:tc>
        <w:tc>
          <w:tcPr>
            <w:tcW w:type="dxa" w:w="29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Independent review recorded</w:t>
            </w:r>
          </w:p>
        </w:tc>
      </w:tr>
      <w:tr>
        <w:trPr>
          <w:cantSplit/>
        </w:trPr>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Fold-local preprocessing</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build_pipeline/evaluate_mask/tune_and_evaluate</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inner training or complete outer training</w:t>
            </w:r>
          </w:p>
        </w:tc>
        <w:tc>
          <w:tcPr>
            <w:tcW w:type="dxa" w:w="29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False</w:t>
            </w:r>
          </w:p>
        </w:tc>
      </w:tr>
      <w:tr>
        <w:trPr>
          <w:cantSplit/>
        </w:trPr>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Classifier-specific feature selection</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run_ga/run_binary_pso</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outer training with frozen inner folds</w:t>
            </w:r>
          </w:p>
        </w:tc>
        <w:tc>
          <w:tcPr>
            <w:tcW w:type="dxa" w:w="29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False</w:t>
            </w:r>
          </w:p>
        </w:tc>
      </w:tr>
      <w:tr>
        <w:trPr>
          <w:cantSplit/>
        </w:trPr>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Condition-specific tuning</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GridSearchCV in tune_and_evaluate</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outer training with frozen inner folds</w:t>
            </w:r>
          </w:p>
        </w:tc>
        <w:tc>
          <w:tcPr>
            <w:tcW w:type="dxa" w:w="29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False</w:t>
            </w:r>
          </w:p>
        </w:tc>
      </w:tr>
      <w:tr>
        <w:trPr>
          <w:cantSplit/>
        </w:trPr>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SVM sigmoid calibration</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CalibratedClassifierCV in tune_and_evaluate</w:t>
            </w:r>
          </w:p>
        </w:tc>
        <w:tc>
          <w:tcPr>
            <w:tcW w:type="dxa" w:w="3953"/>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outer training only</w:t>
            </w:r>
          </w:p>
        </w:tc>
        <w:tc>
          <w:tcPr>
            <w:tcW w:type="dxa" w:w="29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False</w:t>
            </w:r>
          </w:p>
        </w:tc>
      </w:tr>
    </w:tbl>
    <w:p>
      <w:pPr>
        <w:spacing w:line="40" w:lineRule="exact" w:after="40"/>
      </w:pPr>
    </w:p>
    <w:p>
      <w:r>
        <w:rPr>
          <w:b w:val="0"/>
          <w:i/>
        </w:rPr>
        <w:t>Note.</w:t>
      </w:r>
      <w:r>
        <w:t xml:space="preserve"> </w:t>
      </w:r>
      <w:r>
        <w:t>False</w:t>
      </w:r>
      <w:r>
        <w:t xml:space="preserve"> in the independent-review field is preserved. Listed functions and fitting arguments support the documented procedure but are not independent witnesses that leakage was impossible. Repeated folds are dependent. Conditional aggregated-prediction intervals did not refit development and were not intervals or tests for fold means or the later joint proposition.</w:t>
      </w:r>
    </w:p>
    <w:p>
      <w:pPr>
        <w:pStyle w:val="Heading2"/>
      </w:pPr>
      <w:r>
        <w:t>H.5 Integrity assertions, warnings and fitness errors</w:t>
      </w:r>
    </w:p>
    <w:p>
      <w:pPr>
        <w:pStyle w:val="Caption"/>
      </w:pPr>
      <w:r>
        <w:rPr>
          <w:b/>
          <w:i w:val="0"/>
        </w:rPr>
        <w:t>Table H.6</w:t>
      </w:r>
    </w:p>
    <w:p>
      <w:pPr>
        <w:pStyle w:val="Caption"/>
      </w:pPr>
      <w:r>
        <w:rPr>
          <w:b w:val="0"/>
          <w:i/>
        </w:rPr>
        <w:t>Complete saved integrity-assertion schedule</w:t>
      </w:r>
    </w:p>
    <w:tbl>
      <w:tblPr>
        <w:tblW w:type="auto" w:w="0"/>
        <w:jc w:val="center"/>
        <w:tblLayout w:type="fixed"/>
        <w:tblLook w:firstColumn="1" w:firstRow="1" w:lastColumn="0" w:lastRow="0" w:noHBand="0" w:noVBand="1" w:val="04A0"/>
      </w:tblPr>
      <w:tblGrid>
        <w:gridCol w:w="5617"/>
        <w:gridCol w:w="2340"/>
        <w:gridCol w:w="1248"/>
        <w:gridCol w:w="5617"/>
      </w:tblGrid>
      <w:tr>
        <w:trPr>
          <w:cantSplit/>
          <w:tblHeader/>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Check</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 status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Critical</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Saved note</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Fold contrast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Approved hypothesis contrasts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Separate estimand alignment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No bootstrap intervals assigned to fold-mean summaries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Exactly five classifiers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Exactly three conditions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Expected outer splits completed</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Matched outer-test indices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No duplicate prediction keys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All masks have 13 original-feature bits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Every retained optimiser mask is non-empty</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GA/PSO respect common unique-request cap</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The cap does not equalise attempted calls or model fits</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Finite probabilities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Probabilities in [0, 1]</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Aggregated prediction keys unique</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Each aggregate uses the mode-specific prediction count</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Expected 2 prediction(s) per observation-condition; complete repeated outer validation</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Paired comparison rows aligned</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Classifier-specific selector recorded</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Selection and tuning restricted by function interfaces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Recorded design assertion using frozen inner indices; no independent code audit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SVM calibration restricted by fitting function</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Recorded outer-training hash; no independent code audit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Cache context excludes optimiser seed</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FAST output not labelled final</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Final execution mode</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False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fast_mode=false and final execution explicitly authorised</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Analytical observations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Fold metric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Raw prediction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Aggregated prediction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Optimiser runs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Selected mask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Tuning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Paired bootstrap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Stability rows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Thirty retained runs per stability row</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All bootstrap rows have 2000 valid replicates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r>
        <w:trPr>
          <w:cantSplit/>
        </w:trPr>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No skipped bootstrap replicates</w:t>
            </w:r>
          </w:p>
        </w:tc>
        <w:tc>
          <w:tcPr>
            <w:tcW w:type="dxa" w:w="234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PASS</w:t>
            </w:r>
          </w:p>
        </w:tc>
        <w:tc>
          <w:tcPr>
            <w:tcW w:type="dxa" w:w="1248"/>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True</w:t>
            </w:r>
          </w:p>
        </w:tc>
        <w:tc>
          <w:tcPr>
            <w:tcW w:type="dxa" w:w="5617"/>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t>
            </w:r>
          </w:p>
        </w:tc>
      </w:tr>
    </w:tbl>
    <w:p>
      <w:pPr>
        <w:spacing w:line="40" w:lineRule="exact" w:after="40"/>
      </w:pPr>
    </w:p>
    <w:p>
      <w:pPr>
        <w:pStyle w:val="Caption"/>
      </w:pPr>
      <w:r>
        <w:rPr>
          <w:b/>
          <w:i w:val="0"/>
        </w:rPr>
        <w:t>Table H.7</w:t>
      </w:r>
    </w:p>
    <w:p>
      <w:pPr>
        <w:pStyle w:val="Caption"/>
      </w:pPr>
      <w:r>
        <w:rPr>
          <w:b w:val="0"/>
          <w:i/>
        </w:rPr>
        <w:t>Saved warning/error-log scope</w:t>
      </w:r>
    </w:p>
    <w:tbl>
      <w:tblPr>
        <w:tblW w:type="auto" w:w="0"/>
        <w:jc w:val="center"/>
        <w:tblLayout w:type="fixed"/>
        <w:tblLook w:firstColumn="1" w:firstRow="1" w:lastColumn="0" w:lastRow="0" w:noHBand="0" w:noVBand="1" w:val="04A0"/>
      </w:tblPr>
      <w:tblGrid>
        <w:gridCol w:w="4042"/>
        <w:gridCol w:w="4716"/>
        <w:gridCol w:w="6064"/>
      </w:tblGrid>
      <w:tr>
        <w:trPr>
          <w:cantSplit/>
          <w:tblHeader/>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Record/field</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Saved value</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Interpretation</w:t>
            </w:r>
          </w:p>
        </w:tc>
      </w:tr>
      <w:tr>
        <w:trPr>
          <w:cantSplit/>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fitness_error_count</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0</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Recorded fitness failures, not every possible execution issue</w:t>
            </w:r>
          </w:p>
        </w:tc>
      </w:tr>
      <w:tr>
        <w:trPr>
          <w:cantSplit/>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warning_count</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0</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Captured warning entries only</w:t>
            </w:r>
          </w:p>
        </w:tc>
      </w:tr>
      <w:tr>
        <w:trPr>
          <w:cantSplit/>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warnings</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Saved warning list</w:t>
            </w:r>
          </w:p>
        </w:tc>
      </w:tr>
      <w:tr>
        <w:trPr>
          <w:cantSplit/>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reconciled_after_figures</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True</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Recorded export-stage reconciliation flag</w:t>
            </w:r>
          </w:p>
        </w:tc>
      </w:tr>
      <w:tr>
        <w:trPr>
          <w:cantSplit/>
        </w:trPr>
        <w:tc>
          <w:tcPr>
            <w:tcW w:type="dxa" w:w="404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fitness_errors.csv</w:t>
            </w:r>
          </w:p>
        </w:tc>
        <w:tc>
          <w:tcPr>
            <w:tcW w:type="dxa" w:w="4716"/>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Header only; no data records</w:t>
            </w:r>
          </w:p>
        </w:tc>
        <w:tc>
          <w:tcPr>
            <w:tcW w:type="dxa" w:w="6064"/>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Complete copied fitness-error record</w:t>
            </w:r>
          </w:p>
        </w:tc>
      </w:tr>
    </w:tbl>
    <w:p>
      <w:pPr>
        <w:spacing w:line="40" w:lineRule="exact" w:after="40"/>
      </w:pPr>
    </w:p>
    <w:p>
      <w:r>
        <w:rPr>
          <w:b w:val="0"/>
          <w:i/>
        </w:rPr>
        <w:t>Note.</w:t>
      </w:r>
      <w:r>
        <w:t xml:space="preserve"> Empty captured-warning and fitness-error records do not prove that every library warning was collected or every possible execution issue absent. PyGAD warning suppression limited completeness. Warning capture, fitting failures, integrity assertions and collected telemetry have different scopes. These distinctions do not justify inventing an error or repairing a saved result.</w:t>
      </w:r>
    </w:p>
    <w:p>
      <w:pPr>
        <w:pStyle w:val="Heading2"/>
      </w:pPr>
      <w:r>
        <w:t>H.6 Manifest and supporting records</w:t>
      </w:r>
    </w:p>
    <w:p>
      <w:pPr>
        <w:pStyle w:val="Caption"/>
      </w:pPr>
      <w:r>
        <w:rPr>
          <w:b/>
          <w:i w:val="0"/>
        </w:rPr>
        <w:t>Table H.8</w:t>
      </w:r>
    </w:p>
    <w:p>
      <w:pPr>
        <w:pStyle w:val="Caption"/>
      </w:pPr>
      <w:r>
        <w:rPr>
          <w:b w:val="0"/>
          <w:i/>
        </w:rPr>
        <w:t>Manifest verification scope</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Item</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Recorded/checked value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Configuration fingerprint</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c2c87bcc95ecdf7f</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Manifest SHA-256</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825379f698120a35ed42dc58ba7eb452da23bb61a833a7997a18584a4d161d4d</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Detached digest comparison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spacing w:line="240" w:lineRule="auto" w:before="40" w:after="40"/>
              <w:jc w:val="left"/>
            </w:pPr>
            <w:r>
              <w:rPr>
                <w:sz w:val="24"/>
              </w:rPr>
              <w:t>MATCH</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Coverage rule</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Every file listed in the saved manifest matched its recorded size and SHA-256</w:t>
            </w:r>
          </w:p>
        </w:tc>
      </w:tr>
    </w:tbl>
    <w:p>
      <w:pPr>
        <w:spacing w:line="40" w:lineRule="exact" w:after="40"/>
      </w:pPr>
    </w:p>
    <w:p>
      <w:r>
        <w:rPr>
          <w:b w:val="0"/>
          <w:i/>
        </w:rPr>
        <w:t>Note.</w:t>
      </w:r>
      <w:r>
        <w:t xml:space="preserve"> The manifest covers its listed artifacts; this is not a claim that later notebook/HTML exports, supplementary audits or every file in the parent folder were inside that manifest. The complete per-file identity schedule accompanies the electronic records. There is no self-referential claim that the manifest's own digest was stored inside itself.</w:t>
      </w:r>
    </w:p>
    <w:tbl>
      <w:tblPr>
        <w:tblW w:type="auto" w:w="0"/>
        <w:jc w:val="center"/>
        <w:tblLayout w:type="fixed"/>
        <w:tblLook w:firstColumn="1" w:firstRow="1" w:lastColumn="0" w:lastRow="0" w:noHBand="0" w:noVBand="1" w:val="04A0"/>
      </w:tblPr>
      <w:tblGrid>
        <w:gridCol w:w="5632"/>
        <w:gridCol w:w="9190"/>
      </w:tblGrid>
      <w:tr>
        <w:trPr>
          <w:cantSplit/>
          <w:tblHeader/>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Supporting record</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shd w:fill="E9EEF2"/>
          </w:tcPr>
          <w:p>
            <w:pPr>
              <w:keepNext/>
              <w:spacing w:line="240" w:lineRule="auto" w:before="40" w:after="40"/>
              <w:jc w:val="left"/>
            </w:pPr>
            <w:r>
              <w:rPr>
                <w:b/>
                <w:sz w:val="24"/>
              </w:rPr>
              <w:t>Electronic evidence</w:t>
            </w:r>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configuration.json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57">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software_versions.json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58">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run_authorisation_record.json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59">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analysis_estimands.json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0">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integrity_audit.csv</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1">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method_to_code_audit.csv</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2">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warning_error_log.json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3">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fitness_errors.csv</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4">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run_manifest.json</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5">
              <w:r>
                <w:rPr>
                  <w:color w:val="000000"/>
                  <w:u w:val="single"/>
                </w:rPr>
                <w:t>Full record</w:t>
              </w:r>
            </w:hyperlink>
          </w:p>
        </w:tc>
      </w:tr>
      <w:tr>
        <w:trPr>
          <w:cantSplit/>
        </w:trPr>
        <w:tc>
          <w:tcPr>
            <w:tcW w:type="dxa" w:w="5632"/>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r>
              <w:rPr>
                <w:sz w:val="24"/>
              </w:rPr>
              <w:t>run_manifest.sha256</w:t>
            </w:r>
          </w:p>
        </w:tc>
        <w:tc>
          <w:tcPr>
            <w:tcW w:type="dxa" w:w="9190"/>
            <w:vAlign w:val="center"/>
            <w:tcBorders>
              <w:top w:val="single" w:sz="4" w:color="D9D9D9"/>
              <w:left w:val="single" w:sz="4" w:color="D9D9D9"/>
              <w:bottom w:val="single" w:sz="4" w:color="D9D9D9"/>
              <w:right w:val="single" w:sz="4" w:color="D9D9D9"/>
            </w:tcBorders>
            <w:tcMar>
              <w:top w:w="40" w:type="dxa"/>
              <w:left w:w="40" w:type="dxa"/>
              <w:bottom w:w="40" w:type="dxa"/>
              <w:right w:w="40" w:type="dxa"/>
            </w:tcMar>
          </w:tcPr>
          <w:p>
            <w:pPr>
              <w:keepNext w:val="0"/>
              <w:spacing w:line="240" w:lineRule="auto" w:before="40" w:after="40"/>
              <w:jc w:val="left"/>
            </w:pPr>
            <w:hyperlink r:id="rId66">
              <w:r>
                <w:rPr>
                  <w:color w:val="000000"/>
                  <w:u w:val="single"/>
                </w:rPr>
                <w:t>Full record</w:t>
              </w:r>
            </w:hyperlink>
          </w:p>
        </w:tc>
      </w:tr>
    </w:tbl>
    <w:p>
      <w:pPr>
        <w:spacing w:line="40" w:lineRule="exact" w:after="40"/>
      </w:pPr>
    </w:p>
    <w:p>
      <w:r>
        <w:t>The later framework revision is documented in the separate research-framework map and aligned-chapter change log. Original metadata continue to describe the executed analysis; they are not retrospective proof of the revised propositions. The reviewed notebook is linked in Section H.6; raw HTML and machine-identifying monitoring logs are not reproduced here. Public access to the dataset does not establish an institutional ethics exemption or unrestricted sharing of computational logs.</w:t>
      </w:r>
    </w:p>
    <w:p>
      <w:r>
        <w:br w:type="page"/>
      </w:r>
    </w:p>
    <w:p>
      <w:pPr>
        <w:pStyle w:val="Heading2"/>
      </w:pPr>
      <w:r>
        <w:t>H.6 Reviewed notebook and project access</w:t>
      </w:r>
    </w:p>
    <w:p>
      <w:r>
        <w:t>The complete reviewed notebook and the supporting electronic records are provided through the project repository for grading. The notebook copy includes its saved outputs and personal details, which were preserved at the author’s explicit request. No notebook content was removed or redacted for this copy.</w:t>
      </w:r>
    </w:p>
    <w:p>
      <w:hyperlink r:id="rId67">
        <w:r>
          <w:rPr>
            <w:rStyle w:val="Hyperlink"/>
          </w:rPr>
          <w:t>Heart-disease feature selection with GA and PSO project</w:t>
        </w:r>
      </w:hyperlink>
    </w:p>
    <w:p>
      <w:hyperlink r:id="rId68">
        <w:r>
          <w:rPr>
            <w:rStyle w:val="Hyperlink"/>
          </w:rPr>
          <w:t>Heart_Disease_GA_PSO_Analysis_Workflow_v3_Monitored-IR.ipynb notebook</w:t>
        </w:r>
      </w:hyperlink>
    </w:p>
    <w:p>
      <w:hyperlink r:id="rId69">
        <w:r>
          <w:rPr>
            <w:rStyle w:val="Hyperlink"/>
          </w:rPr>
          <w:t>Project note for the grading notebook</w:t>
        </w:r>
      </w:hyperlink>
    </w:p>
    <w:p>
      <w:hyperlink r:id="rId70">
        <w:r>
          <w:rPr>
            <w:rStyle w:val="Hyperlink"/>
          </w:rPr>
          <w:t>Export-copy SHA-256 manifest</w:t>
        </w:r>
      </w:hyperlink>
    </w:p>
    <w:p>
      <w:r>
        <w:t>Notebook SHA-256: 69516c91adcf7af7a9b94ebff6ac4e958d6339b4b0e0fed550533cb405232e04</w:t>
      </w:r>
    </w:p>
    <w:p>
      <w:r>
        <w:t>The repository links point to the main branch. The export-copy checksum manifest identifies the published evidence files and is separate from the original analytical run manifest. The reviewed notebook was added after that analytical run; it is not retrospectively included in the original manifest. The filename does not establish independent human review, and the recorded independent-review fields have not been changed.</w:t>
      </w:r>
    </w:p>
    <w:sectPr w:rsidR="00FC693F" w:rsidRPr="0006063C" w:rsidSect="00034616">
      <w:pgSz w:w="16838" w:h="11906" w:orient="landscape"/>
      <w:pgMar w:top="1080" w:right="1008" w:bottom="1080"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6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36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w:hAnsi="Arial"/>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360" w:lineRule="auto" w:after="8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nyaKK/Data-Science-Portfolio-/blob/main/projects/heart-disease-feature-selection/electronic_records/data_provenance.json" TargetMode="External"/><Relationship Id="rId12" Type="http://schemas.openxmlformats.org/officeDocument/2006/relationships/hyperlink" Target="https://github.com/AnyaKK/Data-Science-Portfolio-/blob/main/projects/heart-disease-feature-selection/electronic_records/dataset_class_distribution.csv" TargetMode="External"/><Relationship Id="rId13" Type="http://schemas.openxmlformats.org/officeDocument/2006/relationships/hyperlink" Target="https://github.com/AnyaKK/Data-Science-Portfolio-/blob/main/projects/heart-disease-feature-selection/electronic_records/dataset_missingness.csv" TargetMode="External"/><Relationship Id="rId14" Type="http://schemas.openxmlformats.org/officeDocument/2006/relationships/hyperlink" Target="https://github.com/AnyaKK/Data-Science-Portfolio-/blob/main/projects/heart-disease-feature-selection/electronic_records/dataset_numeric_summary.csv" TargetMode="External"/><Relationship Id="rId15" Type="http://schemas.openxmlformats.org/officeDocument/2006/relationships/hyperlink" Target="https://github.com/AnyaKK/Data-Science-Portfolio-/blob/main/projects/heart-disease-feature-selection/electronic_records/dataset_categorical_frequencies.csv"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hyperlink" Target="https://github.com/AnyaKK/Data-Science-Portfolio-/blob/main/projects/heart-disease-feature-selection/electronic_records/fold_metrics.csv" TargetMode="External"/><Relationship Id="rId28" Type="http://schemas.openxmlformats.org/officeDocument/2006/relationships/hyperlink" Target="https://github.com/AnyaKK/Data-Science-Portfolio-/blob/main/projects/heart-disease-feature-selection/electronic_records/outer_split_metadata.csv" TargetMode="External"/><Relationship Id="rId29" Type="http://schemas.openxmlformats.org/officeDocument/2006/relationships/hyperlink" Target="https://github.com/AnyaKK/Data-Science-Portfolio-/blob/main/projects/heart-disease-feature-selection/electronic_records/aggregated_oof_performance.csv" TargetMode="External"/><Relationship Id="rId30" Type="http://schemas.openxmlformats.org/officeDocument/2006/relationships/hyperlink" Target="https://github.com/AnyaKK/Data-Science-Portfolio-/blob/main/projects/heart-disease-feature-selection/electronic_records/descriptive_outer_fold_performance.csv" TargetMode="External"/><Relationship Id="rId31" Type="http://schemas.openxmlformats.org/officeDocument/2006/relationships/hyperlink" Target="https://github.com/AnyaKK/Data-Science-Portfolio-/blob/main/projects/heart-disease-feature-selection/electronic_records/calibration_results.csv" TargetMode="External"/><Relationship Id="rId32" Type="http://schemas.openxmlformats.org/officeDocument/2006/relationships/hyperlink" Target="https://github.com/AnyaKK/Data-Science-Portfolio-/blob/main/projects/heart-disease-feature-selection/electronic_records/paired_bootstrap_differences.csv" TargetMode="External"/><Relationship Id="rId33" Type="http://schemas.openxmlformats.org/officeDocument/2006/relationships/hyperlink" Target="https://github.com/AnyaKK/Data-Science-Portfolio-/blob/main/projects/heart-disease-feature-selection/electronic_records/paired_outer_fold_roc_auc_differences.csv" TargetMode="External"/><Relationship Id="rId34" Type="http://schemas.openxmlformats.org/officeDocument/2006/relationships/hyperlink" Target="https://github.com/AnyaKK/Data-Science-Portfolio-/blob/main/projects/heart-disease-feature-selection/electronic_records/outer_fold_roc_auc_contrast_summary.csv" TargetMode="External"/><Relationship Id="rId35" Type="http://schemas.openxmlformats.org/officeDocument/2006/relationships/hyperlink" Target="https://github.com/AnyaKK/Data-Science-Portfolio-/blob/main/projects/heart-disease-feature-selection/electronic_records/estimand_alignment_summary.csv" TargetMode="External"/><Relationship Id="rId36" Type="http://schemas.openxmlformats.org/officeDocument/2006/relationships/hyperlink" Target="https://github.com/AnyaKK/Data-Science-Portfolio-/blob/main/projects/heart-disease-feature-selection/electronic_records/V3_Deterministic_Precision_Supplement.csv" TargetMode="External"/><Relationship Id="rId37" Type="http://schemas.openxmlformats.org/officeDocument/2006/relationships/hyperlink" Target="https://github.com/AnyaKK/Data-Science-Portfolio-/blob/main/projects/heart-disease-feature-selection/electronic_records/all_outer_predictions.csv" TargetMode="External"/><Relationship Id="rId38" Type="http://schemas.openxmlformats.org/officeDocument/2006/relationships/hyperlink" Target="https://github.com/AnyaKK/Data-Science-Portfolio-/blob/main/projects/heart-disease-feature-selection/electronic_records/aggregated_oof_predictions.csv" TargetMode="External"/><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hyperlink" Target="https://github.com/AnyaKK/Data-Science-Portfolio-/blob/main/projects/heart-disease-feature-selection/electronic_records/selected_masks.json" TargetMode="External"/><Relationship Id="rId42" Type="http://schemas.openxmlformats.org/officeDocument/2006/relationships/hyperlink" Target="https://github.com/AnyaKK/Data-Science-Portfolio-/blob/main/projects/heart-disease-feature-selection/electronic_records/selected_feature_counts.csv" TargetMode="External"/><Relationship Id="rId43" Type="http://schemas.openxmlformats.org/officeDocument/2006/relationships/hyperlink" Target="https://github.com/AnyaKK/Data-Science-Portfolio-/blob/main/projects/heart-disease-feature-selection/electronic_records/feature_selection_frequencies.csv" TargetMode="External"/><Relationship Id="rId44" Type="http://schemas.openxmlformats.org/officeDocument/2006/relationships/hyperlink" Target="https://github.com/AnyaKK/Data-Science-Portfolio-/blob/main/projects/heart-disease-feature-selection/electronic_records/cross_classifier_consensus.csv" TargetMode="External"/><Relationship Id="rId45" Type="http://schemas.openxmlformats.org/officeDocument/2006/relationships/hyperlink" Target="https://github.com/AnyaKK/Data-Science-Portfolio-/blob/main/projects/heart-disease-feature-selection/electronic_records/ga_pso_overlap.csv" TargetMode="External"/><Relationship Id="rId46" Type="http://schemas.openxmlformats.org/officeDocument/2006/relationships/hyperlink" Target="https://github.com/AnyaKK/Data-Science-Portfolio-/blob/main/projects/heart-disease-feature-selection/electronic_records/stability_jaccard_nogueira.csv" TargetMode="External"/><Relationship Id="rId47" Type="http://schemas.openxmlformats.org/officeDocument/2006/relationships/hyperlink" Target="https://github.com/AnyaKK/Data-Science-Portfolio-/blob/main/projects/heart-disease-feature-selection/electronic_records/model_tuning_grids.csv" TargetMode="External"/><Relationship Id="rId48" Type="http://schemas.openxmlformats.org/officeDocument/2006/relationships/hyperlink" Target="https://github.com/AnyaKK/Data-Science-Portfolio-/blob/main/projects/heart-disease-feature-selection/electronic_records/tuning_results.json" TargetMode="External"/><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https://github.com/AnyaKK/Data-Science-Portfolio-/blob/main/projects/heart-disease-feature-selection/electronic_records/all_optimiser_runs.json" TargetMode="External"/><Relationship Id="rId56" Type="http://schemas.openxmlformats.org/officeDocument/2006/relationships/hyperlink" Target="https://github.com/AnyaKK/Data-Science-Portfolio-/blob/main/projects/heart-disease-feature-selection/electronic_records/optimiser_efficiency.csv" TargetMode="External"/><Relationship Id="rId57" Type="http://schemas.openxmlformats.org/officeDocument/2006/relationships/hyperlink" Target="https://github.com/AnyaKK/Data-Science-Portfolio-/blob/main/projects/heart-disease-feature-selection/electronic_records/configuration.json" TargetMode="External"/><Relationship Id="rId58" Type="http://schemas.openxmlformats.org/officeDocument/2006/relationships/hyperlink" Target="https://github.com/AnyaKK/Data-Science-Portfolio-/blob/main/projects/heart-disease-feature-selection/electronic_records/software_versions.json" TargetMode="External"/><Relationship Id="rId59" Type="http://schemas.openxmlformats.org/officeDocument/2006/relationships/hyperlink" Target="https://github.com/AnyaKK/Data-Science-Portfolio-/blob/main/projects/heart-disease-feature-selection/electronic_records/run_authorisation_record.json" TargetMode="External"/><Relationship Id="rId60" Type="http://schemas.openxmlformats.org/officeDocument/2006/relationships/hyperlink" Target="https://github.com/AnyaKK/Data-Science-Portfolio-/blob/main/projects/heart-disease-feature-selection/electronic_records/analysis_estimands.json" TargetMode="External"/><Relationship Id="rId61" Type="http://schemas.openxmlformats.org/officeDocument/2006/relationships/hyperlink" Target="https://github.com/AnyaKK/Data-Science-Portfolio-/blob/main/projects/heart-disease-feature-selection/electronic_records/integrity_audit.csv" TargetMode="External"/><Relationship Id="rId62" Type="http://schemas.openxmlformats.org/officeDocument/2006/relationships/hyperlink" Target="https://github.com/AnyaKK/Data-Science-Portfolio-/blob/main/projects/heart-disease-feature-selection/electronic_records/method_to_code_audit.csv" TargetMode="External"/><Relationship Id="rId63" Type="http://schemas.openxmlformats.org/officeDocument/2006/relationships/hyperlink" Target="https://github.com/AnyaKK/Data-Science-Portfolio-/blob/main/projects/heart-disease-feature-selection/electronic_records/warning_error_log.json" TargetMode="External"/><Relationship Id="rId64" Type="http://schemas.openxmlformats.org/officeDocument/2006/relationships/hyperlink" Target="https://github.com/AnyaKK/Data-Science-Portfolio-/blob/main/projects/heart-disease-feature-selection/electronic_records/fitness_errors.csv" TargetMode="External"/><Relationship Id="rId65" Type="http://schemas.openxmlformats.org/officeDocument/2006/relationships/hyperlink" Target="https://github.com/AnyaKK/Data-Science-Portfolio-/blob/main/projects/heart-disease-feature-selection/electronic_records/run_manifest.json" TargetMode="External"/><Relationship Id="rId66" Type="http://schemas.openxmlformats.org/officeDocument/2006/relationships/hyperlink" Target="https://github.com/AnyaKK/Data-Science-Portfolio-/blob/main/projects/heart-disease-feature-selection/electronic_records/run_manifest.sha256" TargetMode="External"/><Relationship Id="rId67" Type="http://schemas.openxmlformats.org/officeDocument/2006/relationships/hyperlink" Target="https://github.com/AnyaKK/Data-Science-Portfolio-/blob/main/projects/heart-disease-feature-selection/README.md" TargetMode="External"/><Relationship Id="rId68" Type="http://schemas.openxmlformats.org/officeDocument/2006/relationships/hyperlink" Target="https://github.com/AnyaKK/Data-Science-Portfolio-/blob/main/projects/heart-disease-feature-selection/electronic_records/Heart_Disease_GA_PSO_Analysis_Workflow_v3_Monitored-IR.ipynb" TargetMode="External"/><Relationship Id="rId69" Type="http://schemas.openxmlformats.org/officeDocument/2006/relationships/hyperlink" Target="https://github.com/AnyaKK/Data-Science-Portfolio-/blob/main/projects/heart-disease-feature-selection/docs/PROJECT_NOTE.md" TargetMode="External"/><Relationship Id="rId70" Type="http://schemas.openxmlformats.org/officeDocument/2006/relationships/hyperlink" Target="https://github.com/AnyaKK/Data-Science-Portfolio-/blob/main/projects/heart-disease-feature-selection/electronic_records/SHA256_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