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 6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Кижваткина Анна 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освоение арифметических инструкций языка ассемблера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Символьные и численные данные в NASM.</w:t>
      </w:r>
    </w:p>
    <w:p>
      <w:pPr>
        <w:pStyle w:val="Compact"/>
        <w:numPr>
          <w:ilvl w:val="0"/>
          <w:numId w:val="1001"/>
        </w:numPr>
      </w:pPr>
      <w:r>
        <w:t xml:space="preserve">Выполнение арифметических операций в NASM.</w:t>
      </w:r>
    </w:p>
    <w:p>
      <w:pPr>
        <w:pStyle w:val="Compact"/>
        <w:numPr>
          <w:ilvl w:val="0"/>
          <w:numId w:val="1001"/>
        </w:numPr>
      </w:pPr>
      <w:r>
        <w:t xml:space="preserve">Выполнение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Большинство указаний на языке ассемблера требуют обработки операндов. Адрес операнда указывает на место, где хранятся данные, которые необходимо обработать. Эти данные могут быть хранящимися в регистре или ячейке памяти.</w:t>
      </w:r>
    </w:p>
    <w:p>
      <w:pPr>
        <w:pStyle w:val="BodyText"/>
      </w:pPr>
      <w:r>
        <w:t xml:space="preserve">Адресация по регистрам – данные хранятся в регистрах, и в команде используются имена этих регистров, например: mov ax, bx.</w:t>
      </w:r>
    </w:p>
    <w:p>
      <w:pPr>
        <w:pStyle w:val="BodyText"/>
      </w:pPr>
      <w:r>
        <w:t xml:space="preserve">Непосредственная адресация – значение операнда указывается непосредственно в команде, например: mov ax, 2.</w:t>
      </w:r>
    </w:p>
    <w:p>
      <w:pPr>
        <w:pStyle w:val="BodyText"/>
      </w:pPr>
      <w:r>
        <w:t xml:space="preserve">Адресация памяти – операнд указывает адрес в памяти. В команде указывается символическое обозначение ячейки памяти, над содержимым которой нужно выполнить операцию.</w:t>
      </w:r>
    </w:p>
    <w:p>
      <w:pPr>
        <w:pStyle w:val="BodyText"/>
      </w:pPr>
      <w:r>
        <w:t xml:space="preserve">Ввод информации с клавиатуры и вывод ее на экран происходит в символьном виде в соответствии с таблицей символов ASCII.</w:t>
      </w:r>
    </w:p>
    <w:p>
      <w:pPr>
        <w:pStyle w:val="BodyText"/>
      </w:pPr>
      <w:r>
        <w:t xml:space="preserve">Согласно стандарту ASCII, каждый символ кодируется одним байтом. Среди инструкций NASM отсутствует инструкция для вывода чисел (не в символьном виде). Поэтому для вывода чисел нужно сначала преобразовать цифры в ASCII-коды и выводить на экран эти коды, а не сами числа.</w:t>
      </w:r>
    </w:p>
    <w:p>
      <w:pPr>
        <w:pStyle w:val="BodyText"/>
      </w:pPr>
      <w:r>
        <w:t xml:space="preserve">Подобная ситуация возникает и при вводе данных с клавиатуры – введенные данные будут представлять символы, что затрудняет арифметические операции с ними. Для решения этой проблемы необходимо преобразовать ASCII символы в числа и наоборот.</w:t>
      </w:r>
    </w:p>
    <w:bookmarkEnd w:id="22"/>
    <w:bookmarkStart w:id="12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Символьные и численные данные в NASM.</w:t>
      </w:r>
    </w:p>
    <w:p>
      <w:pPr>
        <w:pStyle w:val="FirstParagraph"/>
      </w:pPr>
      <w:r>
        <w:t xml:space="preserve">Создаем каталог для программ лабораторной работы №6 (рис. 1).</w:t>
      </w:r>
    </w:p>
    <w:bookmarkStart w:id="26" w:name="fig:001"/>
    <w:p>
      <w:pPr>
        <w:pStyle w:val="CaptionedFigure"/>
      </w:pPr>
      <w:r>
        <w:drawing>
          <wp:inline>
            <wp:extent cx="3733800" cy="86497"/>
            <wp:effectExtent b="0" l="0" r="0" t="0"/>
            <wp:docPr descr="Рис. 1: Создание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</w:t>
      </w:r>
    </w:p>
    <w:bookmarkEnd w:id="26"/>
    <w:p>
      <w:pPr>
        <w:pStyle w:val="BodyText"/>
      </w:pPr>
      <w:r>
        <w:t xml:space="preserve">Переходим в созданный каталог. (рис. 2).</w:t>
      </w:r>
    </w:p>
    <w:bookmarkStart w:id="30" w:name="fig:002"/>
    <w:p>
      <w:pPr>
        <w:pStyle w:val="CaptionedFigure"/>
      </w:pPr>
      <w:r>
        <w:drawing>
          <wp:inline>
            <wp:extent cx="3733800" cy="86497"/>
            <wp:effectExtent b="0" l="0" r="0" t="0"/>
            <wp:docPr descr="Рис. 2: Перемещение в каталог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Перемещение в каталог</w:t>
      </w:r>
    </w:p>
    <w:bookmarkEnd w:id="30"/>
    <w:p>
      <w:pPr>
        <w:pStyle w:val="BodyText"/>
      </w:pPr>
      <w:r>
        <w:t xml:space="preserve">Создаем файл lab6-1.asm. (рис. 3).</w:t>
      </w:r>
    </w:p>
    <w:bookmarkStart w:id="34" w:name="fig:003"/>
    <w:p>
      <w:pPr>
        <w:pStyle w:val="CaptionedFigure"/>
      </w:pPr>
      <w:r>
        <w:drawing>
          <wp:inline>
            <wp:extent cx="3733800" cy="86497"/>
            <wp:effectExtent b="0" l="0" r="0" t="0"/>
            <wp:docPr descr="Рис. 3: Создание файл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файла</w:t>
      </w:r>
    </w:p>
    <w:bookmarkEnd w:id="34"/>
    <w:p>
      <w:pPr>
        <w:pStyle w:val="BodyText"/>
      </w:pPr>
      <w:r>
        <w:t xml:space="preserve">Рассмотрим примеры программ вывода символьных и численных значений. Вводим в файле программу с листинга 6.1 (рис. 4).</w:t>
      </w:r>
    </w:p>
    <w:bookmarkStart w:id="38" w:name="fig:004"/>
    <w:p>
      <w:pPr>
        <w:pStyle w:val="CaptionedFigure"/>
      </w:pPr>
      <w:r>
        <w:drawing>
          <wp:inline>
            <wp:extent cx="3733800" cy="2091635"/>
            <wp:effectExtent b="0" l="0" r="0" t="0"/>
            <wp:docPr descr="Рис. 4: Изменение файл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1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Изменение файла</w:t>
      </w:r>
    </w:p>
    <w:bookmarkEnd w:id="38"/>
    <w:p>
      <w:pPr>
        <w:pStyle w:val="BodyText"/>
      </w:pPr>
      <w:r>
        <w:t xml:space="preserve">Скачиваем и переносим файл in_out.asm в каталог лабораторной работы 6. (рис. 5).</w:t>
      </w:r>
    </w:p>
    <w:bookmarkStart w:id="42" w:name="fig:005"/>
    <w:p>
      <w:pPr>
        <w:pStyle w:val="CaptionedFigure"/>
      </w:pPr>
      <w:r>
        <w:drawing>
          <wp:inline>
            <wp:extent cx="3733800" cy="2091635"/>
            <wp:effectExtent b="0" l="0" r="0" t="0"/>
            <wp:docPr descr="Рис. 5: Перенос файл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1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Перенос файла</w:t>
      </w:r>
    </w:p>
    <w:bookmarkEnd w:id="42"/>
    <w:p>
      <w:pPr>
        <w:pStyle w:val="BodyText"/>
      </w:pPr>
      <w:r>
        <w:t xml:space="preserve">Создаем исполняемый файл и запускаем его. Программа выводи символ j так как программа выводит символ, соответствующий сумме двоичных кодов 6 и 4. (рис. 6).</w:t>
      </w:r>
    </w:p>
    <w:bookmarkStart w:id="46" w:name="fig:006"/>
    <w:p>
      <w:pPr>
        <w:pStyle w:val="CaptionedFigure"/>
      </w:pPr>
      <w:r>
        <w:drawing>
          <wp:inline>
            <wp:extent cx="3733800" cy="286670"/>
            <wp:effectExtent b="0" l="0" r="0" t="0"/>
            <wp:docPr descr="Рис. 6: Создание исполняемого файла и его запуск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исполняемого файла и его запуск</w:t>
      </w:r>
    </w:p>
    <w:bookmarkEnd w:id="46"/>
    <w:p>
      <w:pPr>
        <w:pStyle w:val="BodyText"/>
      </w:pPr>
      <w:r>
        <w:t xml:space="preserve">Изменяем в тексте программы символы</w:t>
      </w:r>
      <w:r>
        <w:t xml:space="preserve"> </w:t>
      </w:r>
      <w:r>
        <w:t xml:space="preserve">‘6’</w:t>
      </w:r>
      <w:r>
        <w:t xml:space="preserve"> </w:t>
      </w:r>
      <w:r>
        <w:t xml:space="preserve">и ’4’ на 6 и 4. (рис. 7).</w:t>
      </w:r>
    </w:p>
    <w:bookmarkStart w:id="50" w:name="fig:007"/>
    <w:p>
      <w:pPr>
        <w:pStyle w:val="CaptionedFigure"/>
      </w:pPr>
      <w:r>
        <w:drawing>
          <wp:inline>
            <wp:extent cx="3733800" cy="2066861"/>
            <wp:effectExtent b="0" l="0" r="0" t="0"/>
            <wp:docPr descr="Рис. 7: Изменение программы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6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Изменение программы</w:t>
      </w:r>
    </w:p>
    <w:bookmarkEnd w:id="50"/>
    <w:p>
      <w:pPr>
        <w:pStyle w:val="BodyText"/>
      </w:pPr>
      <w:r>
        <w:t xml:space="preserve">Создаем исполняемый файл и запускаем его. Теперь вывелся символ с кодом 10. Это символ перевода строки, он не отображается на экране. (рис. 8).</w:t>
      </w:r>
    </w:p>
    <w:bookmarkStart w:id="54" w:name="fig:008"/>
    <w:p>
      <w:pPr>
        <w:pStyle w:val="CaptionedFigure"/>
      </w:pPr>
      <w:r>
        <w:drawing>
          <wp:inline>
            <wp:extent cx="3733800" cy="339758"/>
            <wp:effectExtent b="0" l="0" r="0" t="0"/>
            <wp:docPr descr="Рис. 8: Создание исполняемого файла и его запуск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исполняемого файла и его запуск</w:t>
      </w:r>
    </w:p>
    <w:bookmarkEnd w:id="54"/>
    <w:p>
      <w:pPr>
        <w:pStyle w:val="BodyText"/>
      </w:pPr>
      <w:r>
        <w:t xml:space="preserve">Создаем файл lab6-2.asm. (рис. 9).</w:t>
      </w:r>
    </w:p>
    <w:bookmarkStart w:id="58" w:name="fig:009"/>
    <w:p>
      <w:pPr>
        <w:pStyle w:val="CaptionedFigure"/>
      </w:pPr>
      <w:r>
        <w:drawing>
          <wp:inline>
            <wp:extent cx="3733800" cy="219427"/>
            <wp:effectExtent b="0" l="0" r="0" t="0"/>
            <wp:docPr descr="Рис. 9: Создание файла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файла</w:t>
      </w:r>
    </w:p>
    <w:bookmarkEnd w:id="58"/>
    <w:p>
      <w:pPr>
        <w:pStyle w:val="BodyText"/>
      </w:pPr>
      <w:r>
        <w:t xml:space="preserve">Вводим в файл текст программы из листинга 6.2. (рис. 10).</w:t>
      </w:r>
    </w:p>
    <w:bookmarkStart w:id="62" w:name="fig:010"/>
    <w:p>
      <w:pPr>
        <w:pStyle w:val="CaptionedFigure"/>
      </w:pPr>
      <w:r>
        <w:drawing>
          <wp:inline>
            <wp:extent cx="3733800" cy="2073940"/>
            <wp:effectExtent b="0" l="0" r="0" t="0"/>
            <wp:docPr descr="Рис. 10: Ввод программы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3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Ввод программы</w:t>
      </w:r>
    </w:p>
    <w:bookmarkEnd w:id="62"/>
    <w:p>
      <w:pPr>
        <w:pStyle w:val="BodyText"/>
      </w:pPr>
      <w:r>
        <w:t xml:space="preserve">Создаем исполняемый файл и запускаем его. В результате работы программы мы получим число 106 т.к команда add складывает коды символов, но функция iprintLF позволяет вывести число, а не символ, кодом которого является это число. (рис. 11).</w:t>
      </w:r>
    </w:p>
    <w:bookmarkStart w:id="66" w:name="fig:011"/>
    <w:p>
      <w:pPr>
        <w:pStyle w:val="CaptionedFigure"/>
      </w:pPr>
      <w:r>
        <w:drawing>
          <wp:inline>
            <wp:extent cx="3733800" cy="276053"/>
            <wp:effectExtent b="0" l="0" r="0" t="0"/>
            <wp:docPr descr="Рис. 11: Создание исполняемого файла и его запуск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исполняемого файла и его запуск</w:t>
      </w:r>
    </w:p>
    <w:bookmarkEnd w:id="66"/>
    <w:p>
      <w:pPr>
        <w:pStyle w:val="BodyText"/>
      </w:pPr>
      <w:r>
        <w:t xml:space="preserve">Изменяем в тексте программы символы</w:t>
      </w:r>
      <w:r>
        <w:t xml:space="preserve"> </w:t>
      </w:r>
      <w:r>
        <w:t xml:space="preserve">‘6’</w:t>
      </w:r>
      <w:r>
        <w:t xml:space="preserve"> </w:t>
      </w:r>
      <w:r>
        <w:t xml:space="preserve">и ’4’ на 6 и 4. (рис. 12).</w:t>
      </w:r>
    </w:p>
    <w:bookmarkStart w:id="70" w:name="fig:012"/>
    <w:p>
      <w:pPr>
        <w:pStyle w:val="CaptionedFigure"/>
      </w:pPr>
      <w:r>
        <w:drawing>
          <wp:inline>
            <wp:extent cx="3733800" cy="2055529"/>
            <wp:effectExtent b="0" l="0" r="0" t="0"/>
            <wp:docPr descr="Рис. 12: Изменение программы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5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программы</w:t>
      </w:r>
    </w:p>
    <w:bookmarkEnd w:id="70"/>
    <w:p>
      <w:pPr>
        <w:pStyle w:val="BodyText"/>
      </w:pPr>
      <w:r>
        <w:t xml:space="preserve">Создаем исполняемый файл и запускаем его. Теперь программа складывает не коды, а сами числа, поэтому результатом является число 10. (рис. 13).</w:t>
      </w:r>
    </w:p>
    <w:bookmarkStart w:id="74" w:name="fig:013"/>
    <w:p>
      <w:pPr>
        <w:pStyle w:val="CaptionedFigure"/>
      </w:pPr>
      <w:r>
        <w:drawing>
          <wp:inline>
            <wp:extent cx="3733800" cy="278536"/>
            <wp:effectExtent b="0" l="0" r="0" t="0"/>
            <wp:docPr descr="Рис. 13: Создание исполняемого файла и его запуск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исполняемого файла и его запуск</w:t>
      </w:r>
    </w:p>
    <w:bookmarkEnd w:id="74"/>
    <w:p>
      <w:pPr>
        <w:pStyle w:val="BodyText"/>
      </w:pPr>
      <w:r>
        <w:t xml:space="preserve">Заменяем в тексте программы функцию iprintLF на iprint. (рис. 14).</w:t>
      </w:r>
    </w:p>
    <w:bookmarkStart w:id="78" w:name="fig:014"/>
    <w:p>
      <w:pPr>
        <w:pStyle w:val="CaptionedFigure"/>
      </w:pPr>
      <w:r>
        <w:drawing>
          <wp:inline>
            <wp:extent cx="3733800" cy="2059054"/>
            <wp:effectExtent b="0" l="0" r="0" t="0"/>
            <wp:docPr descr="Рис. 14: Изменение программы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9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Изменение программы</w:t>
      </w:r>
    </w:p>
    <w:bookmarkEnd w:id="78"/>
    <w:p>
      <w:pPr>
        <w:pStyle w:val="BodyText"/>
      </w:pPr>
      <w:r>
        <w:t xml:space="preserve">Создаем исполняемый файл и запускаем его. Вывод не изменился, но символ переноса строки не отображается. (рис. 15).</w:t>
      </w:r>
    </w:p>
    <w:bookmarkStart w:id="82" w:name="fig:015"/>
    <w:p>
      <w:pPr>
        <w:pStyle w:val="CaptionedFigure"/>
      </w:pPr>
      <w:r>
        <w:drawing>
          <wp:inline>
            <wp:extent cx="3733800" cy="306742"/>
            <wp:effectExtent b="0" l="0" r="0" t="0"/>
            <wp:docPr descr="Рис. 15: Создание исполняемого файла и его запуск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исполняемого файла и его запуск</w:t>
      </w:r>
    </w:p>
    <w:bookmarkEnd w:id="82"/>
    <w:p>
      <w:pPr>
        <w:pStyle w:val="Compact"/>
        <w:numPr>
          <w:ilvl w:val="0"/>
          <w:numId w:val="1003"/>
        </w:numPr>
      </w:pPr>
      <w:r>
        <w:t xml:space="preserve">Выполнение арифметических операций в NASM.</w:t>
      </w:r>
    </w:p>
    <w:p>
      <w:pPr>
        <w:pStyle w:val="FirstParagraph"/>
      </w:pPr>
      <w:r>
        <w:t xml:space="preserve">Создаем файл lab6-3.asm. (рис. 16).</w:t>
      </w:r>
    </w:p>
    <w:bookmarkStart w:id="86" w:name="fig:016"/>
    <w:p>
      <w:pPr>
        <w:pStyle w:val="CaptionedFigure"/>
      </w:pPr>
      <w:r>
        <w:drawing>
          <wp:inline>
            <wp:extent cx="3733800" cy="306742"/>
            <wp:effectExtent b="0" l="0" r="0" t="0"/>
            <wp:docPr descr="Рис. 16: Создание файла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файла</w:t>
      </w:r>
    </w:p>
    <w:bookmarkEnd w:id="86"/>
    <w:p>
      <w:pPr>
        <w:pStyle w:val="BodyText"/>
      </w:pPr>
      <w:r>
        <w:t xml:space="preserve">Вводим в созданный файл текст программы из листинга 6.3. (рис. 17).</w:t>
      </w:r>
    </w:p>
    <w:bookmarkStart w:id="90" w:name="fig:017"/>
    <w:p>
      <w:pPr>
        <w:pStyle w:val="CaptionedFigure"/>
      </w:pPr>
      <w:r>
        <w:drawing>
          <wp:inline>
            <wp:extent cx="3733800" cy="2059054"/>
            <wp:effectExtent b="0" l="0" r="0" t="0"/>
            <wp:docPr descr="Рис. 17: Ввод программы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9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Ввод программы</w:t>
      </w:r>
    </w:p>
    <w:bookmarkEnd w:id="90"/>
    <w:p>
      <w:pPr>
        <w:pStyle w:val="BodyText"/>
      </w:pPr>
      <w:r>
        <w:t xml:space="preserve">Создаем исполняемый файл и запускаем его. (рис. 18).</w:t>
      </w:r>
    </w:p>
    <w:bookmarkStart w:id="94" w:name="fig:018"/>
    <w:p>
      <w:pPr>
        <w:pStyle w:val="CaptionedFigure"/>
      </w:pPr>
      <w:r>
        <w:drawing>
          <wp:inline>
            <wp:extent cx="3733800" cy="352577"/>
            <wp:effectExtent b="0" l="0" r="0" t="0"/>
            <wp:docPr descr="Рис. 18: Создание исполняемого файла и его запуск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Создание исполняемого файла и его запуск</w:t>
      </w:r>
    </w:p>
    <w:bookmarkEnd w:id="94"/>
    <w:p>
      <w:pPr>
        <w:pStyle w:val="BodyText"/>
      </w:pPr>
      <w:r>
        <w:t xml:space="preserve">Изменяем текст программы для вычисления выражения. (рис. 19).</w:t>
      </w:r>
    </w:p>
    <w:bookmarkStart w:id="98" w:name="fig:019"/>
    <w:p>
      <w:pPr>
        <w:pStyle w:val="CaptionedFigure"/>
      </w:pPr>
      <w:r>
        <w:drawing>
          <wp:inline>
            <wp:extent cx="3733800" cy="2052003"/>
            <wp:effectExtent b="0" l="0" r="0" t="0"/>
            <wp:docPr descr="Рис. 19: Изменение программы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2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Изменение программы</w:t>
      </w:r>
    </w:p>
    <w:bookmarkEnd w:id="98"/>
    <w:p>
      <w:pPr>
        <w:pStyle w:val="BodyText"/>
      </w:pPr>
      <w:r>
        <w:t xml:space="preserve">Создаем исполняемый файл и проверяем его работу. (рис. 20).</w:t>
      </w:r>
    </w:p>
    <w:bookmarkStart w:id="102" w:name="fig:020"/>
    <w:p>
      <w:pPr>
        <w:pStyle w:val="CaptionedFigure"/>
      </w:pPr>
      <w:r>
        <w:drawing>
          <wp:inline>
            <wp:extent cx="3733800" cy="356103"/>
            <wp:effectExtent b="0" l="0" r="0" t="0"/>
            <wp:docPr descr="Рис. 20: Создание исполняемого файла и его запуск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исполняемого файла и его запуск</w:t>
      </w:r>
    </w:p>
    <w:bookmarkEnd w:id="102"/>
    <w:p>
      <w:pPr>
        <w:pStyle w:val="BodyText"/>
      </w:pPr>
      <w:r>
        <w:t xml:space="preserve">Создаем файл variant.asm с помощью touch. (рис. 21).</w:t>
      </w:r>
    </w:p>
    <w:bookmarkStart w:id="106" w:name="fig:021"/>
    <w:p>
      <w:pPr>
        <w:pStyle w:val="CaptionedFigure"/>
      </w:pPr>
      <w:r>
        <w:drawing>
          <wp:inline>
            <wp:extent cx="3733800" cy="299691"/>
            <wp:effectExtent b="0" l="0" r="0" t="0"/>
            <wp:docPr descr="Рис. 21: Создание файла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файла</w:t>
      </w:r>
    </w:p>
    <w:bookmarkEnd w:id="106"/>
    <w:p>
      <w:pPr>
        <w:pStyle w:val="BodyText"/>
      </w:pPr>
      <w:r>
        <w:t xml:space="preserve">Вводим в файл текст программы из листинга 6.4. (рис. 22).</w:t>
      </w:r>
    </w:p>
    <w:bookmarkStart w:id="110" w:name="fig:022"/>
    <w:p>
      <w:pPr>
        <w:pStyle w:val="CaptionedFigure"/>
      </w:pPr>
      <w:r>
        <w:drawing>
          <wp:inline>
            <wp:extent cx="3733800" cy="2052003"/>
            <wp:effectExtent b="0" l="0" r="0" t="0"/>
            <wp:docPr descr="Рис. 22: Ввод программы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2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Ввод программы</w:t>
      </w:r>
    </w:p>
    <w:bookmarkEnd w:id="110"/>
    <w:p>
      <w:pPr>
        <w:pStyle w:val="BodyText"/>
      </w:pPr>
      <w:r>
        <w:t xml:space="preserve">Создаем и запускаем исполняемый файл. Вводим номер своего студенческого билета проверяем выведенный ответ аналитически. (рис. 23).</w:t>
      </w:r>
    </w:p>
    <w:bookmarkStart w:id="114" w:name="fig:023"/>
    <w:p>
      <w:pPr>
        <w:pStyle w:val="CaptionedFigure"/>
      </w:pPr>
      <w:r>
        <w:drawing>
          <wp:inline>
            <wp:extent cx="3733800" cy="416041"/>
            <wp:effectExtent b="0" l="0" r="0" t="0"/>
            <wp:docPr descr="Рис. 23: Создание исполняемого файла и его запуск" title="" id="112" name="Picture"/>
            <a:graphic>
              <a:graphicData uri="http://schemas.openxmlformats.org/drawingml/2006/picture">
                <pic:pic>
                  <pic:nvPicPr>
                    <pic:cNvPr descr="image/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6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Создание исполняемого файла и его запуск</w:t>
      </w:r>
    </w:p>
    <w:bookmarkEnd w:id="114"/>
    <w:p>
      <w:pPr>
        <w:pStyle w:val="BodyText"/>
      </w:pPr>
      <w:r>
        <w:t xml:space="preserve">Ответы на вопросы:</w:t>
      </w:r>
    </w:p>
    <w:p>
      <w:pPr>
        <w:pStyle w:val="Compact"/>
        <w:numPr>
          <w:ilvl w:val="0"/>
          <w:numId w:val="1004"/>
        </w:numPr>
      </w:pPr>
      <w:r>
        <w:t xml:space="preserve">За вывод сообщения «Ваш вариант» отвечает данная строка:</w:t>
      </w:r>
    </w:p>
    <w:p>
      <w:pPr>
        <w:pStyle w:val="SourceCode"/>
      </w:pPr>
      <w:r>
        <w:rPr>
          <w:rStyle w:val="VerbatimChar"/>
        </w:rPr>
        <w:t xml:space="preserve">mov eax,rem</w:t>
      </w:r>
      <w:r>
        <w:br/>
      </w:r>
      <w:r>
        <w:rPr>
          <w:rStyle w:val="VerbatimChar"/>
        </w:rPr>
        <w:t xml:space="preserve">call sprint </w:t>
      </w:r>
    </w:p>
    <w:p>
      <w:pPr>
        <w:numPr>
          <w:ilvl w:val="0"/>
          <w:numId w:val="1005"/>
        </w:numPr>
      </w:pPr>
      <w:r>
        <w:t xml:space="preserve">Инструкция mov ecx,x используется, чтобы положить адрес вводимой строки x в регистр ecx mov edx,80 – запись регистр edx длины вводимой строки call spread – вызов подпрограммы из внешнего файла, обеспечивающей ввод сообщения с клавиатуры.</w:t>
      </w:r>
    </w:p>
    <w:p>
      <w:pPr>
        <w:numPr>
          <w:ilvl w:val="0"/>
          <w:numId w:val="1005"/>
        </w:numPr>
      </w:pPr>
      <w:r>
        <w:t xml:space="preserve">Call atoi используется для вызова подпрограммы из внешнего файла, которая преобразует asci-код символа в целое число и записывает результат в регистр eax.</w:t>
      </w:r>
    </w:p>
    <w:p>
      <w:pPr>
        <w:numPr>
          <w:ilvl w:val="0"/>
          <w:numId w:val="1005"/>
        </w:numPr>
      </w:pPr>
      <w:r>
        <w:t xml:space="preserve">За вычисление варианта отвечают данные строки:</w:t>
      </w:r>
    </w:p>
    <w:p>
      <w:pPr>
        <w:pStyle w:val="SourceCode"/>
      </w:pPr>
      <w:r>
        <w:rPr>
          <w:rStyle w:val="VerbatimChar"/>
        </w:rPr>
        <w:t xml:space="preserve">xor edx,edx</w:t>
      </w:r>
      <w:r>
        <w:br/>
      </w:r>
      <w:r>
        <w:rPr>
          <w:rStyle w:val="VerbatimChar"/>
        </w:rPr>
        <w:t xml:space="preserve">mov ebx,20</w:t>
      </w:r>
      <w:r>
        <w:br/>
      </w:r>
      <w:r>
        <w:rPr>
          <w:rStyle w:val="VerbatimChar"/>
        </w:rPr>
        <w:t xml:space="preserve">div ebx</w:t>
      </w:r>
      <w:r>
        <w:br/>
      </w:r>
      <w:r>
        <w:rPr>
          <w:rStyle w:val="VerbatimChar"/>
        </w:rPr>
        <w:t xml:space="preserve">inc edx</w:t>
      </w:r>
    </w:p>
    <w:p>
      <w:pPr>
        <w:numPr>
          <w:ilvl w:val="0"/>
          <w:numId w:val="1006"/>
        </w:numPr>
      </w:pPr>
      <w:r>
        <w:t xml:space="preserve">При выполнении инструкции div ebx остаток от деления записывается в регистр edx.</w:t>
      </w:r>
    </w:p>
    <w:p>
      <w:pPr>
        <w:numPr>
          <w:ilvl w:val="0"/>
          <w:numId w:val="1006"/>
        </w:numPr>
      </w:pPr>
      <w:r>
        <w:t xml:space="preserve">Инструкция inc edx увеличивает значение регистра edx на 1.</w:t>
      </w:r>
    </w:p>
    <w:p>
      <w:pPr>
        <w:numPr>
          <w:ilvl w:val="0"/>
          <w:numId w:val="1006"/>
        </w:numPr>
      </w:pPr>
      <w:r>
        <w:t xml:space="preserve">За вывод результата на экран отвечают данные строки:</w:t>
      </w:r>
    </w:p>
    <w:p>
      <w:pPr>
        <w:pStyle w:val="SourceCode"/>
      </w:pPr>
      <w:r>
        <w:rPr>
          <w:rStyle w:val="VerbatimChar"/>
        </w:rPr>
        <w:t xml:space="preserve">mov eax,edx</w:t>
      </w:r>
      <w:r>
        <w:br/>
      </w:r>
      <w:r>
        <w:rPr>
          <w:rStyle w:val="VerbatimChar"/>
        </w:rPr>
        <w:t xml:space="preserve">call iprintLF</w:t>
      </w:r>
    </w:p>
    <w:p>
      <w:pPr>
        <w:pStyle w:val="Compact"/>
        <w:numPr>
          <w:ilvl w:val="0"/>
          <w:numId w:val="1007"/>
        </w:numPr>
      </w:pPr>
      <w:r>
        <w:t xml:space="preserve">Выполнение самостоятельной работы.</w:t>
      </w:r>
    </w:p>
    <w:p>
      <w:pPr>
        <w:pStyle w:val="FirstParagraph"/>
      </w:pPr>
      <w:r>
        <w:t xml:space="preserve">Создаем файл lab6-4 с помощью touch. (рис. 24).</w:t>
      </w:r>
    </w:p>
    <w:bookmarkStart w:id="118" w:name="fig:024"/>
    <w:p>
      <w:pPr>
        <w:pStyle w:val="CaptionedFigure"/>
      </w:pPr>
      <w:r>
        <w:drawing>
          <wp:inline>
            <wp:extent cx="3733800" cy="278536"/>
            <wp:effectExtent b="0" l="0" r="0" t="0"/>
            <wp:docPr descr="Рис. 24: Создание файла" title="" id="116" name="Picture"/>
            <a:graphic>
              <a:graphicData uri="http://schemas.openxmlformats.org/drawingml/2006/picture">
                <pic:pic>
                  <pic:nvPicPr>
                    <pic:cNvPr descr="image/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Создание файла</w:t>
      </w:r>
    </w:p>
    <w:bookmarkEnd w:id="118"/>
    <w:p>
      <w:pPr>
        <w:pStyle w:val="BodyText"/>
      </w:pPr>
      <w:r>
        <w:t xml:space="preserve">Вводим в файл текст программы для вычисления выражения под номером 18. (рис. 25).</w:t>
      </w:r>
    </w:p>
    <w:bookmarkStart w:id="122" w:name="fig:025"/>
    <w:p>
      <w:pPr>
        <w:pStyle w:val="CaptionedFigure"/>
      </w:pPr>
      <w:r>
        <w:drawing>
          <wp:inline>
            <wp:extent cx="3733800" cy="2065657"/>
            <wp:effectExtent b="0" l="0" r="0" t="0"/>
            <wp:docPr descr="Рис. 25: Ввод программы" title="" id="120" name="Picture"/>
            <a:graphic>
              <a:graphicData uri="http://schemas.openxmlformats.org/drawingml/2006/picture">
                <pic:pic>
                  <pic:nvPicPr>
                    <pic:cNvPr descr="image/2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5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Ввод программы</w:t>
      </w:r>
    </w:p>
    <w:bookmarkEnd w:id="122"/>
    <w:p>
      <w:pPr>
        <w:pStyle w:val="BodyText"/>
      </w:pPr>
      <w:r>
        <w:t xml:space="preserve">Создаем и запускаем файл. Проверяем оба значения. (рис. 26).</w:t>
      </w:r>
    </w:p>
    <w:bookmarkStart w:id="126" w:name="fig:026"/>
    <w:p>
      <w:pPr>
        <w:pStyle w:val="CaptionedFigure"/>
      </w:pPr>
      <w:r>
        <w:drawing>
          <wp:inline>
            <wp:extent cx="3733800" cy="496893"/>
            <wp:effectExtent b="0" l="0" r="0" t="0"/>
            <wp:docPr descr="Рис. 26: Создание исполняемого файла и его запуск" title="" id="124" name="Picture"/>
            <a:graphic>
              <a:graphicData uri="http://schemas.openxmlformats.org/drawingml/2006/picture">
                <pic:pic>
                  <pic:nvPicPr>
                    <pic:cNvPr descr="image/26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6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Создание исполняемого файла и его запуск</w:t>
      </w:r>
    </w:p>
    <w:bookmarkEnd w:id="126"/>
    <w:bookmarkEnd w:id="127"/>
    <w:bookmarkStart w:id="12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С помощью данной лабораторной работы мы освоили арифметические инструкции языка ассемблера NASM.</w:t>
      </w:r>
    </w:p>
    <w:bookmarkEnd w:id="1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6</dc:title>
  <dc:creator>Кижваткина Анна Юрьевна</dc:creator>
  <dc:language>ru-RU</dc:language>
  <cp:keywords/>
  <dcterms:created xsi:type="dcterms:W3CDTF">2024-11-14T13:08:09Z</dcterms:created>
  <dcterms:modified xsi:type="dcterms:W3CDTF">2024-11-14T13:08:09Z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