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Кижваткина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VirtualBox. Создаем виртуальную машину с операционной системой Linux Fedora. (рис. 1)</w:t>
      </w:r>
    </w:p>
    <w:p>
      <w:pPr>
        <w:pStyle w:val="CaptionedFigure"/>
      </w:pPr>
      <w:r>
        <w:drawing>
          <wp:inline>
            <wp:extent cx="3733800" cy="2568018"/>
            <wp:effectExtent b="0" l="0" r="0" t="0"/>
            <wp:docPr descr="Создан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</w:t>
      </w:r>
    </w:p>
    <w:p>
      <w:pPr>
        <w:pStyle w:val="BodyText"/>
      </w:pPr>
      <w:r>
        <w:t xml:space="preserve">Заходим в ОС под заданной при установке учетной записью. Нажимаем комбинацию Win+Enter для запуска терминала. (рис. 2)</w:t>
      </w:r>
    </w:p>
    <w:p>
      <w:pPr>
        <w:pStyle w:val="CaptionedFigure"/>
      </w:pPr>
      <w:r>
        <w:drawing>
          <wp:inline>
            <wp:extent cx="3733800" cy="2767471"/>
            <wp:effectExtent b="0" l="0" r="0" t="0"/>
            <wp:docPr descr="Запуск термина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терминала</w:t>
      </w:r>
    </w:p>
    <w:p>
      <w:pPr>
        <w:pStyle w:val="BodyText"/>
      </w:pPr>
      <w:r>
        <w:t xml:space="preserve">Переключаемся на роль супер-пользователя. (рис. 3)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еключение на роль супер-пользовател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Переключение на роль супер-пользователя</w:t>
      </w:r>
    </w:p>
    <w:p>
      <w:pPr>
        <w:pStyle w:val="BodyText"/>
      </w:pPr>
      <w:r>
        <w:t xml:space="preserve">Устанавливаем средства разработки. (рис. 4)</w:t>
      </w:r>
    </w:p>
    <w:p>
      <w:pPr>
        <w:pStyle w:val="CaptionedFigure"/>
      </w:pPr>
      <w:r>
        <w:drawing>
          <wp:inline>
            <wp:extent cx="3166711" cy="558265"/>
            <wp:effectExtent b="0" l="0" r="0" t="0"/>
            <wp:docPr descr="Установка средств разработк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средств разработки</w:t>
      </w:r>
    </w:p>
    <w:p>
      <w:pPr>
        <w:pStyle w:val="BodyText"/>
      </w:pPr>
      <w:r>
        <w:t xml:space="preserve">Обновляем все пакеты. (рис. 5)</w:t>
      </w:r>
    </w:p>
    <w:p>
      <w:pPr>
        <w:pStyle w:val="CaptionedFigure"/>
      </w:pPr>
      <w:r>
        <w:drawing>
          <wp:inline>
            <wp:extent cx="2213810" cy="298383"/>
            <wp:effectExtent b="0" l="0" r="0" t="0"/>
            <wp:docPr descr="Обновление всех пакето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0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всех пакетов</w:t>
      </w:r>
    </w:p>
    <w:p>
      <w:pPr>
        <w:pStyle w:val="BodyText"/>
      </w:pPr>
      <w:r>
        <w:t xml:space="preserve">Скачиваем программы для удобства работы в консоли. (рис. 6 рис. 7)</w:t>
      </w:r>
    </w:p>
    <w:p>
      <w:pPr>
        <w:pStyle w:val="CaptionedFigure"/>
      </w:pPr>
      <w:r>
        <w:drawing>
          <wp:inline>
            <wp:extent cx="2714324" cy="221381"/>
            <wp:effectExtent b="0" l="0" r="0" t="0"/>
            <wp:docPr descr="Установка программ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программ</w:t>
      </w:r>
    </w:p>
    <w:p>
      <w:pPr>
        <w:pStyle w:val="CaptionedFigure"/>
      </w:pPr>
      <w:r>
        <w:drawing>
          <wp:inline>
            <wp:extent cx="2425566" cy="308008"/>
            <wp:effectExtent b="0" l="0" r="0" t="0"/>
            <wp:docPr descr="Установка программ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66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программ</w:t>
      </w:r>
    </w:p>
    <w:p>
      <w:pPr>
        <w:pStyle w:val="BodyText"/>
      </w:pPr>
      <w:r>
        <w:t xml:space="preserve">При необходимости можно использовать автоматическое обновление. Устанавливаем программное обеспечение. (рис. 8)</w:t>
      </w:r>
    </w:p>
    <w:p>
      <w:pPr>
        <w:pStyle w:val="CaptionedFigure"/>
      </w:pPr>
      <w:r>
        <w:drawing>
          <wp:inline>
            <wp:extent cx="2983831" cy="346509"/>
            <wp:effectExtent b="0" l="0" r="0" t="0"/>
            <wp:docPr descr="Установка ПО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ПО</w:t>
      </w:r>
    </w:p>
    <w:p>
      <w:pPr>
        <w:pStyle w:val="BodyText"/>
      </w:pPr>
      <w:r>
        <w:t xml:space="preserve">Запускаем таймер. (рис. 9)</w:t>
      </w:r>
    </w:p>
    <w:p>
      <w:pPr>
        <w:pStyle w:val="CaptionedFigure"/>
      </w:pPr>
      <w:r>
        <w:drawing>
          <wp:inline>
            <wp:extent cx="2983831" cy="125128"/>
            <wp:effectExtent b="0" l="0" r="0" t="0"/>
            <wp:docPr descr="Таймер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12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Таймер</w:t>
      </w:r>
    </w:p>
    <w:p>
      <w:pPr>
        <w:pStyle w:val="BodyText"/>
      </w:pPr>
      <w:r>
        <w:t xml:space="preserve">Так как в данном курсе мы не будем работать с системой безопасности SELinux отключаем её. Для этого в файле /etc/selinux/config заменим значение SELINUX=enforcing на SELINUX=permissive. После этого перезапускаем виртуальную машину. (рис. 10)</w:t>
      </w:r>
    </w:p>
    <w:p>
      <w:pPr>
        <w:pStyle w:val="CaptionedFigure"/>
      </w:pPr>
      <w:r>
        <w:drawing>
          <wp:inline>
            <wp:extent cx="3733800" cy="2024142"/>
            <wp:effectExtent b="0" l="0" r="0" t="0"/>
            <wp:docPr descr="Отключение SELinux и перезапуск виртуальный машины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Отключение SELinux и перезапуск виртуальный машины</w:t>
      </w:r>
    </w:p>
    <w:p>
      <w:pPr>
        <w:pStyle w:val="BodyText"/>
      </w:pPr>
      <w:r>
        <w:t xml:space="preserve">Запускаем терминальный мультиплексор tmux. (рис. 11)</w:t>
      </w:r>
    </w:p>
    <w:p>
      <w:pPr>
        <w:pStyle w:val="CaptionedFigure"/>
      </w:pPr>
      <w:r>
        <w:drawing>
          <wp:inline>
            <wp:extent cx="1809549" cy="115503"/>
            <wp:effectExtent b="0" l="0" r="0" t="0"/>
            <wp:docPr descr="Терминальный мультиплексор tmux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11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Терминальный мультиплексор tmux</w:t>
      </w:r>
    </w:p>
    <w:p>
      <w:pPr>
        <w:pStyle w:val="BodyText"/>
      </w:pPr>
      <w:r>
        <w:t xml:space="preserve">Создаем конфигурационный файл ~/.config/sway/config.d/95-system-keyboard-config.conf. (рис. 12)</w:t>
      </w:r>
    </w:p>
    <w:p>
      <w:pPr>
        <w:pStyle w:val="CaptionedFigure"/>
      </w:pPr>
      <w:r>
        <w:drawing>
          <wp:inline>
            <wp:extent cx="3733800" cy="249559"/>
            <wp:effectExtent b="0" l="0" r="0" t="0"/>
            <wp:docPr descr="Создание файл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p>
      <w:pPr>
        <w:pStyle w:val="BodyText"/>
      </w:pPr>
      <w:r>
        <w:t xml:space="preserve">Редактируем созданный файл. (рис. 13)</w:t>
      </w:r>
    </w:p>
    <w:p>
      <w:pPr>
        <w:pStyle w:val="CaptionedFigure"/>
      </w:pPr>
      <w:r>
        <w:drawing>
          <wp:inline>
            <wp:extent cx="3733800" cy="2274862"/>
            <wp:effectExtent b="0" l="0" r="0" t="0"/>
            <wp:docPr descr="Редакт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Переключаемся на роль супер-пользователя. (рис. 14)</w:t>
      </w:r>
    </w:p>
    <w:p>
      <w:pPr>
        <w:pStyle w:val="CaptionedFigure"/>
      </w:pPr>
      <w:r>
        <w:drawing>
          <wp:inline>
            <wp:extent cx="1905802" cy="115503"/>
            <wp:effectExtent b="0" l="0" r="0" t="0"/>
            <wp:docPr descr="Переключение на роль супер-пользователя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02" cy="11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Переключение на роль супер-пользователя</w:t>
      </w:r>
    </w:p>
    <w:p>
      <w:pPr>
        <w:pStyle w:val="BodyText"/>
      </w:pPr>
      <w:r>
        <w:t xml:space="preserve">Отредактируем конфигурационный файл /etc/X11/xorg.conf.d/00-keyboard.conf с помощью файлого менеджера mc и его втроенного редактора. (рис. 15)</w:t>
      </w:r>
    </w:p>
    <w:p>
      <w:pPr>
        <w:pStyle w:val="CaptionedFigure"/>
      </w:pPr>
      <w:r>
        <w:drawing>
          <wp:inline>
            <wp:extent cx="3733800" cy="2578780"/>
            <wp:effectExtent b="0" l="0" r="0" t="0"/>
            <wp:docPr descr="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p>
      <w:pPr>
        <w:pStyle w:val="BodyText"/>
      </w:pPr>
      <w:r>
        <w:t xml:space="preserve">Перезапускаем виртуальную машину. (рис. 16)</w:t>
      </w:r>
    </w:p>
    <w:p>
      <w:pPr>
        <w:pStyle w:val="CaptionedFigure"/>
      </w:pPr>
      <w:r>
        <w:drawing>
          <wp:inline>
            <wp:extent cx="3301465" cy="596766"/>
            <wp:effectExtent b="0" l="0" r="0" t="0"/>
            <wp:docPr descr="Перезапуск виртуальной машины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Перезапуск виртуальной машины</w:t>
      </w:r>
    </w:p>
    <w:p>
      <w:pPr>
        <w:pStyle w:val="BodyText"/>
      </w:pPr>
      <w:r>
        <w:t xml:space="preserve">Запускаем терминальный мультиплексор tmux. (рис. 17)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ерминальный мультиплексор tmux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Терминальный мультиплексор tmux</w:t>
      </w:r>
    </w:p>
    <w:p>
      <w:pPr>
        <w:pStyle w:val="BodyText"/>
      </w:pPr>
      <w:r>
        <w:t xml:space="preserve">Переключаемся на роль супер-пользователя. (рис. 18)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еключение на роль супер-пользователя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Переключение на роль супер-пользователя</w:t>
      </w:r>
    </w:p>
    <w:p>
      <w:pPr>
        <w:pStyle w:val="BodyText"/>
      </w:pPr>
      <w:r>
        <w:t xml:space="preserve">Создаем пользователя. (рис. 19)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оздание пользователя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пользователя</w:t>
      </w:r>
    </w:p>
    <w:p>
      <w:pPr>
        <w:pStyle w:val="BodyText"/>
      </w:pPr>
      <w:r>
        <w:t xml:space="preserve">Задаем пароль для пользователя. (рис. 20)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оздание пароля для пользователя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пароля для пользователя</w:t>
      </w:r>
    </w:p>
    <w:p>
      <w:pPr>
        <w:pStyle w:val="BodyText"/>
      </w:pPr>
      <w:r>
        <w:t xml:space="preserve">Установите имя хоста. Проверяем выполнение команды. (рис. 21)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Установка хоста. Проверка.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Установка хоста. Проверка.</w:t>
      </w:r>
    </w:p>
    <w:p>
      <w:pPr>
        <w:pStyle w:val="BodyText"/>
      </w:pPr>
      <w:r>
        <w:t xml:space="preserve">Устанавливаем pandoc с помощью менеджера пакетов. (рис. 22)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Установка pandoc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pandoc</w:t>
      </w:r>
    </w:p>
    <w:p>
      <w:pPr>
        <w:pStyle w:val="BodyText"/>
      </w:pPr>
      <w:r>
        <w:t xml:space="preserve">Приступаем к установке pandoc-crossref. Скачиваем нужную нам версию с сайта https://github.com/lierdakil/pandoc-crossref. (рис. 23)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Установка pandoc-crossref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Установка pandoc-crossref</w:t>
      </w:r>
    </w:p>
    <w:p>
      <w:pPr>
        <w:pStyle w:val="BodyText"/>
      </w:pPr>
      <w:r>
        <w:t xml:space="preserve">Распаковываем архив и переносим файлы в каталог /usr/local/bin. (рис. 24 рис. 25)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аспаковка архива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Распаковка архива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енос файлов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Перенос файлов</w:t>
      </w:r>
    </w:p>
    <w:p>
      <w:pPr>
        <w:pStyle w:val="BodyText"/>
      </w:pPr>
      <w:r>
        <w:t xml:space="preserve">Устанавливаем дистрибутив TeXlive. (рис. 26)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Установка TeXlive" title="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Установка TeXlive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научилась делать настройку минимально необходимых для дальнейшей работы сервисов.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2</dc:title>
  <dc:creator>Кижваткина Анна Юрьевна</dc:creator>
  <dc:language>ru-RU</dc:language>
  <cp:keywords/>
  <dcterms:created xsi:type="dcterms:W3CDTF">2025-03-08T15:45:57Z</dcterms:created>
  <dcterms:modified xsi:type="dcterms:W3CDTF">2025-03-08T15:45:57Z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