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AegisNet:</w:t>
      </w:r>
      <w:r>
        <w:t xml:space="preserve"> </w:t>
      </w:r>
      <w:r>
        <w:t xml:space="preserve">A</w:t>
      </w:r>
      <w:r>
        <w:t xml:space="preserve"> </w:t>
      </w:r>
      <w:r>
        <w:t xml:space="preserve">Self-Explaining</w:t>
      </w:r>
      <w:r>
        <w:t xml:space="preserve"> </w:t>
      </w:r>
      <w:r>
        <w:t xml:space="preserve">Edge-AI</w:t>
      </w:r>
      <w:r>
        <w:t xml:space="preserve"> </w:t>
      </w:r>
      <w:r>
        <w:t xml:space="preserve">Neural</w:t>
      </w:r>
      <w:r>
        <w:t xml:space="preserve"> </w:t>
      </w:r>
      <w:r>
        <w:t xml:space="preserve">Network</w:t>
      </w:r>
      <w:r>
        <w:t xml:space="preserve"> </w:t>
      </w:r>
      <w:r>
        <w:t xml:space="preserve">for</w:t>
      </w:r>
      <w:r>
        <w:t xml:space="preserve"> </w:t>
      </w:r>
      <w:r>
        <w:t xml:space="preserve">Cyber-Threat</w:t>
      </w:r>
      <w:r>
        <w:t xml:space="preserve"> </w:t>
      </w:r>
      <w:r>
        <w:t xml:space="preserve">and</w:t>
      </w:r>
      <w:r>
        <w:t xml:space="preserve"> </w:t>
      </w:r>
      <w:r>
        <w:t xml:space="preserve">Server-Anomaly</w:t>
      </w:r>
      <w:r>
        <w:t xml:space="preserve"> </w:t>
      </w:r>
      <w:r>
        <w:t xml:space="preserve">Detection</w:t>
      </w:r>
    </w:p>
    <w:p>
      <w:pPr>
        <w:pStyle w:val="Author"/>
      </w:pPr>
      <w:r>
        <w:t xml:space="preserve">Rushi, Analyst</w:t>
      </w:r>
    </w:p>
    <w:p>
      <w:pPr>
        <w:pStyle w:val="Date"/>
      </w:pPr>
      <w:r>
        <w:t xml:space="preserve">October 2026</w:t>
      </w:r>
    </w:p>
    <w:bookmarkStart w:id="20" w:name="abstract"/>
    <w:p>
      <w:pPr>
        <w:pStyle w:val="Heading1"/>
      </w:pPr>
      <w:r>
        <w:t xml:space="preserve">1. Abstract</w:t>
      </w:r>
    </w:p>
    <w:p>
      <w:pPr>
        <w:pStyle w:val="FirstParagraph"/>
      </w:pPr>
      <w:r>
        <w:t xml:space="preserve">AegisNet is a small neural-network system (3,867 parameters, 34 KB) written from scratch in NumPy. It watches 13 server metrics every minute, detects both known and never-seen cyber-attacks, explains which metrics caused each alert, and passes a safe action plan to a human-supervised</w:t>
      </w:r>
      <w:r>
        <w:t xml:space="preserve"> </w:t>
      </w:r>
      <w:r>
        <w:t xml:space="preserve">“</w:t>
      </w:r>
      <w:r>
        <w:t xml:space="preserve">Guardian</w:t>
      </w:r>
      <w:r>
        <w:t xml:space="preserve">”</w:t>
      </w:r>
      <w:r>
        <w:t xml:space="preserve"> </w:t>
      </w:r>
      <w:r>
        <w:t xml:space="preserve">agent. It combines an autoencoder (trained on normal behaviour only) with a classifier (trained on labelled attacks) into a</w:t>
      </w:r>
      <w:r>
        <w:t xml:space="preserve"> </w:t>
      </w:r>
      <w:r>
        <w:t xml:space="preserve">“</w:t>
      </w:r>
      <w:r>
        <w:t xml:space="preserve">Dual-Brain</w:t>
      </w:r>
      <w:r>
        <w:t xml:space="preserve">”</w:t>
      </w:r>
      <w:r>
        <w:t xml:space="preserve"> </w:t>
      </w:r>
      <w:r>
        <w:t xml:space="preserve">detector. On 10 unseen days of simulated telemetry it detected 37 of 37 attack episodes, with 98.5% attack-minute recall, a 0.98% false-alarm rate and a fused ROC-AUC of 0.995. In a zero-day experiment where ransomware was hidden from training, a classifier alone detected 0% of it, while AegisNet detected 100% and flagged it as a new pattern instead of mislabelling it. The project uses only free tools, needs no GPU, and is verified by 12 automated tests.</w:t>
      </w:r>
    </w:p>
    <w:bookmarkEnd w:id="20"/>
    <w:bookmarkStart w:id="21" w:name="Xd0244c3707bfba929c122b7d27673dfadd00eb4"/>
    <w:p>
      <w:pPr>
        <w:pStyle w:val="Heading1"/>
      </w:pPr>
      <w:r>
        <w:t xml:space="preserve">2. Introduction and industry context (October 2026)</w:t>
      </w:r>
    </w:p>
    <w:p>
      <w:pPr>
        <w:pStyle w:val="FirstParagraph"/>
      </w:pPr>
      <w:r>
        <w:t xml:space="preserve">The AI field in October 2026 is defined by four things.</w:t>
      </w:r>
    </w:p>
    <w:p>
      <w:pPr>
        <w:numPr>
          <w:ilvl w:val="0"/>
          <w:numId w:val="1001"/>
        </w:numPr>
        <w:pStyle w:val="Compact"/>
      </w:pPr>
      <w:r>
        <w:rPr>
          <w:bCs/>
          <w:b/>
        </w:rPr>
        <w:t xml:space="preserve">A crowded model race.</w:t>
      </w:r>
      <w:r>
        <w:t xml:space="preserve"> </w:t>
      </w:r>
      <w:r>
        <w:t xml:space="preserve">Industry trackers report that the frontier is shared by Anthropic’s Claude Opus 5.5, OpenAI’s GPT-6.x family and Google’s Gemini 4 (launched in early October 2026), while open-weight models such as DeepSeek V4.1, Qwen3.8 and Kimi K3 have moved close to the frontier.</w:t>
      </w:r>
    </w:p>
    <w:p>
      <w:pPr>
        <w:numPr>
          <w:ilvl w:val="0"/>
          <w:numId w:val="1001"/>
        </w:numPr>
        <w:pStyle w:val="Compact"/>
      </w:pPr>
      <w:r>
        <w:rPr>
          <w:bCs/>
          <w:b/>
        </w:rPr>
        <w:t xml:space="preserve">Agentic AI is the main enterprise trend.</w:t>
      </w:r>
      <w:r>
        <w:t xml:space="preserve"> </w:t>
      </w:r>
      <w:r>
        <w:t xml:space="preserve">Gartner is reported to predict that 40% of enterprise applications will embed task-specific AI agents by the end of 2026, up from under 5% in 2025.</w:t>
      </w:r>
    </w:p>
    <w:p>
      <w:pPr>
        <w:numPr>
          <w:ilvl w:val="0"/>
          <w:numId w:val="1001"/>
        </w:numPr>
        <w:pStyle w:val="Compact"/>
      </w:pPr>
      <w:r>
        <w:rPr>
          <w:bCs/>
          <w:b/>
        </w:rPr>
        <w:t xml:space="preserve">A production gap.</w:t>
      </w:r>
      <w:r>
        <w:t xml:space="preserve"> </w:t>
      </w:r>
      <w:r>
        <w:t xml:space="preserve">One 2026 market study reports that 79% of enterprises say they have adopted AI agents but only 11% run them in production. McKinsey’s 2026 survey finds that nearly nine in ten organisations use AI regularly, while scaling across the enterprise is still in progress.</w:t>
      </w:r>
    </w:p>
    <w:p>
      <w:pPr>
        <w:numPr>
          <w:ilvl w:val="0"/>
          <w:numId w:val="1001"/>
        </w:numPr>
        <w:pStyle w:val="Compact"/>
      </w:pPr>
      <w:r>
        <w:rPr>
          <w:bCs/>
          <w:b/>
        </w:rPr>
        <w:t xml:space="preserve">Small models are gaining ground.</w:t>
      </w:r>
      <w:r>
        <w:t xml:space="preserve"> </w:t>
      </w:r>
      <w:r>
        <w:t xml:space="preserve">Gartner is reported to expect that by 2027 organisations will use small, task-specific models at least three times more than general-purpose LLMs, because they are cheaper, private and easier to govern.</w:t>
      </w:r>
    </w:p>
    <w:p>
      <w:pPr>
        <w:pStyle w:val="FirstParagraph"/>
      </w:pPr>
      <w:r>
        <w:t xml:space="preserve">The figures above come from industry trackers and surveys published in 2026 and should be re-checked against the original sources before being quoted in a formal submission.</w:t>
      </w:r>
    </w:p>
    <w:p>
      <w:pPr>
        <w:pStyle w:val="BodyText"/>
      </w:pPr>
      <w:r>
        <w:t xml:space="preserve">The lesson for engineers is that the hard part is no longer producing a clever model. It is shipping a model that is small, private, explainable, monitored and safe to act on. AegisNet is designed around exactly those requirements, applied to IT security operations.</w:t>
      </w:r>
    </w:p>
    <w:bookmarkEnd w:id="21"/>
    <w:bookmarkStart w:id="22" w:name="problem-statement"/>
    <w:p>
      <w:pPr>
        <w:pStyle w:val="Heading1"/>
      </w:pPr>
      <w:r>
        <w:t xml:space="preserve">3. Problem statement</w:t>
      </w:r>
    </w:p>
    <w:p>
      <w:pPr>
        <w:pStyle w:val="FirstParagraph"/>
      </w:pPr>
      <w:r>
        <w:t xml:space="preserve">IT and security teams receive thousands of metrics and alerts. Rule-based thresholds miss new attacks, supervised classifiers cannot recognise attacks they were never trained on, and black-box scores do not tell an on-call engineer why they were paged. Cloud-hosted giant models add cost and send sensitive telemetry outside the network.</w:t>
      </w:r>
    </w:p>
    <w:p>
      <w:pPr>
        <w:pStyle w:val="BodyText"/>
      </w:pPr>
      <w:r>
        <w:t xml:space="preserve">The problem: build a small, local neural-network system that (1) detects known and unknown attacks from server telemetry, (2) explains each alert, (3) acts only within safe, human-approved limits, and (4) warns when it becomes stale.</w:t>
      </w:r>
    </w:p>
    <w:bookmarkEnd w:id="22"/>
    <w:bookmarkStart w:id="23" w:name="objectives"/>
    <w:p>
      <w:pPr>
        <w:pStyle w:val="Heading1"/>
      </w:pPr>
      <w:r>
        <w:t xml:space="preserve">4. Objectives</w:t>
      </w:r>
    </w:p>
    <w:p>
      <w:pPr>
        <w:numPr>
          <w:ilvl w:val="0"/>
          <w:numId w:val="1002"/>
        </w:numPr>
        <w:pStyle w:val="Compact"/>
      </w:pPr>
      <w:r>
        <w:t xml:space="preserve">Implement a neural network engine from scratch (forward pass, back-propagation, Adam) so every step can be explained and tested.</w:t>
      </w:r>
    </w:p>
    <w:p>
      <w:pPr>
        <w:numPr>
          <w:ilvl w:val="0"/>
          <w:numId w:val="1002"/>
        </w:numPr>
        <w:pStyle w:val="Compact"/>
      </w:pPr>
      <w:r>
        <w:t xml:space="preserve">Detect six attack families and benign traffic surges with a low false-alarm rate.</w:t>
      </w:r>
    </w:p>
    <w:p>
      <w:pPr>
        <w:numPr>
          <w:ilvl w:val="0"/>
          <w:numId w:val="1002"/>
        </w:numPr>
        <w:pStyle w:val="Compact"/>
      </w:pPr>
      <w:r>
        <w:t xml:space="preserve">Catch an attack family the model has never seen (zero-day behaviour).</w:t>
      </w:r>
    </w:p>
    <w:p>
      <w:pPr>
        <w:numPr>
          <w:ilvl w:val="0"/>
          <w:numId w:val="1002"/>
        </w:numPr>
        <w:pStyle w:val="Compact"/>
      </w:pPr>
      <w:r>
        <w:t xml:space="preserve">Explain every alert by naming the responsible metrics.</w:t>
      </w:r>
    </w:p>
    <w:p>
      <w:pPr>
        <w:numPr>
          <w:ilvl w:val="0"/>
          <w:numId w:val="1002"/>
        </w:numPr>
        <w:pStyle w:val="Compact"/>
      </w:pPr>
      <w:r>
        <w:t xml:space="preserve">Provide a Guardian agent with bounded autonomy and an audit log.</w:t>
      </w:r>
    </w:p>
    <w:p>
      <w:pPr>
        <w:numPr>
          <w:ilvl w:val="0"/>
          <w:numId w:val="1002"/>
        </w:numPr>
        <w:pStyle w:val="Compact"/>
      </w:pPr>
      <w:r>
        <w:t xml:space="preserve">Monitor data drift to decide when to retrain.</w:t>
      </w:r>
    </w:p>
    <w:p>
      <w:pPr>
        <w:numPr>
          <w:ilvl w:val="0"/>
          <w:numId w:val="1002"/>
        </w:numPr>
        <w:pStyle w:val="Compact"/>
      </w:pPr>
      <w:r>
        <w:t xml:space="preserve">Keep the model small enough for edge devices, using only free tools.</w:t>
      </w:r>
    </w:p>
    <w:bookmarkEnd w:id="23"/>
    <w:bookmarkStart w:id="24" w:name="scope-and-assumptions"/>
    <w:p>
      <w:pPr>
        <w:pStyle w:val="Heading1"/>
      </w:pPr>
      <w:r>
        <w:t xml:space="preserve">5. Scope and assumptions</w:t>
      </w:r>
    </w:p>
    <w:p>
      <w:pPr>
        <w:numPr>
          <w:ilvl w:val="0"/>
          <w:numId w:val="1003"/>
        </w:numPr>
        <w:pStyle w:val="Compact"/>
      </w:pPr>
      <w:r>
        <w:t xml:space="preserve">Telemetry is</w:t>
      </w:r>
      <w:r>
        <w:t xml:space="preserve"> </w:t>
      </w:r>
      <w:r>
        <w:rPr>
          <w:bCs/>
          <w:b/>
        </w:rPr>
        <w:t xml:space="preserve">simulated</w:t>
      </w:r>
      <w:r>
        <w:t xml:space="preserve"> </w:t>
      </w:r>
      <w:r>
        <w:t xml:space="preserve">so the project is offline, reproducible and fully labelled. Results on real traffic will be lower.</w:t>
      </w:r>
    </w:p>
    <w:p>
      <w:pPr>
        <w:numPr>
          <w:ilvl w:val="0"/>
          <w:numId w:val="1003"/>
        </w:numPr>
        <w:pStyle w:val="Compact"/>
      </w:pPr>
      <w:r>
        <w:t xml:space="preserve">Guardian actions are</w:t>
      </w:r>
      <w:r>
        <w:t xml:space="preserve"> </w:t>
      </w:r>
      <w:r>
        <w:rPr>
          <w:bCs/>
          <w:b/>
        </w:rPr>
        <w:t xml:space="preserve">simulated</w:t>
      </w:r>
      <w:r>
        <w:t xml:space="preserve"> </w:t>
      </w:r>
      <w:r>
        <w:t xml:space="preserve">and written to an audit log. They are not connected to a real firewall.</w:t>
      </w:r>
    </w:p>
    <w:p>
      <w:pPr>
        <w:numPr>
          <w:ilvl w:val="0"/>
          <w:numId w:val="1003"/>
        </w:numPr>
        <w:pStyle w:val="Compact"/>
      </w:pPr>
      <w:r>
        <w:t xml:space="preserve">The system analyses one host’s metrics at one-minute resolution.</w:t>
      </w:r>
    </w:p>
    <w:bookmarkEnd w:id="24"/>
    <w:bookmarkStart w:id="25" w:name="system-architecture"/>
    <w:p>
      <w:pPr>
        <w:pStyle w:val="Heading1"/>
      </w:pPr>
      <w:r>
        <w:t xml:space="preserve">6. System architecture</w:t>
      </w:r>
    </w:p>
    <w:p>
      <w:pPr>
        <w:pStyle w:val="FirstParagraph"/>
      </w:pPr>
      <w:r>
        <w:t xml:space="preserve">Server telemetry (13 metrics per minute) goes to the feature engine (26 inputs). The 26 inputs feed two networks in parallel: Brain 1 (autoencoder) and Brain 2 (classifier). Both feed the fusion step, which produces a risk score and a label. The fusion output goes to three modules: Explain, Guardian agent and Drift watchdog. A diagram is available in</w:t>
      </w:r>
      <w:r>
        <w:t xml:space="preserve"> </w:t>
      </w:r>
      <w:r>
        <w:rPr>
          <w:rStyle w:val="VerbatimChar"/>
        </w:rPr>
        <w:t xml:space="preserve">docs/ARCHITECTURE.md</w:t>
      </w:r>
      <w:r>
        <w:t xml:space="preserve">.</w:t>
      </w:r>
    </w:p>
    <w:tbl>
      <w:tblPr>
        <w:tblStyle w:val="Table"/>
        <w:tblW w:type="pct" w:w="500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2640"/>
        <w:gridCol w:w="2640"/>
        <w:gridCol w:w="2640"/>
      </w:tblGrid>
      <w:tr>
        <w:trPr>
          <w:tblHeader w:val="true"/>
        </w:trPr>
        <w:tc>
          <w:tcPr>
            <w:shd w:val="clear" w:fill="0B3A5B"/>
          </w:tcPr>
          <w:p>
            <w:pPr>
              <w:pStyle w:val="Compact"/>
              <w:spacing w:after="40" w:before="40"/>
              <w:jc w:val="left"/>
            </w:pPr>
            <w:r>
              <w:rPr>
                <w:b/>
                <w:color w:val="FFFFFF"/>
                <w:sz w:val="20"/>
              </w:rPr>
              <w:t xml:space="preserve">Component</w:t>
            </w:r>
          </w:p>
        </w:tc>
        <w:tc>
          <w:tcPr>
            <w:shd w:val="clear" w:fill="0B3A5B"/>
          </w:tcPr>
          <w:p>
            <w:pPr>
              <w:pStyle w:val="Compact"/>
              <w:spacing w:after="40" w:before="40"/>
              <w:jc w:val="left"/>
            </w:pPr>
            <w:r>
              <w:rPr>
                <w:b/>
                <w:color w:val="FFFFFF"/>
                <w:sz w:val="20"/>
              </w:rPr>
              <w:t xml:space="preserve">File</w:t>
            </w:r>
          </w:p>
        </w:tc>
        <w:tc>
          <w:tcPr>
            <w:shd w:val="clear" w:fill="0B3A5B"/>
          </w:tcPr>
          <w:p>
            <w:pPr>
              <w:pStyle w:val="Compact"/>
              <w:spacing w:after="40" w:before="40"/>
              <w:jc w:val="left"/>
            </w:pPr>
            <w:r>
              <w:rPr>
                <w:b/>
                <w:color w:val="FFFFFF"/>
                <w:sz w:val="20"/>
              </w:rPr>
              <w:t xml:space="preserve">Role</w:t>
            </w:r>
          </w:p>
        </w:tc>
      </w:tr>
      <w:tr>
        <w:tc>
          <w:tcPr/>
          <w:p>
            <w:pPr>
              <w:pStyle w:val="Compact"/>
              <w:spacing w:after="40" w:before="40"/>
              <w:jc w:val="left"/>
            </w:pPr>
            <w:r>
              <w:rPr>
                <w:sz w:val="20"/>
              </w:rPr>
              <w:t xml:space="preserve">Neural engine</w:t>
            </w:r>
          </w:p>
        </w:tc>
        <w:tc>
          <w:tcPr/>
          <w:p>
            <w:pPr>
              <w:pStyle w:val="Compact"/>
              <w:spacing w:after="40" w:before="40"/>
              <w:jc w:val="left"/>
            </w:pPr>
            <w:r>
              <w:rPr>
                <w:sz w:val="20"/>
              </w:rPr>
              <w:t xml:space="preserve">aegisnet/nn.py</w:t>
            </w:r>
          </w:p>
        </w:tc>
        <w:tc>
          <w:tcPr/>
          <w:p>
            <w:pPr>
              <w:pStyle w:val="Compact"/>
              <w:spacing w:after="40" w:before="40"/>
              <w:jc w:val="left"/>
            </w:pPr>
            <w:r>
              <w:rPr>
                <w:sz w:val="20"/>
              </w:rPr>
              <w:t xml:space="preserve">Dense layers, tanh/ReLU, MSE and cross-entropy losses, Adam, cosine learning-rate decay</w:t>
            </w:r>
          </w:p>
        </w:tc>
      </w:tr>
      <w:tr>
        <w:tc>
          <w:tcPr>
            <w:shd w:val="clear" w:fill="F1F5FA"/>
          </w:tcPr>
          <w:p>
            <w:pPr>
              <w:pStyle w:val="Compact"/>
              <w:spacing w:after="40" w:before="40"/>
              <w:jc w:val="left"/>
            </w:pPr>
            <w:r>
              <w:rPr>
                <w:sz w:val="20"/>
              </w:rPr>
              <w:t xml:space="preserve">Simulator and features</w:t>
            </w:r>
          </w:p>
        </w:tc>
        <w:tc>
          <w:tcPr>
            <w:shd w:val="clear" w:fill="F1F5FA"/>
          </w:tcPr>
          <w:p>
            <w:pPr>
              <w:pStyle w:val="Compact"/>
              <w:spacing w:after="40" w:before="40"/>
              <w:jc w:val="left"/>
            </w:pPr>
            <w:r>
              <w:rPr>
                <w:sz w:val="20"/>
              </w:rPr>
              <w:t xml:space="preserve">aegisnet/data.py</w:t>
            </w:r>
          </w:p>
        </w:tc>
        <w:tc>
          <w:tcPr>
            <w:shd w:val="clear" w:fill="F1F5FA"/>
          </w:tcPr>
          <w:p>
            <w:pPr>
              <w:pStyle w:val="Compact"/>
              <w:spacing w:after="40" w:before="40"/>
              <w:jc w:val="left"/>
            </w:pPr>
            <w:r>
              <w:rPr>
                <w:sz w:val="20"/>
              </w:rPr>
              <w:t xml:space="preserve">13-metric telemetry, 6 attacks plus benign flash-crowds, 26-dimension features</w:t>
            </w:r>
          </w:p>
        </w:tc>
      </w:tr>
      <w:tr>
        <w:tc>
          <w:tcPr/>
          <w:p>
            <w:pPr>
              <w:pStyle w:val="Compact"/>
              <w:spacing w:after="40" w:before="40"/>
              <w:jc w:val="left"/>
            </w:pPr>
            <w:r>
              <w:rPr>
                <w:sz w:val="20"/>
              </w:rPr>
              <w:t xml:space="preserve">Dual-Brain model</w:t>
            </w:r>
          </w:p>
        </w:tc>
        <w:tc>
          <w:tcPr/>
          <w:p>
            <w:pPr>
              <w:pStyle w:val="Compact"/>
              <w:spacing w:after="40" w:before="40"/>
              <w:jc w:val="left"/>
            </w:pPr>
            <w:r>
              <w:rPr>
                <w:sz w:val="20"/>
              </w:rPr>
              <w:t xml:space="preserve">aegisnet/models.py</w:t>
            </w:r>
          </w:p>
        </w:tc>
        <w:tc>
          <w:tcPr/>
          <w:p>
            <w:pPr>
              <w:pStyle w:val="Compact"/>
              <w:spacing w:after="40" w:before="40"/>
              <w:jc w:val="left"/>
            </w:pPr>
            <w:r>
              <w:rPr>
                <w:sz w:val="20"/>
              </w:rPr>
              <w:t xml:space="preserve">Autoencoder, classifier, fusion, signature check, save and load</w:t>
            </w:r>
          </w:p>
        </w:tc>
      </w:tr>
      <w:tr>
        <w:tc>
          <w:tcPr>
            <w:shd w:val="clear" w:fill="F1F5FA"/>
          </w:tcPr>
          <w:p>
            <w:pPr>
              <w:pStyle w:val="Compact"/>
              <w:spacing w:after="40" w:before="40"/>
              <w:jc w:val="left"/>
            </w:pPr>
            <w:r>
              <w:rPr>
                <w:sz w:val="20"/>
              </w:rPr>
              <w:t xml:space="preserve">Explain, Guardian, Drift</w:t>
            </w:r>
          </w:p>
        </w:tc>
        <w:tc>
          <w:tcPr>
            <w:shd w:val="clear" w:fill="F1F5FA"/>
          </w:tcPr>
          <w:p>
            <w:pPr>
              <w:pStyle w:val="Compact"/>
              <w:spacing w:after="40" w:before="40"/>
              <w:jc w:val="left"/>
            </w:pPr>
            <w:r>
              <w:rPr>
                <w:sz w:val="20"/>
              </w:rPr>
              <w:t xml:space="preserve">aegisnet/explain.py</w:t>
            </w:r>
          </w:p>
        </w:tc>
        <w:tc>
          <w:tcPr>
            <w:shd w:val="clear" w:fill="F1F5FA"/>
          </w:tcPr>
          <w:p>
            <w:pPr>
              <w:pStyle w:val="Compact"/>
              <w:spacing w:after="40" w:before="40"/>
              <w:jc w:val="left"/>
            </w:pPr>
            <w:r>
              <w:rPr>
                <w:sz w:val="20"/>
              </w:rPr>
              <w:t xml:space="preserve">Per-metric explanation, incident builder, playbook agent, PSI drift monitor</w:t>
            </w:r>
          </w:p>
        </w:tc>
      </w:tr>
      <w:tr>
        <w:tc>
          <w:tcPr/>
          <w:p>
            <w:pPr>
              <w:pStyle w:val="Compact"/>
              <w:spacing w:after="40" w:before="40"/>
              <w:jc w:val="left"/>
            </w:pPr>
            <w:r>
              <w:rPr>
                <w:sz w:val="20"/>
              </w:rPr>
              <w:t xml:space="preserve">Report</w:t>
            </w:r>
          </w:p>
        </w:tc>
        <w:tc>
          <w:tcPr/>
          <w:p>
            <w:pPr>
              <w:pStyle w:val="Compact"/>
              <w:spacing w:after="40" w:before="40"/>
              <w:jc w:val="left"/>
            </w:pPr>
            <w:r>
              <w:rPr>
                <w:sz w:val="20"/>
              </w:rPr>
              <w:t xml:space="preserve">aegisnet/report.py</w:t>
            </w:r>
          </w:p>
        </w:tc>
        <w:tc>
          <w:tcPr/>
          <w:p>
            <w:pPr>
              <w:pStyle w:val="Compact"/>
              <w:spacing w:after="40" w:before="40"/>
              <w:jc w:val="left"/>
            </w:pPr>
            <w:r>
              <w:rPr>
                <w:sz w:val="20"/>
              </w:rPr>
              <w:t xml:space="preserve">Charts and a single-file HTML report</w:t>
            </w:r>
          </w:p>
        </w:tc>
      </w:tr>
      <w:tr>
        <w:tc>
          <w:tcPr>
            <w:shd w:val="clear" w:fill="F1F5FA"/>
          </w:tcPr>
          <w:p>
            <w:pPr>
              <w:pStyle w:val="Compact"/>
              <w:spacing w:after="40" w:before="40"/>
              <w:jc w:val="left"/>
            </w:pPr>
            <w:r>
              <w:rPr>
                <w:sz w:val="20"/>
              </w:rPr>
              <w:t xml:space="preserve">Pipeline</w:t>
            </w:r>
          </w:p>
        </w:tc>
        <w:tc>
          <w:tcPr>
            <w:shd w:val="clear" w:fill="F1F5FA"/>
          </w:tcPr>
          <w:p>
            <w:pPr>
              <w:pStyle w:val="Compact"/>
              <w:spacing w:after="40" w:before="40"/>
              <w:jc w:val="left"/>
            </w:pPr>
            <w:r>
              <w:rPr>
                <w:sz w:val="20"/>
              </w:rPr>
              <w:t xml:space="preserve">run_all.py</w:t>
            </w:r>
          </w:p>
        </w:tc>
        <w:tc>
          <w:tcPr>
            <w:shd w:val="clear" w:fill="F1F5FA"/>
          </w:tcPr>
          <w:p>
            <w:pPr>
              <w:pStyle w:val="Compact"/>
              <w:spacing w:after="40" w:before="40"/>
              <w:jc w:val="left"/>
            </w:pPr>
            <w:r>
              <w:rPr>
                <w:sz w:val="20"/>
              </w:rPr>
              <w:t xml:space="preserve">One-click train, evaluate, zero-day test, drift test, report</w:t>
            </w:r>
          </w:p>
        </w:tc>
      </w:tr>
      <w:tr>
        <w:tc>
          <w:tcPr/>
          <w:p>
            <w:pPr>
              <w:pStyle w:val="Compact"/>
              <w:spacing w:after="40" w:before="40"/>
              <w:jc w:val="left"/>
            </w:pPr>
            <w:r>
              <w:rPr>
                <w:sz w:val="20"/>
              </w:rPr>
              <w:t xml:space="preserve">API</w:t>
            </w:r>
          </w:p>
        </w:tc>
        <w:tc>
          <w:tcPr/>
          <w:p>
            <w:pPr>
              <w:pStyle w:val="Compact"/>
              <w:spacing w:after="40" w:before="40"/>
              <w:jc w:val="left"/>
            </w:pPr>
            <w:r>
              <w:rPr>
                <w:sz w:val="20"/>
              </w:rPr>
              <w:t xml:space="preserve">api.py</w:t>
            </w:r>
          </w:p>
        </w:tc>
        <w:tc>
          <w:tcPr/>
          <w:p>
            <w:pPr>
              <w:pStyle w:val="Compact"/>
              <w:spacing w:after="40" w:before="40"/>
              <w:jc w:val="left"/>
            </w:pPr>
            <w:r>
              <w:rPr>
                <w:sz w:val="20"/>
              </w:rPr>
              <w:t xml:space="preserve">Flask REST service</w:t>
            </w:r>
          </w:p>
        </w:tc>
      </w:tr>
      <w:tr>
        <w:tc>
          <w:tcPr>
            <w:shd w:val="clear" w:fill="F1F5FA"/>
          </w:tcPr>
          <w:p>
            <w:pPr>
              <w:pStyle w:val="Compact"/>
              <w:spacing w:after="40" w:before="40"/>
              <w:jc w:val="left"/>
            </w:pPr>
            <w:r>
              <w:rPr>
                <w:sz w:val="20"/>
              </w:rPr>
              <w:t xml:space="preserve">Tests</w:t>
            </w:r>
          </w:p>
        </w:tc>
        <w:tc>
          <w:tcPr>
            <w:shd w:val="clear" w:fill="F1F5FA"/>
          </w:tcPr>
          <w:p>
            <w:pPr>
              <w:pStyle w:val="Compact"/>
              <w:spacing w:after="40" w:before="40"/>
              <w:jc w:val="left"/>
            </w:pPr>
            <w:r>
              <w:rPr>
                <w:sz w:val="20"/>
              </w:rPr>
              <w:t xml:space="preserve">tests/test_aegisnet.py</w:t>
            </w:r>
          </w:p>
        </w:tc>
        <w:tc>
          <w:tcPr>
            <w:shd w:val="clear" w:fill="F1F5FA"/>
          </w:tcPr>
          <w:p>
            <w:pPr>
              <w:pStyle w:val="Compact"/>
              <w:spacing w:after="40" w:before="40"/>
              <w:jc w:val="left"/>
            </w:pPr>
            <w:r>
              <w:rPr>
                <w:sz w:val="20"/>
              </w:rPr>
              <w:t xml:space="preserve">12 automated tests</w:t>
            </w:r>
          </w:p>
        </w:tc>
      </w:tr>
    </w:tbl>
    <w:bookmarkEnd w:id="25"/>
    <w:bookmarkStart w:id="42" w:name="methodology"/>
    <w:p>
      <w:pPr>
        <w:pStyle w:val="Heading1"/>
      </w:pPr>
      <w:r>
        <w:t xml:space="preserve">7. Methodology</w:t>
      </w:r>
    </w:p>
    <w:bookmarkStart w:id="26" w:name="data-simulation"/>
    <w:p>
      <w:pPr>
        <w:pStyle w:val="Heading2"/>
      </w:pPr>
      <w:r>
        <w:t xml:space="preserve">7.1 Data simulation</w:t>
      </w:r>
    </w:p>
    <w:p>
      <w:pPr>
        <w:pStyle w:val="FirstParagraph"/>
      </w:pPr>
      <w:r>
        <w:t xml:space="preserve">Each minute produces 13 metrics: CPU %, memory %, disk I/O, inbound and outbound Mbps, open connections, failed logins, unique destination ports, average packet size, DNS queries, HTTP 5xx %, process count and file writes. A daily load cycle and a shared burst factor make the metrics correlated like a real server.</w:t>
      </w:r>
    </w:p>
    <w:p>
      <w:pPr>
        <w:pStyle w:val="BodyText"/>
      </w:pPr>
      <w:r>
        <w:t xml:space="preserve">Six attack families are injected as episodes of 8 to 29 minutes. Each episode has a strength between 40% and 100% and ramps up over three minutes, so weak attacks overlap with normal behaviour.</w:t>
      </w:r>
    </w:p>
    <w:tbl>
      <w:tblPr>
        <w:tblStyle w:val="Table"/>
        <w:tblW w:type="auto" w:w="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3960"/>
        <w:gridCol w:w="3960"/>
      </w:tblGrid>
      <w:tr>
        <w:trPr>
          <w:tblHeader w:val="true"/>
        </w:trPr>
        <w:tc>
          <w:tcPr>
            <w:shd w:val="clear" w:fill="0B3A5B"/>
          </w:tcPr>
          <w:p>
            <w:pPr>
              <w:pStyle w:val="Compact"/>
              <w:spacing w:after="40" w:before="40"/>
              <w:jc w:val="left"/>
            </w:pPr>
            <w:r>
              <w:rPr>
                <w:b/>
                <w:color w:val="FFFFFF"/>
                <w:sz w:val="20"/>
              </w:rPr>
              <w:t xml:space="preserve">Attack</w:t>
            </w:r>
          </w:p>
        </w:tc>
        <w:tc>
          <w:tcPr>
            <w:shd w:val="clear" w:fill="0B3A5B"/>
          </w:tcPr>
          <w:p>
            <w:pPr>
              <w:pStyle w:val="Compact"/>
              <w:spacing w:after="40" w:before="40"/>
              <w:jc w:val="left"/>
            </w:pPr>
            <w:r>
              <w:rPr>
                <w:b/>
                <w:color w:val="FFFFFF"/>
                <w:sz w:val="20"/>
              </w:rPr>
              <w:t xml:space="preserve">Tell-tale metrics</w:t>
            </w:r>
          </w:p>
        </w:tc>
      </w:tr>
      <w:tr>
        <w:tc>
          <w:tcPr/>
          <w:p>
            <w:pPr>
              <w:pStyle w:val="Compact"/>
              <w:spacing w:after="40" w:before="40"/>
              <w:jc w:val="left"/>
            </w:pPr>
            <w:r>
              <w:rPr>
                <w:sz w:val="20"/>
              </w:rPr>
              <w:t xml:space="preserve">Brute-force</w:t>
            </w:r>
          </w:p>
        </w:tc>
        <w:tc>
          <w:tcPr/>
          <w:p>
            <w:pPr>
              <w:pStyle w:val="Compact"/>
              <w:spacing w:after="40" w:before="40"/>
              <w:jc w:val="left"/>
            </w:pPr>
            <w:r>
              <w:rPr>
                <w:sz w:val="20"/>
              </w:rPr>
              <w:t xml:space="preserve">failed logins and connections up</w:t>
            </w:r>
          </w:p>
        </w:tc>
      </w:tr>
      <w:tr>
        <w:tc>
          <w:tcPr>
            <w:shd w:val="clear" w:fill="F1F5FA"/>
          </w:tcPr>
          <w:p>
            <w:pPr>
              <w:pStyle w:val="Compact"/>
              <w:spacing w:after="40" w:before="40"/>
              <w:jc w:val="left"/>
            </w:pPr>
            <w:r>
              <w:rPr>
                <w:sz w:val="20"/>
              </w:rPr>
              <w:t xml:space="preserve">DDoS</w:t>
            </w:r>
          </w:p>
        </w:tc>
        <w:tc>
          <w:tcPr>
            <w:shd w:val="clear" w:fill="F1F5FA"/>
          </w:tcPr>
          <w:p>
            <w:pPr>
              <w:pStyle w:val="Compact"/>
              <w:spacing w:after="40" w:before="40"/>
              <w:jc w:val="left"/>
            </w:pPr>
            <w:r>
              <w:rPr>
                <w:sz w:val="20"/>
              </w:rPr>
              <w:t xml:space="preserve">inbound traffic, connections and HTTP 5xx up, small packets</w:t>
            </w:r>
          </w:p>
        </w:tc>
      </w:tr>
      <w:tr>
        <w:tc>
          <w:tcPr/>
          <w:p>
            <w:pPr>
              <w:pStyle w:val="Compact"/>
              <w:spacing w:after="40" w:before="40"/>
              <w:jc w:val="left"/>
            </w:pPr>
            <w:r>
              <w:rPr>
                <w:sz w:val="20"/>
              </w:rPr>
              <w:t xml:space="preserve">Port scan</w:t>
            </w:r>
          </w:p>
        </w:tc>
        <w:tc>
          <w:tcPr/>
          <w:p>
            <w:pPr>
              <w:pStyle w:val="Compact"/>
              <w:spacing w:after="40" w:before="40"/>
              <w:jc w:val="left"/>
            </w:pPr>
            <w:r>
              <w:rPr>
                <w:sz w:val="20"/>
              </w:rPr>
              <w:t xml:space="preserve">unique ports far up, tiny packets</w:t>
            </w:r>
          </w:p>
        </w:tc>
      </w:tr>
      <w:tr>
        <w:tc>
          <w:tcPr>
            <w:shd w:val="clear" w:fill="F1F5FA"/>
          </w:tcPr>
          <w:p>
            <w:pPr>
              <w:pStyle w:val="Compact"/>
              <w:spacing w:after="40" w:before="40"/>
              <w:jc w:val="left"/>
            </w:pPr>
            <w:r>
              <w:rPr>
                <w:sz w:val="20"/>
              </w:rPr>
              <w:t xml:space="preserve">Exfiltration</w:t>
            </w:r>
          </w:p>
        </w:tc>
        <w:tc>
          <w:tcPr>
            <w:shd w:val="clear" w:fill="F1F5FA"/>
          </w:tcPr>
          <w:p>
            <w:pPr>
              <w:pStyle w:val="Compact"/>
              <w:spacing w:after="40" w:before="40"/>
              <w:jc w:val="left"/>
            </w:pPr>
            <w:r>
              <w:rPr>
                <w:sz w:val="20"/>
              </w:rPr>
              <w:t xml:space="preserve">outbound traffic and DNS queries up</w:t>
            </w:r>
          </w:p>
        </w:tc>
      </w:tr>
      <w:tr>
        <w:tc>
          <w:tcPr/>
          <w:p>
            <w:pPr>
              <w:pStyle w:val="Compact"/>
              <w:spacing w:after="40" w:before="40"/>
              <w:jc w:val="left"/>
            </w:pPr>
            <w:r>
              <w:rPr>
                <w:sz w:val="20"/>
              </w:rPr>
              <w:t xml:space="preserve">Cryptominer</w:t>
            </w:r>
          </w:p>
        </w:tc>
        <w:tc>
          <w:tcPr/>
          <w:p>
            <w:pPr>
              <w:pStyle w:val="Compact"/>
              <w:spacing w:after="40" w:before="40"/>
              <w:jc w:val="left"/>
            </w:pPr>
            <w:r>
              <w:rPr>
                <w:sz w:val="20"/>
              </w:rPr>
              <w:t xml:space="preserve">CPU and process count up</w:t>
            </w:r>
          </w:p>
        </w:tc>
      </w:tr>
      <w:tr>
        <w:tc>
          <w:tcPr>
            <w:shd w:val="clear" w:fill="F1F5FA"/>
          </w:tcPr>
          <w:p>
            <w:pPr>
              <w:pStyle w:val="Compact"/>
              <w:spacing w:after="40" w:before="40"/>
              <w:jc w:val="left"/>
            </w:pPr>
            <w:r>
              <w:rPr>
                <w:sz w:val="20"/>
              </w:rPr>
              <w:t xml:space="preserve">Ransomware</w:t>
            </w:r>
          </w:p>
        </w:tc>
        <w:tc>
          <w:tcPr>
            <w:shd w:val="clear" w:fill="F1F5FA"/>
          </w:tcPr>
          <w:p>
            <w:pPr>
              <w:pStyle w:val="Compact"/>
              <w:spacing w:after="40" w:before="40"/>
              <w:jc w:val="left"/>
            </w:pPr>
            <w:r>
              <w:rPr>
                <w:sz w:val="20"/>
              </w:rPr>
              <w:t xml:space="preserve">file writes and disk I/O far up</w:t>
            </w:r>
          </w:p>
        </w:tc>
      </w:tr>
    </w:tbl>
    <w:p>
      <w:pPr>
        <w:pStyle w:val="BodyText"/>
      </w:pPr>
      <w:r>
        <w:rPr>
          <w:bCs/>
          <w:b/>
        </w:rPr>
        <w:t xml:space="preserve">Flash crowds</w:t>
      </w:r>
      <w:r>
        <w:t xml:space="preserve"> </w:t>
      </w:r>
      <w:r>
        <w:t xml:space="preserve">are benign traffic surges (inbound traffic and connections rise, CPU rises slightly) that resemble a DDoS. They are labelled normal and included in the data to test for false alarms.</w:t>
      </w:r>
    </w:p>
    <w:p>
      <w:pPr>
        <w:pStyle w:val="BodyText"/>
      </w:pPr>
      <w:r>
        <w:t xml:space="preserve">Datasets: 28,800 minutes (20 days) of normal data to train Brain 1; 28,800 minutes of labelled data to train Brain 2; 14,400 minutes (10 days) of unseen test data containing 37 attack episodes and 685 attack minutes.</w:t>
      </w:r>
    </w:p>
    <w:bookmarkEnd w:id="26"/>
    <w:bookmarkStart w:id="27" w:name="feature-engineering"/>
    <w:p>
      <w:pPr>
        <w:pStyle w:val="Heading2"/>
      </w:pPr>
      <w:r>
        <w:t xml:space="preserve">7.2 Feature engineering</w:t>
      </w:r>
    </w:p>
    <w:p>
      <w:pPr>
        <w:pStyle w:val="FirstParagraph"/>
      </w:pPr>
      <w:r>
        <w:t xml:space="preserve">Each metric is transformed with log(1 + x) to tame heavy tails. For every metric a second feature stores the change versus the average of the previous five minutes. This gives 13 level features plus 13 change features, which is 26 inputs. All inputs are standardised using the mean and standard deviation of the normal training data and clipped to the range minus 20 to plus 20.</w:t>
      </w:r>
    </w:p>
    <w:bookmarkEnd w:id="27"/>
    <w:bookmarkStart w:id="28" w:name="neural-network-engine"/>
    <w:p>
      <w:pPr>
        <w:pStyle w:val="Heading2"/>
      </w:pPr>
      <w:r>
        <w:t xml:space="preserve">7.3 Neural-network engine</w:t>
      </w:r>
    </w:p>
    <w:p>
      <w:pPr>
        <w:pStyle w:val="FirstParagraph"/>
      </w:pPr>
      <w:r>
        <w:t xml:space="preserve">For a layer with input x, weights W and bias b, the forward pass is z = xW + b, followed by an activation: tanh(z), ReLU(z) = max(z, 0) or the identity. Back-propagation applies the chain rule layer by layer. For tanh the local gradient is 1 minus tanh squared, and for ReLU it is 1 where z is positive.</w:t>
      </w:r>
    </w:p>
    <w:p>
      <w:pPr>
        <w:numPr>
          <w:ilvl w:val="0"/>
          <w:numId w:val="1004"/>
        </w:numPr>
        <w:pStyle w:val="Compact"/>
      </w:pPr>
      <w:r>
        <w:rPr>
          <w:bCs/>
          <w:b/>
        </w:rPr>
        <w:t xml:space="preserve">Autoencoder loss:</w:t>
      </w:r>
      <w:r>
        <w:t xml:space="preserve"> </w:t>
      </w:r>
      <w:r>
        <w:t xml:space="preserve">mean squared error, L = mean((output minus input) squared).</w:t>
      </w:r>
    </w:p>
    <w:p>
      <w:pPr>
        <w:numPr>
          <w:ilvl w:val="0"/>
          <w:numId w:val="1004"/>
        </w:numPr>
        <w:pStyle w:val="Compact"/>
      </w:pPr>
      <w:r>
        <w:rPr>
          <w:bCs/>
          <w:b/>
        </w:rPr>
        <w:t xml:space="preserve">Classifier loss:</w:t>
      </w:r>
      <w:r>
        <w:t xml:space="preserve"> </w:t>
      </w:r>
      <w:r>
        <w:t xml:space="preserve">softmax cross-entropy with class weights, L = minus the weighted mean of log p(correct class).</w:t>
      </w:r>
    </w:p>
    <w:p>
      <w:pPr>
        <w:numPr>
          <w:ilvl w:val="0"/>
          <w:numId w:val="1004"/>
        </w:numPr>
        <w:pStyle w:val="Compact"/>
      </w:pPr>
      <w:r>
        <w:rPr>
          <w:bCs/>
          <w:b/>
        </w:rPr>
        <w:t xml:space="preserve">Optimiser:</w:t>
      </w:r>
      <w:r>
        <w:t xml:space="preserve"> </w:t>
      </w:r>
      <w:r>
        <w:t xml:space="preserve">Adam with beta1 = 0.9, beta2 = 0.999, small weight decay, and a cosine learning-rate schedule from 3e-3 down to 10% of that value.</w:t>
      </w:r>
    </w:p>
    <w:p>
      <w:pPr>
        <w:numPr>
          <w:ilvl w:val="0"/>
          <w:numId w:val="1004"/>
        </w:numPr>
        <w:pStyle w:val="Compact"/>
      </w:pPr>
      <w:r>
        <w:rPr>
          <w:bCs/>
          <w:b/>
        </w:rPr>
        <w:t xml:space="preserve">Initialisation:</w:t>
      </w:r>
      <w:r>
        <w:t xml:space="preserve"> </w:t>
      </w:r>
      <w:r>
        <w:t xml:space="preserve">He initialisation for ReLU layers and Xavier initialisation for tanh and linear layers.</w:t>
      </w:r>
    </w:p>
    <w:p>
      <w:pPr>
        <w:pStyle w:val="FirstParagraph"/>
      </w:pPr>
      <w:r>
        <w:t xml:space="preserve">Correctness is proven by a gradient-check test that compares analytic gradients with numerical gradients for both loss types. A second test confirms the engine learns the XOR problem.</w:t>
      </w:r>
    </w:p>
    <w:bookmarkEnd w:id="28"/>
    <w:bookmarkStart w:id="32" w:name="brain-1-autoencoder-unknown-threats"/>
    <w:p>
      <w:pPr>
        <w:pStyle w:val="Heading2"/>
      </w:pPr>
      <w:r>
        <w:t xml:space="preserve">7.4 Brain 1: autoencoder (unknown threats)</w:t>
      </w:r>
    </w:p>
    <w:p>
      <w:pPr>
        <w:pStyle w:val="FirstParagraph"/>
      </w:pPr>
      <w:r>
        <w:t xml:space="preserve">Architecture 26, 18, 6, 18, 26 (1,220 parameters). It is trained only on normal data, split 85% training and 15% validation. The reconstruction error of a minute is how badly the network can rebuild that minute. The alert threshold is the 99.5th percentile of validation errors, so the target false-alarm rate on normal data is about 0.5%. The anomaly score is the error divided by the threshold, so a score above 1 means</w:t>
      </w:r>
      <w:r>
        <w:t xml:space="preserve"> </w:t>
      </w:r>
      <w:r>
        <w:t xml:space="preserve">“</w:t>
      </w:r>
      <w:r>
        <w:t xml:space="preserve">unusual</w:t>
      </w:r>
      <w:r>
        <w:t xml:space="preserve">”</w:t>
      </w:r>
      <w:r>
        <w:t xml:space="preserve">.</w:t>
      </w:r>
    </w:p>
    <w:p>
      <w:pPr>
        <w:pStyle w:val="CaptionedFigure"/>
      </w:pPr>
      <w:r>
        <w:drawing>
          <wp:inline>
            <wp:extent cx="4800600" cy="1824228"/>
            <wp:effectExtent b="0" l="0" r="0" t="0"/>
            <wp:docPr descr="Training curves for both brains" title="" id="30" name="Picture"/>
            <a:graphic>
              <a:graphicData uri="http://schemas.openxmlformats.org/drawingml/2006/picture">
                <pic:pic>
                  <pic:nvPicPr>
                    <pic:cNvPr descr="../assets/figures/training.png" id="31" name="Picture"/>
                    <pic:cNvPicPr>
                      <a:picLocks noChangeArrowheads="1" noChangeAspect="1"/>
                    </pic:cNvPicPr>
                  </pic:nvPicPr>
                  <pic:blipFill>
                    <a:blip r:embed="rId29"/>
                    <a:stretch>
                      <a:fillRect/>
                    </a:stretch>
                  </pic:blipFill>
                  <pic:spPr bwMode="auto">
                    <a:xfrm>
                      <a:off x="0" y="0"/>
                      <a:ext cx="4800600" cy="1824228"/>
                    </a:xfrm>
                    <a:prstGeom prst="rect">
                      <a:avLst/>
                    </a:prstGeom>
                    <a:noFill/>
                    <a:ln w="9525">
                      <a:noFill/>
                      <a:headEnd/>
                      <a:tailEnd/>
                    </a:ln>
                  </pic:spPr>
                </pic:pic>
              </a:graphicData>
            </a:graphic>
          </wp:inline>
        </w:drawing>
      </w:r>
    </w:p>
    <w:p>
      <w:pPr>
        <w:pStyle w:val="ImageCaption"/>
      </w:pPr>
      <w:r>
        <w:t xml:space="preserve">Training curves for both brains</w:t>
      </w:r>
    </w:p>
    <w:bookmarkEnd w:id="32"/>
    <w:bookmarkStart w:id="33" w:name="brain-2-classifier-known-attacks"/>
    <w:p>
      <w:pPr>
        <w:pStyle w:val="Heading2"/>
      </w:pPr>
      <w:r>
        <w:t xml:space="preserve">7.5 Brain 2: classifier (known attacks)</w:t>
      </w:r>
    </w:p>
    <w:p>
      <w:pPr>
        <w:pStyle w:val="FirstParagraph"/>
      </w:pPr>
      <w:r>
        <w:t xml:space="preserve">Architecture 26, 48, 24, 7 (2,647 parameters) with seven outputs: normal plus six attack families. Class weights are the square root of the inverse class frequency, which helps rare attacks without over-weighting them.</w:t>
      </w:r>
    </w:p>
    <w:bookmarkEnd w:id="33"/>
    <w:bookmarkStart w:id="34" w:name="fusion-and-decision-logic"/>
    <w:p>
      <w:pPr>
        <w:pStyle w:val="Heading2"/>
      </w:pPr>
      <w:r>
        <w:t xml:space="preserve">7.6 Fusion and decision logic</w:t>
      </w:r>
    </w:p>
    <w:p>
      <w:pPr>
        <w:numPr>
          <w:ilvl w:val="0"/>
          <w:numId w:val="1005"/>
        </w:numPr>
        <w:pStyle w:val="Compact"/>
      </w:pPr>
      <w:r>
        <w:t xml:space="preserve">Brain 1 raises a flag if its score is above 1. Brain 2 raises a flag if the probability of any attack is above 0.5.</w:t>
      </w:r>
    </w:p>
    <w:p>
      <w:pPr>
        <w:numPr>
          <w:ilvl w:val="0"/>
          <w:numId w:val="1005"/>
        </w:numPr>
        <w:pStyle w:val="Compact"/>
      </w:pPr>
      <w:r>
        <w:t xml:space="preserve">A minute is a raw alert if either brain flags it.</w:t>
      </w:r>
    </w:p>
    <w:p>
      <w:pPr>
        <w:numPr>
          <w:ilvl w:val="0"/>
          <w:numId w:val="1005"/>
        </w:numPr>
        <w:pStyle w:val="Compact"/>
      </w:pPr>
      <w:r>
        <w:t xml:space="preserve">The risk score (0 to 100) is the larger of a sigmoid of the autoencoder score and 100 times the attack probability.</w:t>
      </w:r>
    </w:p>
    <w:p>
      <w:pPr>
        <w:numPr>
          <w:ilvl w:val="0"/>
          <w:numId w:val="1005"/>
        </w:numPr>
        <w:pStyle w:val="Compact"/>
      </w:pPr>
      <w:r>
        <w:t xml:space="preserve">Persistence: a final alert needs a raw alert in at least two of the last three minutes, or a risk of 90 or more. This removes one-minute blips.</w:t>
      </w:r>
    </w:p>
    <w:p>
      <w:pPr>
        <w:numPr>
          <w:ilvl w:val="0"/>
          <w:numId w:val="1005"/>
        </w:numPr>
        <w:pStyle w:val="Compact"/>
      </w:pPr>
      <w:r>
        <w:t xml:space="preserve">Labelling: see the signature check below.</w:t>
      </w:r>
    </w:p>
    <w:bookmarkEnd w:id="34"/>
    <w:bookmarkStart w:id="35" w:name="X0fe769a65e8d6337378c0e60f1a627525ba6654"/>
    <w:p>
      <w:pPr>
        <w:pStyle w:val="Heading2"/>
      </w:pPr>
      <w:r>
        <w:t xml:space="preserve">7.7 Signature-consistency check (the zero-day safety net)</w:t>
      </w:r>
    </w:p>
    <w:p>
      <w:pPr>
        <w:pStyle w:val="FirstParagraph"/>
      </w:pPr>
      <w:r>
        <w:t xml:space="preserve">For each known attack, the model stores a prototype: the average share of reconstruction error contributed by each metric during that attack in training. For a new alert, the classifier’s suggested family is accepted only if the minute’s error pattern is similar (cosine similarity above a per-family threshold learned from training data) to that family’s prototype. Otherwise the alert is labelled</w:t>
      </w:r>
      <w:r>
        <w:t xml:space="preserve"> </w:t>
      </w:r>
      <w:r>
        <w:rPr>
          <w:bCs/>
          <w:b/>
        </w:rPr>
        <w:t xml:space="preserve">unknown_anomaly</w:t>
      </w:r>
      <w:r>
        <w:t xml:space="preserve">. This prevents a never-seen attack from being confidently given the wrong name.</w:t>
      </w:r>
    </w:p>
    <w:bookmarkEnd w:id="35"/>
    <w:bookmarkStart w:id="39" w:name="explainability"/>
    <w:p>
      <w:pPr>
        <w:pStyle w:val="Heading2"/>
      </w:pPr>
      <w:r>
        <w:t xml:space="preserve">7.8 Explainability</w:t>
      </w:r>
    </w:p>
    <w:p>
      <w:pPr>
        <w:pStyle w:val="FirstParagraph"/>
      </w:pPr>
      <w:r>
        <w:t xml:space="preserve">The autoencoder’s error is split per metric. The metrics that carry the largest share of the error (at least 5% each, at most three) are reported with their observed value and the value the autoencoder expected. The</w:t>
      </w:r>
      <w:r>
        <w:t xml:space="preserve"> </w:t>
      </w:r>
      <w:r>
        <w:t xml:space="preserve">“</w:t>
      </w:r>
      <w:r>
        <w:t xml:space="preserve">expected</w:t>
      </w:r>
      <w:r>
        <w:t xml:space="preserve">”</w:t>
      </w:r>
      <w:r>
        <w:t xml:space="preserve"> </w:t>
      </w:r>
      <w:r>
        <w:t xml:space="preserve">value is the network’s reconstruction, so it is a model estimate rather than a ground-truth baseline.</w:t>
      </w:r>
    </w:p>
    <w:p>
      <w:pPr>
        <w:pStyle w:val="CaptionedFigure"/>
      </w:pPr>
      <w:r>
        <w:drawing>
          <wp:inline>
            <wp:extent cx="5067300" cy="1719262"/>
            <wp:effectExtent b="0" l="0" r="0" t="0"/>
            <wp:docPr descr="Which metrics caused each alert" title="" id="37" name="Picture"/>
            <a:graphic>
              <a:graphicData uri="http://schemas.openxmlformats.org/drawingml/2006/picture">
                <pic:pic>
                  <pic:nvPicPr>
                    <pic:cNvPr descr="../assets/figures/explain.png" id="38" name="Picture"/>
                    <pic:cNvPicPr>
                      <a:picLocks noChangeArrowheads="1" noChangeAspect="1"/>
                    </pic:cNvPicPr>
                  </pic:nvPicPr>
                  <pic:blipFill>
                    <a:blip r:embed="rId36"/>
                    <a:stretch>
                      <a:fillRect/>
                    </a:stretch>
                  </pic:blipFill>
                  <pic:spPr bwMode="auto">
                    <a:xfrm>
                      <a:off x="0" y="0"/>
                      <a:ext cx="5067300" cy="1719262"/>
                    </a:xfrm>
                    <a:prstGeom prst="rect">
                      <a:avLst/>
                    </a:prstGeom>
                    <a:noFill/>
                    <a:ln w="9525">
                      <a:noFill/>
                      <a:headEnd/>
                      <a:tailEnd/>
                    </a:ln>
                  </pic:spPr>
                </pic:pic>
              </a:graphicData>
            </a:graphic>
          </wp:inline>
        </w:drawing>
      </w:r>
    </w:p>
    <w:p>
      <w:pPr>
        <w:pStyle w:val="ImageCaption"/>
      </w:pPr>
      <w:r>
        <w:t xml:space="preserve">Which metrics caused each alert</w:t>
      </w:r>
    </w:p>
    <w:bookmarkEnd w:id="39"/>
    <w:bookmarkStart w:id="40" w:name="guardian-agent-bounded-autonomy"/>
    <w:p>
      <w:pPr>
        <w:pStyle w:val="Heading2"/>
      </w:pPr>
      <w:r>
        <w:t xml:space="preserve">7.9 Guardian agent (bounded autonomy)</w:t>
      </w:r>
    </w:p>
    <w:p>
      <w:pPr>
        <w:pStyle w:val="FirstParagraph"/>
      </w:pPr>
      <w:r>
        <w:t xml:space="preserve">Consecutive alert minutes are merged into an incident. A playbook maps each incident type to a severity and a list of actions, each marked either safe or needing human approval. Safe actions (snapshots, tickets, paging, higher logging) run automatically. Risky actions (blocking IPs, isolating a host, quarantine) wait until a human approves. Every action is written to an audit log. Actions are simulated in this version.</w:t>
      </w:r>
    </w:p>
    <w:bookmarkEnd w:id="40"/>
    <w:bookmarkStart w:id="41" w:name="drift-watchdog"/>
    <w:p>
      <w:pPr>
        <w:pStyle w:val="Heading2"/>
      </w:pPr>
      <w:r>
        <w:t xml:space="preserve">7.10 Drift watchdog</w:t>
      </w:r>
    </w:p>
    <w:p>
      <w:pPr>
        <w:pStyle w:val="FirstParagraph"/>
      </w:pPr>
      <w:r>
        <w:t xml:space="preserve">The Population Stability Index compares the live distribution of each metric with the training distribution using ten quantile bins. PSI below 0.1 is stable, 0.1 to 0.25 is a warning, and above 0.25 means retrain.</w:t>
      </w:r>
    </w:p>
    <w:bookmarkEnd w:id="41"/>
    <w:bookmarkEnd w:id="42"/>
    <w:bookmarkStart w:id="44" w:name="implementation"/>
    <w:p>
      <w:pPr>
        <w:pStyle w:val="Heading1"/>
      </w:pPr>
      <w:r>
        <w:t xml:space="preserve">8. Implementation</w:t>
      </w:r>
    </w:p>
    <w:tbl>
      <w:tblPr>
        <w:tblStyle w:val="Table"/>
        <w:tblW w:type="pct" w:w="500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3960"/>
        <w:gridCol w:w="3960"/>
      </w:tblGrid>
      <w:tr>
        <w:trPr>
          <w:tblHeader w:val="true"/>
        </w:trPr>
        <w:tc>
          <w:tcPr>
            <w:shd w:val="clear" w:fill="0B3A5B"/>
          </w:tcPr>
          <w:p>
            <w:pPr>
              <w:pStyle w:val="Compact"/>
              <w:spacing w:after="40" w:before="40"/>
              <w:jc w:val="left"/>
            </w:pPr>
            <w:r>
              <w:rPr>
                <w:b/>
                <w:color w:val="FFFFFF"/>
                <w:sz w:val="20"/>
              </w:rPr>
              <w:t xml:space="preserve">Item</w:t>
            </w:r>
          </w:p>
        </w:tc>
        <w:tc>
          <w:tcPr>
            <w:shd w:val="clear" w:fill="0B3A5B"/>
          </w:tcPr>
          <w:p>
            <w:pPr>
              <w:pStyle w:val="Compact"/>
              <w:spacing w:after="40" w:before="40"/>
              <w:jc w:val="left"/>
            </w:pPr>
            <w:r>
              <w:rPr>
                <w:b/>
                <w:color w:val="FFFFFF"/>
                <w:sz w:val="20"/>
              </w:rPr>
              <w:t xml:space="preserve">Detail</w:t>
            </w:r>
          </w:p>
        </w:tc>
      </w:tr>
      <w:tr>
        <w:tc>
          <w:tcPr/>
          <w:p>
            <w:pPr>
              <w:pStyle w:val="Compact"/>
              <w:spacing w:after="40" w:before="40"/>
              <w:jc w:val="left"/>
            </w:pPr>
            <w:r>
              <w:rPr>
                <w:sz w:val="20"/>
              </w:rPr>
              <w:t xml:space="preserve">Language</w:t>
            </w:r>
          </w:p>
        </w:tc>
        <w:tc>
          <w:tcPr/>
          <w:p>
            <w:pPr>
              <w:pStyle w:val="Compact"/>
              <w:spacing w:after="40" w:before="40"/>
              <w:jc w:val="left"/>
            </w:pPr>
            <w:r>
              <w:rPr>
                <w:sz w:val="20"/>
              </w:rPr>
              <w:t xml:space="preserve">Python 3</w:t>
            </w:r>
          </w:p>
        </w:tc>
      </w:tr>
      <w:tr>
        <w:tc>
          <w:tcPr>
            <w:shd w:val="clear" w:fill="F1F5FA"/>
          </w:tcPr>
          <w:p>
            <w:pPr>
              <w:pStyle w:val="Compact"/>
              <w:spacing w:after="40" w:before="40"/>
              <w:jc w:val="left"/>
            </w:pPr>
            <w:r>
              <w:rPr>
                <w:sz w:val="20"/>
              </w:rPr>
              <w:t xml:space="preserve">Libraries (all free)</w:t>
            </w:r>
          </w:p>
        </w:tc>
        <w:tc>
          <w:tcPr>
            <w:shd w:val="clear" w:fill="F1F5FA"/>
          </w:tcPr>
          <w:p>
            <w:pPr>
              <w:pStyle w:val="Compact"/>
              <w:spacing w:after="40" w:before="40"/>
              <w:jc w:val="left"/>
            </w:pPr>
            <w:r>
              <w:rPr>
                <w:sz w:val="20"/>
              </w:rPr>
              <w:t xml:space="preserve">NumPy, pandas, Matplotlib, scikit-learn (metrics and Isolation-Forest baseline only), Flask (API only)</w:t>
            </w:r>
          </w:p>
        </w:tc>
      </w:tr>
      <w:tr>
        <w:tc>
          <w:tcPr/>
          <w:p>
            <w:pPr>
              <w:pStyle w:val="Compact"/>
              <w:spacing w:after="40" w:before="40"/>
              <w:jc w:val="left"/>
            </w:pPr>
            <w:r>
              <w:rPr>
                <w:sz w:val="20"/>
              </w:rPr>
              <w:t xml:space="preserve">Training time</w:t>
            </w:r>
          </w:p>
        </w:tc>
        <w:tc>
          <w:tcPr/>
          <w:p>
            <w:pPr>
              <w:pStyle w:val="Compact"/>
              <w:spacing w:after="40" w:before="40"/>
              <w:jc w:val="left"/>
            </w:pPr>
            <w:r>
              <w:rPr>
                <w:sz w:val="20"/>
              </w:rPr>
              <w:t xml:space="preserve">about 4 seconds for both brains on one CPU core</w:t>
            </w:r>
          </w:p>
        </w:tc>
      </w:tr>
      <w:tr>
        <w:tc>
          <w:tcPr>
            <w:shd w:val="clear" w:fill="F1F5FA"/>
          </w:tcPr>
          <w:p>
            <w:pPr>
              <w:pStyle w:val="Compact"/>
              <w:spacing w:after="40" w:before="40"/>
              <w:jc w:val="left"/>
            </w:pPr>
            <w:r>
              <w:rPr>
                <w:sz w:val="20"/>
              </w:rPr>
              <w:t xml:space="preserve">Full pipeline</w:t>
            </w:r>
          </w:p>
        </w:tc>
        <w:tc>
          <w:tcPr>
            <w:shd w:val="clear" w:fill="F1F5FA"/>
          </w:tcPr>
          <w:p>
            <w:pPr>
              <w:pStyle w:val="Compact"/>
              <w:spacing w:after="40" w:before="40"/>
              <w:jc w:val="left"/>
            </w:pPr>
            <w:r>
              <w:rPr>
                <w:sz w:val="20"/>
              </w:rPr>
              <w:t xml:space="preserve">about 11 seconds, including the zero-day experiment</w:t>
            </w:r>
          </w:p>
        </w:tc>
      </w:tr>
      <w:tr>
        <w:tc>
          <w:tcPr/>
          <w:p>
            <w:pPr>
              <w:pStyle w:val="Compact"/>
              <w:spacing w:after="40" w:before="40"/>
              <w:jc w:val="left"/>
            </w:pPr>
            <w:r>
              <w:rPr>
                <w:sz w:val="20"/>
              </w:rPr>
              <w:t xml:space="preserve">Model size</w:t>
            </w:r>
          </w:p>
        </w:tc>
        <w:tc>
          <w:tcPr/>
          <w:p>
            <w:pPr>
              <w:pStyle w:val="Compact"/>
              <w:spacing w:after="40" w:before="40"/>
              <w:jc w:val="left"/>
            </w:pPr>
            <w:r>
              <w:rPr>
                <w:sz w:val="20"/>
              </w:rPr>
              <w:t xml:space="preserve">34 KB (3,867 parameters)</w:t>
            </w:r>
          </w:p>
        </w:tc>
      </w:tr>
      <w:tr>
        <w:tc>
          <w:tcPr>
            <w:shd w:val="clear" w:fill="F1F5FA"/>
          </w:tcPr>
          <w:p>
            <w:pPr>
              <w:pStyle w:val="Compact"/>
              <w:spacing w:after="40" w:before="40"/>
              <w:jc w:val="left"/>
            </w:pPr>
            <w:r>
              <w:rPr>
                <w:sz w:val="20"/>
              </w:rPr>
              <w:t xml:space="preserve">Inference</w:t>
            </w:r>
          </w:p>
        </w:tc>
        <w:tc>
          <w:tcPr>
            <w:shd w:val="clear" w:fill="F1F5FA"/>
          </w:tcPr>
          <w:p>
            <w:pPr>
              <w:pStyle w:val="Compact"/>
              <w:spacing w:after="40" w:before="40"/>
              <w:jc w:val="left"/>
            </w:pPr>
            <w:r>
              <w:rPr>
                <w:sz w:val="20"/>
              </w:rPr>
              <w:t xml:space="preserve">about 0.004 ms per minute-window on one CPU core</w:t>
            </w:r>
          </w:p>
        </w:tc>
      </w:tr>
    </w:tbl>
    <w:bookmarkStart w:id="43" w:name="how-to-run"/>
    <w:p>
      <w:pPr>
        <w:pStyle w:val="Heading2"/>
      </w:pPr>
      <w:r>
        <w:t xml:space="preserve">How to run</w:t>
      </w:r>
    </w:p>
    <w:p>
      <w:pPr>
        <w:numPr>
          <w:ilvl w:val="0"/>
          <w:numId w:val="1006"/>
        </w:numPr>
        <w:pStyle w:val="Compact"/>
      </w:pPr>
      <w:r>
        <w:t xml:space="preserve">Install:</w:t>
      </w:r>
      <w:r>
        <w:t xml:space="preserve"> </w:t>
      </w:r>
      <w:r>
        <w:rPr>
          <w:rStyle w:val="VerbatimChar"/>
        </w:rPr>
        <w:t xml:space="preserve">pip install -r requirements.txt</w:t>
      </w:r>
    </w:p>
    <w:p>
      <w:pPr>
        <w:numPr>
          <w:ilvl w:val="0"/>
          <w:numId w:val="1006"/>
        </w:numPr>
        <w:pStyle w:val="Compact"/>
      </w:pPr>
      <w:r>
        <w:t xml:space="preserve">Train, evaluate and build the report:</w:t>
      </w:r>
      <w:r>
        <w:t xml:space="preserve"> </w:t>
      </w:r>
      <w:r>
        <w:rPr>
          <w:rStyle w:val="VerbatimChar"/>
        </w:rPr>
        <w:t xml:space="preserve">python run_all.py</w:t>
      </w:r>
      <w:r>
        <w:t xml:space="preserve"> </w:t>
      </w:r>
      <w:r>
        <w:t xml:space="preserve">(use</w:t>
      </w:r>
      <w:r>
        <w:t xml:space="preserve"> </w:t>
      </w:r>
      <w:r>
        <w:rPr>
          <w:rStyle w:val="VerbatimChar"/>
        </w:rPr>
        <w:t xml:space="preserve">--quick</w:t>
      </w:r>
      <w:r>
        <w:t xml:space="preserve"> </w:t>
      </w:r>
      <w:r>
        <w:t xml:space="preserve">for a 3-second smoke test), then open</w:t>
      </w:r>
      <w:r>
        <w:t xml:space="preserve"> </w:t>
      </w:r>
      <w:r>
        <w:rPr>
          <w:rStyle w:val="VerbatimChar"/>
        </w:rPr>
        <w:t xml:space="preserve">outputs/report.html</w:t>
      </w:r>
      <w:r>
        <w:t xml:space="preserve">.</w:t>
      </w:r>
    </w:p>
    <w:p>
      <w:pPr>
        <w:numPr>
          <w:ilvl w:val="0"/>
          <w:numId w:val="1006"/>
        </w:numPr>
        <w:pStyle w:val="Compact"/>
      </w:pPr>
      <w:r>
        <w:t xml:space="preserve">Run the tests:</w:t>
      </w:r>
      <w:r>
        <w:t xml:space="preserve"> </w:t>
      </w:r>
      <w:r>
        <w:rPr>
          <w:rStyle w:val="VerbatimChar"/>
        </w:rPr>
        <w:t xml:space="preserve">python -m unittest discover -s tests -v</w:t>
      </w:r>
    </w:p>
    <w:p>
      <w:pPr>
        <w:numPr>
          <w:ilvl w:val="0"/>
          <w:numId w:val="1006"/>
        </w:numPr>
        <w:pStyle w:val="Compact"/>
      </w:pPr>
      <w:r>
        <w:t xml:space="preserve">Start the API:</w:t>
      </w:r>
      <w:r>
        <w:t xml:space="preserve"> </w:t>
      </w:r>
      <w:r>
        <w:rPr>
          <w:rStyle w:val="VerbatimChar"/>
        </w:rPr>
        <w:t xml:space="preserve">python api.py</w:t>
      </w:r>
      <w:r>
        <w:t xml:space="preserve">, then send</w:t>
      </w:r>
      <w:r>
        <w:t xml:space="preserve"> </w:t>
      </w:r>
      <w:r>
        <w:rPr>
          <w:rStyle w:val="VerbatimChar"/>
        </w:rPr>
        <w:t xml:space="preserve">sample_request.json</w:t>
      </w:r>
      <w:r>
        <w:t xml:space="preserve"> </w:t>
      </w:r>
      <w:r>
        <w:t xml:space="preserve">to</w:t>
      </w:r>
      <w:r>
        <w:t xml:space="preserve"> </w:t>
      </w:r>
      <w:r>
        <w:rPr>
          <w:rStyle w:val="VerbatimChar"/>
        </w:rPr>
        <w:t xml:space="preserve">http://127.0.0.1:5000/predict</w:t>
      </w:r>
      <w:r>
        <w:t xml:space="preserve">.</w:t>
      </w:r>
    </w:p>
    <w:bookmarkEnd w:id="43"/>
    <w:bookmarkEnd w:id="44"/>
    <w:bookmarkStart w:id="66" w:name="testing-and-results"/>
    <w:p>
      <w:pPr>
        <w:pStyle w:val="Heading1"/>
      </w:pPr>
      <w:r>
        <w:t xml:space="preserve">9. Testing and results</w:t>
      </w:r>
    </w:p>
    <w:bookmarkStart w:id="45" w:name="automated-tests-12-of-12-pass"/>
    <w:p>
      <w:pPr>
        <w:pStyle w:val="Heading2"/>
      </w:pPr>
      <w:r>
        <w:t xml:space="preserve">9.1 Automated tests (12 of 12 pass)</w:t>
      </w:r>
    </w:p>
    <w:tbl>
      <w:tblPr>
        <w:tblStyle w:val="Table"/>
        <w:tblW w:type="pct" w:w="500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3960"/>
        <w:gridCol w:w="3960"/>
      </w:tblGrid>
      <w:tr>
        <w:trPr>
          <w:tblHeader w:val="true"/>
        </w:trPr>
        <w:tc>
          <w:tcPr>
            <w:shd w:val="clear" w:fill="0B3A5B"/>
          </w:tcPr>
          <w:p>
            <w:pPr>
              <w:pStyle w:val="Compact"/>
              <w:spacing w:after="40" w:before="40"/>
              <w:jc w:val="left"/>
            </w:pPr>
            <w:r>
              <w:rPr>
                <w:b/>
                <w:color w:val="FFFFFF"/>
                <w:sz w:val="20"/>
              </w:rPr>
              <w:t xml:space="preserve">Test</w:t>
            </w:r>
          </w:p>
        </w:tc>
        <w:tc>
          <w:tcPr>
            <w:shd w:val="clear" w:fill="0B3A5B"/>
          </w:tcPr>
          <w:p>
            <w:pPr>
              <w:pStyle w:val="Compact"/>
              <w:spacing w:after="40" w:before="40"/>
              <w:jc w:val="left"/>
            </w:pPr>
            <w:r>
              <w:rPr>
                <w:b/>
                <w:color w:val="FFFFFF"/>
                <w:sz w:val="20"/>
              </w:rPr>
              <w:t xml:space="preserve">What it proves</w:t>
            </w:r>
          </w:p>
        </w:tc>
      </w:tr>
      <w:tr>
        <w:tc>
          <w:tcPr/>
          <w:p>
            <w:pPr>
              <w:pStyle w:val="Compact"/>
              <w:spacing w:after="40" w:before="40"/>
              <w:jc w:val="left"/>
            </w:pPr>
            <w:r>
              <w:rPr>
                <w:sz w:val="20"/>
              </w:rPr>
              <w:t xml:space="preserve">Gradient check (MSE and cross-entropy)</w:t>
            </w:r>
          </w:p>
        </w:tc>
        <w:tc>
          <w:tcPr/>
          <w:p>
            <w:pPr>
              <w:pStyle w:val="Compact"/>
              <w:spacing w:after="40" w:before="40"/>
              <w:jc w:val="left"/>
            </w:pPr>
            <w:r>
              <w:rPr>
                <w:sz w:val="20"/>
              </w:rPr>
              <w:t xml:space="preserve">Back-propagation matches numerical gradients</w:t>
            </w:r>
          </w:p>
        </w:tc>
      </w:tr>
      <w:tr>
        <w:tc>
          <w:tcPr>
            <w:shd w:val="clear" w:fill="F1F5FA"/>
          </w:tcPr>
          <w:p>
            <w:pPr>
              <w:pStyle w:val="Compact"/>
              <w:spacing w:after="40" w:before="40"/>
              <w:jc w:val="left"/>
            </w:pPr>
            <w:r>
              <w:rPr>
                <w:sz w:val="20"/>
              </w:rPr>
              <w:t xml:space="preserve">Learns XOR</w:t>
            </w:r>
          </w:p>
        </w:tc>
        <w:tc>
          <w:tcPr>
            <w:shd w:val="clear" w:fill="F1F5FA"/>
          </w:tcPr>
          <w:p>
            <w:pPr>
              <w:pStyle w:val="Compact"/>
              <w:spacing w:after="40" w:before="40"/>
              <w:jc w:val="left"/>
            </w:pPr>
            <w:r>
              <w:rPr>
                <w:sz w:val="20"/>
              </w:rPr>
              <w:t xml:space="preserve">The engine can learn a non-linear function</w:t>
            </w:r>
          </w:p>
        </w:tc>
      </w:tr>
      <w:tr>
        <w:tc>
          <w:tcPr/>
          <w:p>
            <w:pPr>
              <w:pStyle w:val="Compact"/>
              <w:spacing w:after="40" w:before="40"/>
              <w:jc w:val="left"/>
            </w:pPr>
            <w:r>
              <w:rPr>
                <w:sz w:val="20"/>
              </w:rPr>
              <w:t xml:space="preserve">Simulator</w:t>
            </w:r>
          </w:p>
        </w:tc>
        <w:tc>
          <w:tcPr/>
          <w:p>
            <w:pPr>
              <w:pStyle w:val="Compact"/>
              <w:spacing w:after="40" w:before="40"/>
              <w:jc w:val="left"/>
            </w:pPr>
            <w:r>
              <w:rPr>
                <w:sz w:val="20"/>
              </w:rPr>
              <w:t xml:space="preserve">Deterministic output, correct columns, no negative values, valid labels</w:t>
            </w:r>
          </w:p>
        </w:tc>
      </w:tr>
      <w:tr>
        <w:tc>
          <w:tcPr>
            <w:shd w:val="clear" w:fill="F1F5FA"/>
          </w:tcPr>
          <w:p>
            <w:pPr>
              <w:pStyle w:val="Compact"/>
              <w:spacing w:after="40" w:before="40"/>
              <w:jc w:val="left"/>
            </w:pPr>
            <w:r>
              <w:rPr>
                <w:sz w:val="20"/>
              </w:rPr>
              <w:t xml:space="preserve">Detection quality</w:t>
            </w:r>
          </w:p>
        </w:tc>
        <w:tc>
          <w:tcPr>
            <w:shd w:val="clear" w:fill="F1F5FA"/>
          </w:tcPr>
          <w:p>
            <w:pPr>
              <w:pStyle w:val="Compact"/>
              <w:spacing w:after="40" w:before="40"/>
              <w:jc w:val="left"/>
            </w:pPr>
            <w:r>
              <w:rPr>
                <w:sz w:val="20"/>
              </w:rPr>
              <w:t xml:space="preserve">Fused AUC above 0.97, recall above 90%, false-alarm rate below 3%</w:t>
            </w:r>
          </w:p>
        </w:tc>
      </w:tr>
      <w:tr>
        <w:tc>
          <w:tcPr/>
          <w:p>
            <w:pPr>
              <w:pStyle w:val="Compact"/>
              <w:spacing w:after="40" w:before="40"/>
              <w:jc w:val="left"/>
            </w:pPr>
            <w:r>
              <w:rPr>
                <w:sz w:val="20"/>
              </w:rPr>
              <w:t xml:space="preserve">Every attack family detected</w:t>
            </w:r>
          </w:p>
        </w:tc>
        <w:tc>
          <w:tcPr/>
          <w:p>
            <w:pPr>
              <w:pStyle w:val="Compact"/>
              <w:spacing w:after="40" w:before="40"/>
              <w:jc w:val="left"/>
            </w:pPr>
            <w:r>
              <w:rPr>
                <w:sz w:val="20"/>
              </w:rPr>
              <w:t xml:space="preserve">Alert recall above 80% for each family</w:t>
            </w:r>
          </w:p>
        </w:tc>
      </w:tr>
      <w:tr>
        <w:tc>
          <w:tcPr>
            <w:shd w:val="clear" w:fill="F1F5FA"/>
          </w:tcPr>
          <w:p>
            <w:pPr>
              <w:pStyle w:val="Compact"/>
              <w:spacing w:after="40" w:before="40"/>
              <w:jc w:val="left"/>
            </w:pPr>
            <w:r>
              <w:rPr>
                <w:sz w:val="20"/>
              </w:rPr>
              <w:t xml:space="preserve">Save and load</w:t>
            </w:r>
          </w:p>
        </w:tc>
        <w:tc>
          <w:tcPr>
            <w:shd w:val="clear" w:fill="F1F5FA"/>
          </w:tcPr>
          <w:p>
            <w:pPr>
              <w:pStyle w:val="Compact"/>
              <w:spacing w:after="40" w:before="40"/>
              <w:jc w:val="left"/>
            </w:pPr>
            <w:r>
              <w:rPr>
                <w:sz w:val="20"/>
              </w:rPr>
              <w:t xml:space="preserve">Reloaded model gives identical risk scores and labels</w:t>
            </w:r>
          </w:p>
        </w:tc>
      </w:tr>
      <w:tr>
        <w:tc>
          <w:tcPr/>
          <w:p>
            <w:pPr>
              <w:pStyle w:val="Compact"/>
              <w:spacing w:after="40" w:before="40"/>
              <w:jc w:val="left"/>
            </w:pPr>
            <w:r>
              <w:rPr>
                <w:sz w:val="20"/>
              </w:rPr>
              <w:t xml:space="preserve">Explanation</w:t>
            </w:r>
          </w:p>
        </w:tc>
        <w:tc>
          <w:tcPr/>
          <w:p>
            <w:pPr>
              <w:pStyle w:val="Compact"/>
              <w:spacing w:after="40" w:before="40"/>
              <w:jc w:val="left"/>
            </w:pPr>
            <w:r>
              <w:rPr>
                <w:sz w:val="20"/>
              </w:rPr>
              <w:t xml:space="preserve">The top metric of each incident matches the attack’s real signature</w:t>
            </w:r>
          </w:p>
        </w:tc>
      </w:tr>
      <w:tr>
        <w:tc>
          <w:tcPr>
            <w:shd w:val="clear" w:fill="F1F5FA"/>
          </w:tcPr>
          <w:p>
            <w:pPr>
              <w:pStyle w:val="Compact"/>
              <w:spacing w:after="40" w:before="40"/>
              <w:jc w:val="left"/>
            </w:pPr>
            <w:r>
              <w:rPr>
                <w:sz w:val="20"/>
              </w:rPr>
              <w:t xml:space="preserve">Guardian</w:t>
            </w:r>
          </w:p>
        </w:tc>
        <w:tc>
          <w:tcPr>
            <w:shd w:val="clear" w:fill="F1F5FA"/>
          </w:tcPr>
          <w:p>
            <w:pPr>
              <w:pStyle w:val="Compact"/>
              <w:spacing w:after="40" w:before="40"/>
              <w:jc w:val="left"/>
            </w:pPr>
            <w:r>
              <w:rPr>
                <w:sz w:val="20"/>
              </w:rPr>
              <w:t xml:space="preserve">Risky actions wait for approval and are audit-logged</w:t>
            </w:r>
          </w:p>
        </w:tc>
      </w:tr>
      <w:tr>
        <w:tc>
          <w:tcPr/>
          <w:p>
            <w:pPr>
              <w:pStyle w:val="Compact"/>
              <w:spacing w:after="40" w:before="40"/>
              <w:jc w:val="left"/>
            </w:pPr>
            <w:r>
              <w:rPr>
                <w:sz w:val="20"/>
              </w:rPr>
              <w:t xml:space="preserve">Zero-day</w:t>
            </w:r>
          </w:p>
        </w:tc>
        <w:tc>
          <w:tcPr/>
          <w:p>
            <w:pPr>
              <w:pStyle w:val="Compact"/>
              <w:spacing w:after="40" w:before="40"/>
              <w:jc w:val="left"/>
            </w:pPr>
            <w:r>
              <w:rPr>
                <w:sz w:val="20"/>
              </w:rPr>
              <w:t xml:space="preserve">Unseen ransomware is flagged and never mislabelled as a known attack</w:t>
            </w:r>
          </w:p>
        </w:tc>
      </w:tr>
      <w:tr>
        <w:tc>
          <w:tcPr>
            <w:shd w:val="clear" w:fill="F1F5FA"/>
          </w:tcPr>
          <w:p>
            <w:pPr>
              <w:pStyle w:val="Compact"/>
              <w:spacing w:after="40" w:before="40"/>
              <w:jc w:val="left"/>
            </w:pPr>
            <w:r>
              <w:rPr>
                <w:sz w:val="20"/>
              </w:rPr>
              <w:t xml:space="preserve">Drift watchdog</w:t>
            </w:r>
          </w:p>
        </w:tc>
        <w:tc>
          <w:tcPr>
            <w:shd w:val="clear" w:fill="F1F5FA"/>
          </w:tcPr>
          <w:p>
            <w:pPr>
              <w:pStyle w:val="Compact"/>
              <w:spacing w:after="40" w:before="40"/>
              <w:jc w:val="left"/>
            </w:pPr>
            <w:r>
              <w:rPr>
                <w:sz w:val="20"/>
              </w:rPr>
              <w:t xml:space="preserve">Stable data reads STABLE, shifted data reads DRIFT on the right metric</w:t>
            </w:r>
          </w:p>
        </w:tc>
      </w:tr>
      <w:tr>
        <w:tc>
          <w:tcPr/>
          <w:p>
            <w:pPr>
              <w:pStyle w:val="Compact"/>
              <w:spacing w:after="40" w:before="40"/>
              <w:jc w:val="left"/>
            </w:pPr>
            <w:r>
              <w:rPr>
                <w:sz w:val="20"/>
              </w:rPr>
              <w:t xml:space="preserve">Edge speed</w:t>
            </w:r>
          </w:p>
        </w:tc>
        <w:tc>
          <w:tcPr/>
          <w:p>
            <w:pPr>
              <w:pStyle w:val="Compact"/>
              <w:spacing w:after="40" w:before="40"/>
              <w:jc w:val="left"/>
            </w:pPr>
            <w:r>
              <w:rPr>
                <w:sz w:val="20"/>
              </w:rPr>
              <w:t xml:space="preserve">Under 1 ms per minute-window</w:t>
            </w:r>
          </w:p>
        </w:tc>
      </w:tr>
      <w:tr>
        <w:tc>
          <w:tcPr>
            <w:shd w:val="clear" w:fill="F1F5FA"/>
          </w:tcPr>
          <w:p>
            <w:pPr>
              <w:pStyle w:val="Compact"/>
              <w:spacing w:after="40" w:before="40"/>
              <w:jc w:val="left"/>
            </w:pPr>
            <w:r>
              <w:rPr>
                <w:sz w:val="20"/>
              </w:rPr>
              <w:t xml:space="preserve">REST API</w:t>
            </w:r>
          </w:p>
        </w:tc>
        <w:tc>
          <w:tcPr>
            <w:shd w:val="clear" w:fill="F1F5FA"/>
          </w:tcPr>
          <w:p>
            <w:pPr>
              <w:pStyle w:val="Compact"/>
              <w:spacing w:after="40" w:before="40"/>
              <w:jc w:val="left"/>
            </w:pPr>
            <w:r>
              <w:rPr>
                <w:sz w:val="20"/>
              </w:rPr>
              <w:t xml:space="preserve">Health check, input validation, DDoS alert with incident plan, calm window with no alert</w:t>
            </w:r>
          </w:p>
        </w:tc>
      </w:tr>
    </w:tbl>
    <w:p>
      <w:pPr>
        <w:pStyle w:val="BodyText"/>
      </w:pPr>
      <w:r>
        <w:t xml:space="preserve">The project was also verified by unzipping the delivered package into a clean folder, running the full pipeline and tests, and calling the live API.</w:t>
      </w:r>
    </w:p>
    <w:bookmarkEnd w:id="45"/>
    <w:bookmarkStart w:id="52" w:name="detection-quality-10-unseen-days"/>
    <w:p>
      <w:pPr>
        <w:pStyle w:val="Heading2"/>
      </w:pPr>
      <w:r>
        <w:t xml:space="preserve">9.2 Detection quality (10 unseen days)</w:t>
      </w:r>
    </w:p>
    <w:tbl>
      <w:tblPr>
        <w:tblStyle w:val="Table"/>
        <w:tblW w:type="auto" w:w="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3960"/>
        <w:gridCol w:w="3960"/>
      </w:tblGrid>
      <w:tr>
        <w:trPr>
          <w:tblHeader w:val="true"/>
        </w:trPr>
        <w:tc>
          <w:tcPr>
            <w:shd w:val="clear" w:fill="0B3A5B"/>
          </w:tcPr>
          <w:p>
            <w:pPr>
              <w:pStyle w:val="Compact"/>
              <w:spacing w:after="40" w:before="40"/>
              <w:jc w:val="left"/>
            </w:pPr>
            <w:r>
              <w:rPr>
                <w:b/>
                <w:color w:val="FFFFFF"/>
                <w:sz w:val="20"/>
              </w:rPr>
              <w:t xml:space="preserve">Score</w:t>
            </w:r>
          </w:p>
        </w:tc>
        <w:tc>
          <w:tcPr>
            <w:shd w:val="clear" w:fill="0B3A5B"/>
          </w:tcPr>
          <w:p>
            <w:pPr>
              <w:pStyle w:val="Compact"/>
              <w:spacing w:after="40" w:before="40"/>
              <w:jc w:val="left"/>
            </w:pPr>
            <w:r>
              <w:rPr>
                <w:b/>
                <w:color w:val="FFFFFF"/>
                <w:sz w:val="20"/>
              </w:rPr>
              <w:t xml:space="preserve">ROC-AUC</w:t>
            </w:r>
          </w:p>
        </w:tc>
      </w:tr>
      <w:tr>
        <w:tc>
          <w:tcPr/>
          <w:p>
            <w:pPr>
              <w:pStyle w:val="Compact"/>
              <w:spacing w:after="40" w:before="40"/>
              <w:jc w:val="left"/>
            </w:pPr>
            <w:r>
              <w:rPr>
                <w:sz w:val="20"/>
              </w:rPr>
              <w:t xml:space="preserve">Classifier only</w:t>
            </w:r>
          </w:p>
        </w:tc>
        <w:tc>
          <w:tcPr/>
          <w:p>
            <w:pPr>
              <w:pStyle w:val="Compact"/>
              <w:spacing w:after="40" w:before="40"/>
              <w:jc w:val="left"/>
            </w:pPr>
            <w:r>
              <w:rPr>
                <w:sz w:val="20"/>
              </w:rPr>
              <w:t xml:space="preserve">0.9999</w:t>
            </w:r>
          </w:p>
        </w:tc>
      </w:tr>
      <w:tr>
        <w:tc>
          <w:tcPr>
            <w:shd w:val="clear" w:fill="F1F5FA"/>
          </w:tcPr>
          <w:p>
            <w:pPr>
              <w:pStyle w:val="Compact"/>
              <w:spacing w:after="40" w:before="40"/>
              <w:jc w:val="left"/>
            </w:pPr>
            <w:r>
              <w:rPr>
                <w:sz w:val="20"/>
              </w:rPr>
              <w:t xml:space="preserve">AegisNet fused risk</w:t>
            </w:r>
          </w:p>
        </w:tc>
        <w:tc>
          <w:tcPr>
            <w:shd w:val="clear" w:fill="F1F5FA"/>
          </w:tcPr>
          <w:p>
            <w:pPr>
              <w:pStyle w:val="Compact"/>
              <w:spacing w:after="40" w:before="40"/>
              <w:jc w:val="left"/>
            </w:pPr>
            <w:r>
              <w:rPr>
                <w:sz w:val="20"/>
              </w:rPr>
              <w:t xml:space="preserve">0.995</w:t>
            </w:r>
          </w:p>
        </w:tc>
      </w:tr>
      <w:tr>
        <w:tc>
          <w:tcPr/>
          <w:p>
            <w:pPr>
              <w:pStyle w:val="Compact"/>
              <w:spacing w:after="40" w:before="40"/>
              <w:jc w:val="left"/>
            </w:pPr>
            <w:r>
              <w:rPr>
                <w:sz w:val="20"/>
              </w:rPr>
              <w:t xml:space="preserve">Autoencoder only</w:t>
            </w:r>
          </w:p>
        </w:tc>
        <w:tc>
          <w:tcPr/>
          <w:p>
            <w:pPr>
              <w:pStyle w:val="Compact"/>
              <w:spacing w:after="40" w:before="40"/>
              <w:jc w:val="left"/>
            </w:pPr>
            <w:r>
              <w:rPr>
                <w:sz w:val="20"/>
              </w:rPr>
              <w:t xml:space="preserve">0.984</w:t>
            </w:r>
          </w:p>
        </w:tc>
      </w:tr>
      <w:tr>
        <w:tc>
          <w:tcPr>
            <w:shd w:val="clear" w:fill="F1F5FA"/>
          </w:tcPr>
          <w:p>
            <w:pPr>
              <w:pStyle w:val="Compact"/>
              <w:spacing w:after="40" w:before="40"/>
              <w:jc w:val="left"/>
            </w:pPr>
            <w:r>
              <w:rPr>
                <w:sz w:val="20"/>
              </w:rPr>
              <w:t xml:space="preserve">Isolation Forest baseline</w:t>
            </w:r>
          </w:p>
        </w:tc>
        <w:tc>
          <w:tcPr>
            <w:shd w:val="clear" w:fill="F1F5FA"/>
          </w:tcPr>
          <w:p>
            <w:pPr>
              <w:pStyle w:val="Compact"/>
              <w:spacing w:after="40" w:before="40"/>
              <w:jc w:val="left"/>
            </w:pPr>
            <w:r>
              <w:rPr>
                <w:sz w:val="20"/>
              </w:rPr>
              <w:t xml:space="preserve">0.890</w:t>
            </w:r>
          </w:p>
        </w:tc>
      </w:tr>
    </w:tbl>
    <w:p>
      <w:pPr>
        <w:pStyle w:val="CaptionedFigure"/>
      </w:pPr>
      <w:r>
        <w:drawing>
          <wp:inline>
            <wp:extent cx="3467100" cy="2658109"/>
            <wp:effectExtent b="0" l="0" r="0" t="0"/>
            <wp:docPr descr="ROC curves" title="" id="47" name="Picture"/>
            <a:graphic>
              <a:graphicData uri="http://schemas.openxmlformats.org/drawingml/2006/picture">
                <pic:pic>
                  <pic:nvPicPr>
                    <pic:cNvPr descr="../assets/figures/roc.png" id="48" name="Picture"/>
                    <pic:cNvPicPr>
                      <a:picLocks noChangeArrowheads="1" noChangeAspect="1"/>
                    </pic:cNvPicPr>
                  </pic:nvPicPr>
                  <pic:blipFill>
                    <a:blip r:embed="rId46"/>
                    <a:stretch>
                      <a:fillRect/>
                    </a:stretch>
                  </pic:blipFill>
                  <pic:spPr bwMode="auto">
                    <a:xfrm>
                      <a:off x="0" y="0"/>
                      <a:ext cx="3467100" cy="2658109"/>
                    </a:xfrm>
                    <a:prstGeom prst="rect">
                      <a:avLst/>
                    </a:prstGeom>
                    <a:noFill/>
                    <a:ln w="9525">
                      <a:noFill/>
                      <a:headEnd/>
                      <a:tailEnd/>
                    </a:ln>
                  </pic:spPr>
                </pic:pic>
              </a:graphicData>
            </a:graphic>
          </wp:inline>
        </w:drawing>
      </w:r>
    </w:p>
    <w:p>
      <w:pPr>
        <w:pStyle w:val="ImageCaption"/>
      </w:pPr>
      <w:r>
        <w:t xml:space="preserve">ROC curves</w:t>
      </w:r>
    </w:p>
    <w:tbl>
      <w:tblPr>
        <w:tblStyle w:val="Table"/>
        <w:tblW w:type="auto" w:w="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1584"/>
        <w:gridCol w:w="1584"/>
        <w:gridCol w:w="1584"/>
        <w:gridCol w:w="1584"/>
        <w:gridCol w:w="1584"/>
      </w:tblGrid>
      <w:tr>
        <w:trPr>
          <w:tblHeader w:val="true"/>
        </w:trPr>
        <w:tc>
          <w:tcPr>
            <w:shd w:val="clear" w:fill="0B3A5B"/>
          </w:tcPr>
          <w:p>
            <w:pPr>
              <w:pStyle w:val="Compact"/>
              <w:spacing w:after="40" w:before="40"/>
              <w:jc w:val="left"/>
            </w:pPr>
            <w:r>
              <w:rPr>
                <w:b/>
                <w:color w:val="FFFFFF"/>
                <w:sz w:val="20"/>
              </w:rPr>
              <w:t xml:space="preserve">Decision rule</w:t>
            </w:r>
          </w:p>
        </w:tc>
        <w:tc>
          <w:tcPr>
            <w:shd w:val="clear" w:fill="0B3A5B"/>
          </w:tcPr>
          <w:p>
            <w:pPr>
              <w:pStyle w:val="Compact"/>
              <w:spacing w:after="40" w:before="40"/>
              <w:jc w:val="left"/>
            </w:pPr>
            <w:r>
              <w:rPr>
                <w:b/>
                <w:color w:val="FFFFFF"/>
                <w:sz w:val="20"/>
              </w:rPr>
              <w:t xml:space="preserve">Precision</w:t>
            </w:r>
          </w:p>
        </w:tc>
        <w:tc>
          <w:tcPr>
            <w:shd w:val="clear" w:fill="0B3A5B"/>
          </w:tcPr>
          <w:p>
            <w:pPr>
              <w:pStyle w:val="Compact"/>
              <w:spacing w:after="40" w:before="40"/>
              <w:jc w:val="left"/>
            </w:pPr>
            <w:r>
              <w:rPr>
                <w:b/>
                <w:color w:val="FFFFFF"/>
                <w:sz w:val="20"/>
              </w:rPr>
              <w:t xml:space="preserve">Recall</w:t>
            </w:r>
          </w:p>
        </w:tc>
        <w:tc>
          <w:tcPr>
            <w:shd w:val="clear" w:fill="0B3A5B"/>
          </w:tcPr>
          <w:p>
            <w:pPr>
              <w:pStyle w:val="Compact"/>
              <w:spacing w:after="40" w:before="40"/>
              <w:jc w:val="left"/>
            </w:pPr>
            <w:r>
              <w:rPr>
                <w:b/>
                <w:color w:val="FFFFFF"/>
                <w:sz w:val="20"/>
              </w:rPr>
              <w:t xml:space="preserve">False-alarm rate</w:t>
            </w:r>
          </w:p>
        </w:tc>
        <w:tc>
          <w:tcPr>
            <w:shd w:val="clear" w:fill="0B3A5B"/>
          </w:tcPr>
          <w:p>
            <w:pPr>
              <w:pStyle w:val="Compact"/>
              <w:spacing w:after="40" w:before="40"/>
              <w:jc w:val="left"/>
            </w:pPr>
            <w:r>
              <w:rPr>
                <w:b/>
                <w:color w:val="FFFFFF"/>
                <w:sz w:val="20"/>
              </w:rPr>
              <w:t xml:space="preserve">F1</w:t>
            </w:r>
          </w:p>
        </w:tc>
      </w:tr>
      <w:tr>
        <w:tc>
          <w:tcPr/>
          <w:p>
            <w:pPr>
              <w:pStyle w:val="Compact"/>
              <w:spacing w:after="40" w:before="40"/>
              <w:jc w:val="left"/>
            </w:pPr>
            <w:r>
              <w:rPr>
                <w:sz w:val="20"/>
              </w:rPr>
              <w:t xml:space="preserve">Raw (either brain flags a minute)</w:t>
            </w:r>
          </w:p>
        </w:tc>
        <w:tc>
          <w:tcPr/>
          <w:p>
            <w:pPr>
              <w:pStyle w:val="Compact"/>
              <w:spacing w:after="40" w:before="40"/>
              <w:jc w:val="left"/>
            </w:pPr>
            <w:r>
              <w:rPr>
                <w:sz w:val="20"/>
              </w:rPr>
              <w:t xml:space="preserve">78.7%</w:t>
            </w:r>
          </w:p>
        </w:tc>
        <w:tc>
          <w:tcPr/>
          <w:p>
            <w:pPr>
              <w:pStyle w:val="Compact"/>
              <w:spacing w:after="40" w:before="40"/>
              <w:jc w:val="left"/>
            </w:pPr>
            <w:r>
              <w:rPr>
                <w:sz w:val="20"/>
              </w:rPr>
              <w:t xml:space="preserve">99.0%</w:t>
            </w:r>
          </w:p>
        </w:tc>
        <w:tc>
          <w:tcPr/>
          <w:p>
            <w:pPr>
              <w:pStyle w:val="Compact"/>
              <w:spacing w:after="40" w:before="40"/>
              <w:jc w:val="left"/>
            </w:pPr>
            <w:r>
              <w:rPr>
                <w:sz w:val="20"/>
              </w:rPr>
              <w:t xml:space="preserve">1.33%</w:t>
            </w:r>
          </w:p>
        </w:tc>
        <w:tc>
          <w:tcPr/>
          <w:p>
            <w:pPr>
              <w:pStyle w:val="Compact"/>
              <w:spacing w:after="40" w:before="40"/>
              <w:jc w:val="left"/>
            </w:pPr>
            <w:r>
              <w:rPr>
                <w:sz w:val="20"/>
              </w:rPr>
              <w:t xml:space="preserve">0.877</w:t>
            </w:r>
          </w:p>
        </w:tc>
      </w:tr>
      <w:tr>
        <w:tc>
          <w:tcPr>
            <w:shd w:val="clear" w:fill="F1F5FA"/>
          </w:tcPr>
          <w:p>
            <w:pPr>
              <w:pStyle w:val="Compact"/>
              <w:spacing w:after="40" w:before="40"/>
              <w:jc w:val="left"/>
            </w:pPr>
            <w:r>
              <w:rPr>
                <w:sz w:val="20"/>
              </w:rPr>
              <w:t xml:space="preserve">Final (two-of-three persistence)</w:t>
            </w:r>
          </w:p>
        </w:tc>
        <w:tc>
          <w:tcPr>
            <w:shd w:val="clear" w:fill="F1F5FA"/>
          </w:tcPr>
          <w:p>
            <w:pPr>
              <w:pStyle w:val="Compact"/>
              <w:spacing w:after="40" w:before="40"/>
              <w:jc w:val="left"/>
            </w:pPr>
            <w:r>
              <w:rPr>
                <w:sz w:val="20"/>
              </w:rPr>
              <w:t xml:space="preserve">83.3%</w:t>
            </w:r>
          </w:p>
        </w:tc>
        <w:tc>
          <w:tcPr>
            <w:shd w:val="clear" w:fill="F1F5FA"/>
          </w:tcPr>
          <w:p>
            <w:pPr>
              <w:pStyle w:val="Compact"/>
              <w:spacing w:after="40" w:before="40"/>
              <w:jc w:val="left"/>
            </w:pPr>
            <w:r>
              <w:rPr>
                <w:sz w:val="20"/>
              </w:rPr>
              <w:t xml:space="preserve">98.5%</w:t>
            </w:r>
          </w:p>
        </w:tc>
        <w:tc>
          <w:tcPr>
            <w:shd w:val="clear" w:fill="F1F5FA"/>
          </w:tcPr>
          <w:p>
            <w:pPr>
              <w:pStyle w:val="Compact"/>
              <w:spacing w:after="40" w:before="40"/>
              <w:jc w:val="left"/>
            </w:pPr>
            <w:r>
              <w:rPr>
                <w:sz w:val="20"/>
              </w:rPr>
              <w:t xml:space="preserve">0.98%</w:t>
            </w:r>
          </w:p>
        </w:tc>
        <w:tc>
          <w:tcPr>
            <w:shd w:val="clear" w:fill="F1F5FA"/>
          </w:tcPr>
          <w:p>
            <w:pPr>
              <w:pStyle w:val="Compact"/>
              <w:spacing w:after="40" w:before="40"/>
              <w:jc w:val="left"/>
            </w:pPr>
            <w:r>
              <w:rPr>
                <w:sz w:val="20"/>
              </w:rPr>
              <w:t xml:space="preserve">0.903</w:t>
            </w:r>
          </w:p>
        </w:tc>
      </w:tr>
    </w:tbl>
    <w:p>
      <w:pPr>
        <w:pStyle w:val="BodyText"/>
      </w:pPr>
      <w:r>
        <w:t xml:space="preserve">Attack minutes are only about 5% of the test set, so even a 1% false-alarm rate lowers precision to 83%.</w:t>
      </w:r>
    </w:p>
    <w:p>
      <w:pPr>
        <w:pStyle w:val="CaptionedFigure"/>
      </w:pPr>
      <w:r>
        <w:drawing>
          <wp:inline>
            <wp:extent cx="5334000" cy="1842654"/>
            <wp:effectExtent b="0" l="0" r="0" t="0"/>
            <wp:docPr descr="One day of live monitoring" title="" id="50" name="Picture"/>
            <a:graphic>
              <a:graphicData uri="http://schemas.openxmlformats.org/drawingml/2006/picture">
                <pic:pic>
                  <pic:nvPicPr>
                    <pic:cNvPr descr="../assets/figures/timeline.png" id="51" name="Picture"/>
                    <pic:cNvPicPr>
                      <a:picLocks noChangeArrowheads="1" noChangeAspect="1"/>
                    </pic:cNvPicPr>
                  </pic:nvPicPr>
                  <pic:blipFill>
                    <a:blip r:embed="rId49"/>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One day of live monitoring</w:t>
      </w:r>
    </w:p>
    <w:bookmarkEnd w:id="52"/>
    <w:bookmarkStart w:id="53" w:name="incident-level-results"/>
    <w:p>
      <w:pPr>
        <w:pStyle w:val="Heading2"/>
      </w:pPr>
      <w:r>
        <w:t xml:space="preserve">9.3 Incident-level results</w:t>
      </w:r>
    </w:p>
    <w:tbl>
      <w:tblPr>
        <w:tblStyle w:val="Table"/>
        <w:tblW w:type="auto" w:w="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3960"/>
        <w:gridCol w:w="3960"/>
      </w:tblGrid>
      <w:tr>
        <w:trPr>
          <w:tblHeader w:val="true"/>
        </w:trPr>
        <w:tc>
          <w:tcPr>
            <w:shd w:val="clear" w:fill="0B3A5B"/>
          </w:tcPr>
          <w:p>
            <w:pPr>
              <w:pStyle w:val="Compact"/>
              <w:spacing w:after="40" w:before="40"/>
              <w:jc w:val="left"/>
            </w:pPr>
            <w:r>
              <w:rPr>
                <w:b/>
                <w:color w:val="FFFFFF"/>
                <w:sz w:val="20"/>
              </w:rPr>
              <w:t xml:space="preserve">Measure</w:t>
            </w:r>
          </w:p>
        </w:tc>
        <w:tc>
          <w:tcPr>
            <w:shd w:val="clear" w:fill="0B3A5B"/>
          </w:tcPr>
          <w:p>
            <w:pPr>
              <w:pStyle w:val="Compact"/>
              <w:spacing w:after="40" w:before="40"/>
              <w:jc w:val="left"/>
            </w:pPr>
            <w:r>
              <w:rPr>
                <w:b/>
                <w:color w:val="FFFFFF"/>
                <w:sz w:val="20"/>
              </w:rPr>
              <w:t xml:space="preserve">Value</w:t>
            </w:r>
          </w:p>
        </w:tc>
      </w:tr>
      <w:tr>
        <w:tc>
          <w:tcPr/>
          <w:p>
            <w:pPr>
              <w:pStyle w:val="Compact"/>
              <w:spacing w:after="40" w:before="40"/>
              <w:jc w:val="left"/>
            </w:pPr>
            <w:r>
              <w:rPr>
                <w:sz w:val="20"/>
              </w:rPr>
              <w:t xml:space="preserve">True attack episodes</w:t>
            </w:r>
          </w:p>
        </w:tc>
        <w:tc>
          <w:tcPr/>
          <w:p>
            <w:pPr>
              <w:pStyle w:val="Compact"/>
              <w:spacing w:after="40" w:before="40"/>
              <w:jc w:val="left"/>
            </w:pPr>
            <w:r>
              <w:rPr>
                <w:sz w:val="20"/>
              </w:rPr>
              <w:t xml:space="preserve">37</w:t>
            </w:r>
          </w:p>
        </w:tc>
      </w:tr>
      <w:tr>
        <w:tc>
          <w:tcPr>
            <w:shd w:val="clear" w:fill="F1F5FA"/>
          </w:tcPr>
          <w:p>
            <w:pPr>
              <w:pStyle w:val="Compact"/>
              <w:spacing w:after="40" w:before="40"/>
              <w:jc w:val="left"/>
            </w:pPr>
            <w:r>
              <w:rPr>
                <w:sz w:val="20"/>
              </w:rPr>
              <w:t xml:space="preserve">Episodes detected</w:t>
            </w:r>
          </w:p>
        </w:tc>
        <w:tc>
          <w:tcPr>
            <w:shd w:val="clear" w:fill="F1F5FA"/>
          </w:tcPr>
          <w:p>
            <w:pPr>
              <w:pStyle w:val="Compact"/>
              <w:spacing w:after="40" w:before="40"/>
              <w:jc w:val="left"/>
            </w:pPr>
            <w:r>
              <w:rPr>
                <w:sz w:val="20"/>
              </w:rPr>
              <w:t xml:space="preserve">37 (100%)</w:t>
            </w:r>
          </w:p>
        </w:tc>
      </w:tr>
      <w:tr>
        <w:tc>
          <w:tcPr/>
          <w:p>
            <w:pPr>
              <w:pStyle w:val="Compact"/>
              <w:spacing w:after="40" w:before="40"/>
              <w:jc w:val="left"/>
            </w:pPr>
            <w:r>
              <w:rPr>
                <w:sz w:val="20"/>
              </w:rPr>
              <w:t xml:space="preserve">Mean time to detect</w:t>
            </w:r>
          </w:p>
        </w:tc>
        <w:tc>
          <w:tcPr/>
          <w:p>
            <w:pPr>
              <w:pStyle w:val="Compact"/>
              <w:spacing w:after="40" w:before="40"/>
              <w:jc w:val="left"/>
            </w:pPr>
            <w:r>
              <w:rPr>
                <w:sz w:val="20"/>
              </w:rPr>
              <w:t xml:space="preserve">0.2 minutes (maximum 1 minute)</w:t>
            </w:r>
          </w:p>
        </w:tc>
      </w:tr>
      <w:tr>
        <w:tc>
          <w:tcPr>
            <w:shd w:val="clear" w:fill="F1F5FA"/>
          </w:tcPr>
          <w:p>
            <w:pPr>
              <w:pStyle w:val="Compact"/>
              <w:spacing w:after="40" w:before="40"/>
              <w:jc w:val="left"/>
            </w:pPr>
            <w:r>
              <w:rPr>
                <w:sz w:val="20"/>
              </w:rPr>
              <w:t xml:space="preserve">Incidents raised</w:t>
            </w:r>
          </w:p>
        </w:tc>
        <w:tc>
          <w:tcPr>
            <w:shd w:val="clear" w:fill="F1F5FA"/>
          </w:tcPr>
          <w:p>
            <w:pPr>
              <w:pStyle w:val="Compact"/>
              <w:spacing w:after="40" w:before="40"/>
              <w:jc w:val="left"/>
            </w:pPr>
            <w:r>
              <w:rPr>
                <w:sz w:val="20"/>
              </w:rPr>
              <w:t xml:space="preserve">40</w:t>
            </w:r>
          </w:p>
        </w:tc>
      </w:tr>
      <w:tr>
        <w:tc>
          <w:tcPr/>
          <w:p>
            <w:pPr>
              <w:pStyle w:val="Compact"/>
              <w:spacing w:after="40" w:before="40"/>
              <w:jc w:val="left"/>
            </w:pPr>
            <w:r>
              <w:rPr>
                <w:sz w:val="20"/>
              </w:rPr>
              <w:t xml:space="preserve">Incidents with no real attack behind them</w:t>
            </w:r>
          </w:p>
        </w:tc>
        <w:tc>
          <w:tcPr/>
          <w:p>
            <w:pPr>
              <w:pStyle w:val="Compact"/>
              <w:spacing w:after="40" w:before="40"/>
              <w:jc w:val="left"/>
            </w:pPr>
            <w:r>
              <w:rPr>
                <w:sz w:val="20"/>
              </w:rPr>
              <w:t xml:space="preserve">3</w:t>
            </w:r>
          </w:p>
        </w:tc>
      </w:tr>
    </w:tbl>
    <w:bookmarkEnd w:id="53"/>
    <w:bookmarkStart w:id="57" w:name="per-attack-results"/>
    <w:p>
      <w:pPr>
        <w:pStyle w:val="Heading2"/>
      </w:pPr>
      <w:r>
        <w:t xml:space="preserve">9.4 Per-attack results</w:t>
      </w:r>
    </w:p>
    <w:tbl>
      <w:tblPr>
        <w:tblStyle w:val="Table"/>
        <w:tblW w:type="auto" w:w="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1980"/>
        <w:gridCol w:w="1980"/>
        <w:gridCol w:w="1980"/>
        <w:gridCol w:w="1980"/>
      </w:tblGrid>
      <w:tr>
        <w:trPr>
          <w:tblHeader w:val="true"/>
        </w:trPr>
        <w:tc>
          <w:tcPr>
            <w:shd w:val="clear" w:fill="0B3A5B"/>
          </w:tcPr>
          <w:p>
            <w:pPr>
              <w:pStyle w:val="Compact"/>
              <w:spacing w:after="40" w:before="40"/>
              <w:jc w:val="left"/>
            </w:pPr>
            <w:r>
              <w:rPr>
                <w:b/>
                <w:color w:val="FFFFFF"/>
                <w:sz w:val="20"/>
              </w:rPr>
              <w:t xml:space="preserve">Attack</w:t>
            </w:r>
          </w:p>
        </w:tc>
        <w:tc>
          <w:tcPr>
            <w:shd w:val="clear" w:fill="0B3A5B"/>
          </w:tcPr>
          <w:p>
            <w:pPr>
              <w:pStyle w:val="Compact"/>
              <w:spacing w:after="40" w:before="40"/>
              <w:jc w:val="left"/>
            </w:pPr>
            <w:r>
              <w:rPr>
                <w:b/>
                <w:color w:val="FFFFFF"/>
                <w:sz w:val="20"/>
              </w:rPr>
              <w:t xml:space="preserve">Test minutes</w:t>
            </w:r>
          </w:p>
        </w:tc>
        <w:tc>
          <w:tcPr>
            <w:shd w:val="clear" w:fill="0B3A5B"/>
          </w:tcPr>
          <w:p>
            <w:pPr>
              <w:pStyle w:val="Compact"/>
              <w:spacing w:after="40" w:before="40"/>
              <w:jc w:val="left"/>
            </w:pPr>
            <w:r>
              <w:rPr>
                <w:b/>
                <w:color w:val="FFFFFF"/>
                <w:sz w:val="20"/>
              </w:rPr>
              <w:t xml:space="preserve">Alert recall</w:t>
            </w:r>
          </w:p>
        </w:tc>
        <w:tc>
          <w:tcPr>
            <w:shd w:val="clear" w:fill="0B3A5B"/>
          </w:tcPr>
          <w:p>
            <w:pPr>
              <w:pStyle w:val="Compact"/>
              <w:spacing w:after="40" w:before="40"/>
              <w:jc w:val="left"/>
            </w:pPr>
            <w:r>
              <w:rPr>
                <w:b/>
                <w:color w:val="FFFFFF"/>
                <w:sz w:val="20"/>
              </w:rPr>
              <w:t xml:space="preserve">Named correctly</w:t>
            </w:r>
          </w:p>
        </w:tc>
      </w:tr>
      <w:tr>
        <w:tc>
          <w:tcPr/>
          <w:p>
            <w:pPr>
              <w:pStyle w:val="Compact"/>
              <w:spacing w:after="40" w:before="40"/>
              <w:jc w:val="left"/>
            </w:pPr>
            <w:r>
              <w:rPr>
                <w:sz w:val="20"/>
              </w:rPr>
              <w:t xml:space="preserve">Brute-force</w:t>
            </w:r>
          </w:p>
        </w:tc>
        <w:tc>
          <w:tcPr/>
          <w:p>
            <w:pPr>
              <w:pStyle w:val="Compact"/>
              <w:spacing w:after="40" w:before="40"/>
              <w:jc w:val="left"/>
            </w:pPr>
            <w:r>
              <w:rPr>
                <w:sz w:val="20"/>
              </w:rPr>
              <w:t xml:space="preserve">63</w:t>
            </w:r>
          </w:p>
        </w:tc>
        <w:tc>
          <w:tcPr/>
          <w:p>
            <w:pPr>
              <w:pStyle w:val="Compact"/>
              <w:spacing w:after="40" w:before="40"/>
              <w:jc w:val="left"/>
            </w:pPr>
            <w:r>
              <w:rPr>
                <w:sz w:val="20"/>
              </w:rPr>
              <w:t xml:space="preserve">100.0%</w:t>
            </w:r>
          </w:p>
        </w:tc>
        <w:tc>
          <w:tcPr/>
          <w:p>
            <w:pPr>
              <w:pStyle w:val="Compact"/>
              <w:spacing w:after="40" w:before="40"/>
              <w:jc w:val="left"/>
            </w:pPr>
            <w:r>
              <w:rPr>
                <w:sz w:val="20"/>
              </w:rPr>
              <w:t xml:space="preserve">98.4%</w:t>
            </w:r>
          </w:p>
        </w:tc>
      </w:tr>
      <w:tr>
        <w:tc>
          <w:tcPr>
            <w:shd w:val="clear" w:fill="F1F5FA"/>
          </w:tcPr>
          <w:p>
            <w:pPr>
              <w:pStyle w:val="Compact"/>
              <w:spacing w:after="40" w:before="40"/>
              <w:jc w:val="left"/>
            </w:pPr>
            <w:r>
              <w:rPr>
                <w:sz w:val="20"/>
              </w:rPr>
              <w:t xml:space="preserve">DDoS</w:t>
            </w:r>
          </w:p>
        </w:tc>
        <w:tc>
          <w:tcPr>
            <w:shd w:val="clear" w:fill="F1F5FA"/>
          </w:tcPr>
          <w:p>
            <w:pPr>
              <w:pStyle w:val="Compact"/>
              <w:spacing w:after="40" w:before="40"/>
              <w:jc w:val="left"/>
            </w:pPr>
            <w:r>
              <w:rPr>
                <w:sz w:val="20"/>
              </w:rPr>
              <w:t xml:space="preserve">169</w:t>
            </w:r>
          </w:p>
        </w:tc>
        <w:tc>
          <w:tcPr>
            <w:shd w:val="clear" w:fill="F1F5FA"/>
          </w:tcPr>
          <w:p>
            <w:pPr>
              <w:pStyle w:val="Compact"/>
              <w:spacing w:after="40" w:before="40"/>
              <w:jc w:val="left"/>
            </w:pPr>
            <w:r>
              <w:rPr>
                <w:sz w:val="20"/>
              </w:rPr>
              <w:t xml:space="preserve">100.0%</w:t>
            </w:r>
          </w:p>
        </w:tc>
        <w:tc>
          <w:tcPr>
            <w:shd w:val="clear" w:fill="F1F5FA"/>
          </w:tcPr>
          <w:p>
            <w:pPr>
              <w:pStyle w:val="Compact"/>
              <w:spacing w:after="40" w:before="40"/>
              <w:jc w:val="left"/>
            </w:pPr>
            <w:r>
              <w:rPr>
                <w:sz w:val="20"/>
              </w:rPr>
              <w:t xml:space="preserve">91.7%</w:t>
            </w:r>
          </w:p>
        </w:tc>
      </w:tr>
      <w:tr>
        <w:tc>
          <w:tcPr/>
          <w:p>
            <w:pPr>
              <w:pStyle w:val="Compact"/>
              <w:spacing w:after="40" w:before="40"/>
              <w:jc w:val="left"/>
            </w:pPr>
            <w:r>
              <w:rPr>
                <w:sz w:val="20"/>
              </w:rPr>
              <w:t xml:space="preserve">Port scan</w:t>
            </w:r>
          </w:p>
        </w:tc>
        <w:tc>
          <w:tcPr/>
          <w:p>
            <w:pPr>
              <w:pStyle w:val="Compact"/>
              <w:spacing w:after="40" w:before="40"/>
              <w:jc w:val="left"/>
            </w:pPr>
            <w:r>
              <w:rPr>
                <w:sz w:val="20"/>
              </w:rPr>
              <w:t xml:space="preserve">59</w:t>
            </w:r>
          </w:p>
        </w:tc>
        <w:tc>
          <w:tcPr/>
          <w:p>
            <w:pPr>
              <w:pStyle w:val="Compact"/>
              <w:spacing w:after="40" w:before="40"/>
              <w:jc w:val="left"/>
            </w:pPr>
            <w:r>
              <w:rPr>
                <w:sz w:val="20"/>
              </w:rPr>
              <w:t xml:space="preserve">98.3%</w:t>
            </w:r>
          </w:p>
        </w:tc>
        <w:tc>
          <w:tcPr/>
          <w:p>
            <w:pPr>
              <w:pStyle w:val="Compact"/>
              <w:spacing w:after="40" w:before="40"/>
              <w:jc w:val="left"/>
            </w:pPr>
            <w:r>
              <w:rPr>
                <w:sz w:val="20"/>
              </w:rPr>
              <w:t xml:space="preserve">72.9%</w:t>
            </w:r>
          </w:p>
        </w:tc>
      </w:tr>
      <w:tr>
        <w:tc>
          <w:tcPr>
            <w:shd w:val="clear" w:fill="F1F5FA"/>
          </w:tcPr>
          <w:p>
            <w:pPr>
              <w:pStyle w:val="Compact"/>
              <w:spacing w:after="40" w:before="40"/>
              <w:jc w:val="left"/>
            </w:pPr>
            <w:r>
              <w:rPr>
                <w:sz w:val="20"/>
              </w:rPr>
              <w:t xml:space="preserve">Exfiltration</w:t>
            </w:r>
          </w:p>
        </w:tc>
        <w:tc>
          <w:tcPr>
            <w:shd w:val="clear" w:fill="F1F5FA"/>
          </w:tcPr>
          <w:p>
            <w:pPr>
              <w:pStyle w:val="Compact"/>
              <w:spacing w:after="40" w:before="40"/>
              <w:jc w:val="left"/>
            </w:pPr>
            <w:r>
              <w:rPr>
                <w:sz w:val="20"/>
              </w:rPr>
              <w:t xml:space="preserve">100</w:t>
            </w:r>
          </w:p>
        </w:tc>
        <w:tc>
          <w:tcPr>
            <w:shd w:val="clear" w:fill="F1F5FA"/>
          </w:tcPr>
          <w:p>
            <w:pPr>
              <w:pStyle w:val="Compact"/>
              <w:spacing w:after="40" w:before="40"/>
              <w:jc w:val="left"/>
            </w:pPr>
            <w:r>
              <w:rPr>
                <w:sz w:val="20"/>
              </w:rPr>
              <w:t xml:space="preserve">100.0%</w:t>
            </w:r>
          </w:p>
        </w:tc>
        <w:tc>
          <w:tcPr>
            <w:shd w:val="clear" w:fill="F1F5FA"/>
          </w:tcPr>
          <w:p>
            <w:pPr>
              <w:pStyle w:val="Compact"/>
              <w:spacing w:after="40" w:before="40"/>
              <w:jc w:val="left"/>
            </w:pPr>
            <w:r>
              <w:rPr>
                <w:sz w:val="20"/>
              </w:rPr>
              <w:t xml:space="preserve">99.0%</w:t>
            </w:r>
          </w:p>
        </w:tc>
      </w:tr>
      <w:tr>
        <w:tc>
          <w:tcPr/>
          <w:p>
            <w:pPr>
              <w:pStyle w:val="Compact"/>
              <w:spacing w:after="40" w:before="40"/>
              <w:jc w:val="left"/>
            </w:pPr>
            <w:r>
              <w:rPr>
                <w:sz w:val="20"/>
              </w:rPr>
              <w:t xml:space="preserve">Cryptominer</w:t>
            </w:r>
          </w:p>
        </w:tc>
        <w:tc>
          <w:tcPr/>
          <w:p>
            <w:pPr>
              <w:pStyle w:val="Compact"/>
              <w:spacing w:after="40" w:before="40"/>
              <w:jc w:val="left"/>
            </w:pPr>
            <w:r>
              <w:rPr>
                <w:sz w:val="20"/>
              </w:rPr>
              <w:t xml:space="preserve">181</w:t>
            </w:r>
          </w:p>
        </w:tc>
        <w:tc>
          <w:tcPr/>
          <w:p>
            <w:pPr>
              <w:pStyle w:val="Compact"/>
              <w:spacing w:after="40" w:before="40"/>
              <w:jc w:val="left"/>
            </w:pPr>
            <w:r>
              <w:rPr>
                <w:sz w:val="20"/>
              </w:rPr>
              <w:t xml:space="preserve">95.0%</w:t>
            </w:r>
          </w:p>
        </w:tc>
        <w:tc>
          <w:tcPr/>
          <w:p>
            <w:pPr>
              <w:pStyle w:val="Compact"/>
              <w:spacing w:after="40" w:before="40"/>
              <w:jc w:val="left"/>
            </w:pPr>
            <w:r>
              <w:rPr>
                <w:sz w:val="20"/>
              </w:rPr>
              <w:t xml:space="preserve">92.3%</w:t>
            </w:r>
          </w:p>
        </w:tc>
      </w:tr>
      <w:tr>
        <w:tc>
          <w:tcPr>
            <w:shd w:val="clear" w:fill="F1F5FA"/>
          </w:tcPr>
          <w:p>
            <w:pPr>
              <w:pStyle w:val="Compact"/>
              <w:spacing w:after="40" w:before="40"/>
              <w:jc w:val="left"/>
            </w:pPr>
            <w:r>
              <w:rPr>
                <w:sz w:val="20"/>
              </w:rPr>
              <w:t xml:space="preserve">Ransomware</w:t>
            </w:r>
          </w:p>
        </w:tc>
        <w:tc>
          <w:tcPr>
            <w:shd w:val="clear" w:fill="F1F5FA"/>
          </w:tcPr>
          <w:p>
            <w:pPr>
              <w:pStyle w:val="Compact"/>
              <w:spacing w:after="40" w:before="40"/>
              <w:jc w:val="left"/>
            </w:pPr>
            <w:r>
              <w:rPr>
                <w:sz w:val="20"/>
              </w:rPr>
              <w:t xml:space="preserve">113</w:t>
            </w:r>
          </w:p>
        </w:tc>
        <w:tc>
          <w:tcPr>
            <w:shd w:val="clear" w:fill="F1F5FA"/>
          </w:tcPr>
          <w:p>
            <w:pPr>
              <w:pStyle w:val="Compact"/>
              <w:spacing w:after="40" w:before="40"/>
              <w:jc w:val="left"/>
            </w:pPr>
            <w:r>
              <w:rPr>
                <w:sz w:val="20"/>
              </w:rPr>
              <w:t xml:space="preserve">100.0%</w:t>
            </w:r>
          </w:p>
        </w:tc>
        <w:tc>
          <w:tcPr>
            <w:shd w:val="clear" w:fill="F1F5FA"/>
          </w:tcPr>
          <w:p>
            <w:pPr>
              <w:pStyle w:val="Compact"/>
              <w:spacing w:after="40" w:before="40"/>
              <w:jc w:val="left"/>
            </w:pPr>
            <w:r>
              <w:rPr>
                <w:sz w:val="20"/>
              </w:rPr>
              <w:t xml:space="preserve">93.8%</w:t>
            </w:r>
          </w:p>
        </w:tc>
      </w:tr>
    </w:tbl>
    <w:p>
      <w:pPr>
        <w:pStyle w:val="BodyText"/>
      </w:pPr>
      <w:r>
        <w:t xml:space="preserve">Most minutes that were not named correctly were labelled unknown_anomaly, which is still an alert. Port-scan naming is the weakest result.</w:t>
      </w:r>
    </w:p>
    <w:p>
      <w:pPr>
        <w:pStyle w:val="CaptionedFigure"/>
      </w:pPr>
      <w:r>
        <w:drawing>
          <wp:inline>
            <wp:extent cx="4267200" cy="2773680"/>
            <wp:effectExtent b="0" l="0" r="0" t="0"/>
            <wp:docPr descr="Decision matrix" title="" id="55" name="Picture"/>
            <a:graphic>
              <a:graphicData uri="http://schemas.openxmlformats.org/drawingml/2006/picture">
                <pic:pic>
                  <pic:nvPicPr>
                    <pic:cNvPr descr="../assets/figures/confusion.png" id="56" name="Picture"/>
                    <pic:cNvPicPr>
                      <a:picLocks noChangeArrowheads="1" noChangeAspect="1"/>
                    </pic:cNvPicPr>
                  </pic:nvPicPr>
                  <pic:blipFill>
                    <a:blip r:embed="rId54"/>
                    <a:stretch>
                      <a:fillRect/>
                    </a:stretch>
                  </pic:blipFill>
                  <pic:spPr bwMode="auto">
                    <a:xfrm>
                      <a:off x="0" y="0"/>
                      <a:ext cx="4267200" cy="2773680"/>
                    </a:xfrm>
                    <a:prstGeom prst="rect">
                      <a:avLst/>
                    </a:prstGeom>
                    <a:noFill/>
                    <a:ln w="9525">
                      <a:noFill/>
                      <a:headEnd/>
                      <a:tailEnd/>
                    </a:ln>
                  </pic:spPr>
                </pic:pic>
              </a:graphicData>
            </a:graphic>
          </wp:inline>
        </w:drawing>
      </w:r>
    </w:p>
    <w:p>
      <w:pPr>
        <w:pStyle w:val="ImageCaption"/>
      </w:pPr>
      <w:r>
        <w:t xml:space="preserve">Decision matrix</w:t>
      </w:r>
    </w:p>
    <w:bookmarkEnd w:id="57"/>
    <w:bookmarkStart w:id="61" w:name="zero-day-experiment"/>
    <w:p>
      <w:pPr>
        <w:pStyle w:val="Heading2"/>
      </w:pPr>
      <w:r>
        <w:t xml:space="preserve">9.5 Zero-day experiment</w:t>
      </w:r>
    </w:p>
    <w:p>
      <w:pPr>
        <w:pStyle w:val="FirstParagraph"/>
      </w:pPr>
      <w:r>
        <w:t xml:space="preserve">Ransomware was removed from the classifier’s training data and then shown in the test data.</w:t>
      </w:r>
    </w:p>
    <w:tbl>
      <w:tblPr>
        <w:tblStyle w:val="Table"/>
        <w:tblW w:type="auto" w:w="0"/>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Pr>
      <w:tblGrid>
        <w:gridCol w:w="3960"/>
        <w:gridCol w:w="3960"/>
      </w:tblGrid>
      <w:tr>
        <w:trPr>
          <w:tblHeader w:val="true"/>
        </w:trPr>
        <w:tc>
          <w:tcPr>
            <w:shd w:val="clear" w:fill="0B3A5B"/>
          </w:tcPr>
          <w:p>
            <w:pPr>
              <w:pStyle w:val="Compact"/>
              <w:spacing w:after="40" w:before="40"/>
              <w:jc w:val="left"/>
            </w:pPr>
            <w:r>
              <w:rPr>
                <w:b/>
                <w:color w:val="FFFFFF"/>
                <w:sz w:val="20"/>
              </w:rPr>
              <w:t xml:space="preserve">System</w:t>
            </w:r>
          </w:p>
        </w:tc>
        <w:tc>
          <w:tcPr>
            <w:shd w:val="clear" w:fill="0B3A5B"/>
          </w:tcPr>
          <w:p>
            <w:pPr>
              <w:pStyle w:val="Compact"/>
              <w:spacing w:after="40" w:before="40"/>
              <w:jc w:val="left"/>
            </w:pPr>
            <w:r>
              <w:rPr>
                <w:b/>
                <w:color w:val="FFFFFF"/>
                <w:sz w:val="20"/>
              </w:rPr>
              <w:t xml:space="preserve">Share of ransomware minutes</w:t>
            </w:r>
          </w:p>
        </w:tc>
      </w:tr>
      <w:tr>
        <w:tc>
          <w:tcPr/>
          <w:p>
            <w:pPr>
              <w:pStyle w:val="Compact"/>
              <w:spacing w:after="40" w:before="40"/>
              <w:jc w:val="left"/>
            </w:pPr>
            <w:r>
              <w:rPr>
                <w:sz w:val="20"/>
              </w:rPr>
              <w:t xml:space="preserve">Classifier alone flags it</w:t>
            </w:r>
          </w:p>
        </w:tc>
        <w:tc>
          <w:tcPr/>
          <w:p>
            <w:pPr>
              <w:pStyle w:val="Compact"/>
              <w:spacing w:after="40" w:before="40"/>
              <w:jc w:val="left"/>
            </w:pPr>
            <w:r>
              <w:rPr>
                <w:sz w:val="20"/>
              </w:rPr>
              <w:t xml:space="preserve">0%</w:t>
            </w:r>
          </w:p>
        </w:tc>
      </w:tr>
      <w:tr>
        <w:tc>
          <w:tcPr>
            <w:shd w:val="clear" w:fill="F1F5FA"/>
          </w:tcPr>
          <w:p>
            <w:pPr>
              <w:pStyle w:val="Compact"/>
              <w:spacing w:after="40" w:before="40"/>
              <w:jc w:val="left"/>
            </w:pPr>
            <w:r>
              <w:rPr>
                <w:sz w:val="20"/>
              </w:rPr>
              <w:t xml:space="preserve">Autoencoder alone flags it</w:t>
            </w:r>
          </w:p>
        </w:tc>
        <w:tc>
          <w:tcPr>
            <w:shd w:val="clear" w:fill="F1F5FA"/>
          </w:tcPr>
          <w:p>
            <w:pPr>
              <w:pStyle w:val="Compact"/>
              <w:spacing w:after="40" w:before="40"/>
              <w:jc w:val="left"/>
            </w:pPr>
            <w:r>
              <w:rPr>
                <w:sz w:val="20"/>
              </w:rPr>
              <w:t xml:space="preserve">100%</w:t>
            </w:r>
          </w:p>
        </w:tc>
      </w:tr>
      <w:tr>
        <w:tc>
          <w:tcPr/>
          <w:p>
            <w:pPr>
              <w:pStyle w:val="Compact"/>
              <w:spacing w:after="40" w:before="40"/>
              <w:jc w:val="left"/>
            </w:pPr>
            <w:r>
              <w:rPr>
                <w:sz w:val="20"/>
              </w:rPr>
              <w:t xml:space="preserve">AegisNet flags it</w:t>
            </w:r>
          </w:p>
        </w:tc>
        <w:tc>
          <w:tcPr/>
          <w:p>
            <w:pPr>
              <w:pStyle w:val="Compact"/>
              <w:spacing w:after="40" w:before="40"/>
              <w:jc w:val="left"/>
            </w:pPr>
            <w:r>
              <w:rPr>
                <w:sz w:val="20"/>
              </w:rPr>
              <w:t xml:space="preserve">100%</w:t>
            </w:r>
          </w:p>
        </w:tc>
      </w:tr>
      <w:tr>
        <w:tc>
          <w:tcPr>
            <w:shd w:val="clear" w:fill="F1F5FA"/>
          </w:tcPr>
          <w:p>
            <w:pPr>
              <w:pStyle w:val="Compact"/>
              <w:spacing w:after="40" w:before="40"/>
              <w:jc w:val="left"/>
            </w:pPr>
            <w:r>
              <w:rPr>
                <w:sz w:val="20"/>
              </w:rPr>
              <w:t xml:space="preserve">AegisNet labels it unknown_anomaly (new pattern)</w:t>
            </w:r>
          </w:p>
        </w:tc>
        <w:tc>
          <w:tcPr>
            <w:shd w:val="clear" w:fill="F1F5FA"/>
          </w:tcPr>
          <w:p>
            <w:pPr>
              <w:pStyle w:val="Compact"/>
              <w:spacing w:after="40" w:before="40"/>
              <w:jc w:val="left"/>
            </w:pPr>
            <w:r>
              <w:rPr>
                <w:sz w:val="20"/>
              </w:rPr>
              <w:t xml:space="preserve">100%</w:t>
            </w:r>
          </w:p>
        </w:tc>
      </w:tr>
      <w:tr>
        <w:tc>
          <w:tcPr/>
          <w:p>
            <w:pPr>
              <w:pStyle w:val="Compact"/>
              <w:spacing w:after="40" w:before="40"/>
              <w:jc w:val="left"/>
            </w:pPr>
            <w:r>
              <w:rPr>
                <w:sz w:val="20"/>
              </w:rPr>
              <w:t xml:space="preserve">AegisNet mislabels it as a known attack</w:t>
            </w:r>
          </w:p>
        </w:tc>
        <w:tc>
          <w:tcPr/>
          <w:p>
            <w:pPr>
              <w:pStyle w:val="Compact"/>
              <w:spacing w:after="40" w:before="40"/>
              <w:jc w:val="left"/>
            </w:pPr>
            <w:r>
              <w:rPr>
                <w:sz w:val="20"/>
              </w:rPr>
              <w:t xml:space="preserve">0%</w:t>
            </w:r>
          </w:p>
        </w:tc>
      </w:tr>
    </w:tbl>
    <w:p>
      <w:pPr>
        <w:pStyle w:val="CaptionedFigure"/>
      </w:pPr>
      <w:r>
        <w:drawing>
          <wp:inline>
            <wp:extent cx="3733800" cy="2240280"/>
            <wp:effectExtent b="0" l="0" r="0" t="0"/>
            <wp:docPr descr="Zero-day experiment" title="" id="59" name="Picture"/>
            <a:graphic>
              <a:graphicData uri="http://schemas.openxmlformats.org/drawingml/2006/picture">
                <pic:pic>
                  <pic:nvPicPr>
                    <pic:cNvPr descr="../assets/figures/zeroday.png" id="60" name="Picture"/>
                    <pic:cNvPicPr>
                      <a:picLocks noChangeArrowheads="1" noChangeAspect="1"/>
                    </pic:cNvPicPr>
                  </pic:nvPicPr>
                  <pic:blipFill>
                    <a:blip r:embed="rId58"/>
                    <a:stretch>
                      <a:fillRect/>
                    </a:stretch>
                  </pic:blipFill>
                  <pic:spPr bwMode="auto">
                    <a:xfrm>
                      <a:off x="0" y="0"/>
                      <a:ext cx="3733800" cy="2240280"/>
                    </a:xfrm>
                    <a:prstGeom prst="rect">
                      <a:avLst/>
                    </a:prstGeom>
                    <a:noFill/>
                    <a:ln w="9525">
                      <a:noFill/>
                      <a:headEnd/>
                      <a:tailEnd/>
                    </a:ln>
                  </pic:spPr>
                </pic:pic>
              </a:graphicData>
            </a:graphic>
          </wp:inline>
        </w:drawing>
      </w:r>
    </w:p>
    <w:p>
      <w:pPr>
        <w:pStyle w:val="ImageCaption"/>
      </w:pPr>
      <w:r>
        <w:t xml:space="preserve">Zero-day experiment</w:t>
      </w:r>
    </w:p>
    <w:p>
      <w:pPr>
        <w:pStyle w:val="BodyText"/>
      </w:pPr>
      <w:r>
        <w:t xml:space="preserve">This shows why the Dual-Brain design is needed. The classifier is the most accurate on known attacks, but it cannot recognise what it was never shown. The autoencoder only needs to know what normal looks like.</w:t>
      </w:r>
    </w:p>
    <w:bookmarkEnd w:id="61"/>
    <w:bookmarkStart w:id="65" w:name="drift-test"/>
    <w:p>
      <w:pPr>
        <w:pStyle w:val="Heading2"/>
      </w:pPr>
      <w:r>
        <w:t xml:space="preserve">9.6 Drift test</w:t>
      </w:r>
    </w:p>
    <w:p>
      <w:pPr>
        <w:pStyle w:val="FirstParagraph"/>
      </w:pPr>
      <w:r>
        <w:t xml:space="preserve">A fresh normal week gave a worst PSI of 0.007 (STABLE). After shifting inbound traffic by 1.6 times and connections by 1.5 times, the worst PSI was 2.15 on inbound traffic (DRIFT, retrain).</w:t>
      </w:r>
    </w:p>
    <w:p>
      <w:pPr>
        <w:pStyle w:val="CaptionedFigure"/>
      </w:pPr>
      <w:r>
        <w:drawing>
          <wp:inline>
            <wp:extent cx="4533900" cy="2762845"/>
            <wp:effectExtent b="0" l="0" r="0" t="0"/>
            <wp:docPr descr="Drift watchdog" title="" id="63" name="Picture"/>
            <a:graphic>
              <a:graphicData uri="http://schemas.openxmlformats.org/drawingml/2006/picture">
                <pic:pic>
                  <pic:nvPicPr>
                    <pic:cNvPr descr="../assets/figures/drift.png" id="64" name="Picture"/>
                    <pic:cNvPicPr>
                      <a:picLocks noChangeArrowheads="1" noChangeAspect="1"/>
                    </pic:cNvPicPr>
                  </pic:nvPicPr>
                  <pic:blipFill>
                    <a:blip r:embed="rId62"/>
                    <a:stretch>
                      <a:fillRect/>
                    </a:stretch>
                  </pic:blipFill>
                  <pic:spPr bwMode="auto">
                    <a:xfrm>
                      <a:off x="0" y="0"/>
                      <a:ext cx="4533900" cy="2762845"/>
                    </a:xfrm>
                    <a:prstGeom prst="rect">
                      <a:avLst/>
                    </a:prstGeom>
                    <a:noFill/>
                    <a:ln w="9525">
                      <a:noFill/>
                      <a:headEnd/>
                      <a:tailEnd/>
                    </a:ln>
                  </pic:spPr>
                </pic:pic>
              </a:graphicData>
            </a:graphic>
          </wp:inline>
        </w:drawing>
      </w:r>
    </w:p>
    <w:p>
      <w:pPr>
        <w:pStyle w:val="ImageCaption"/>
      </w:pPr>
      <w:r>
        <w:t xml:space="preserve">Drift watchdog</w:t>
      </w:r>
    </w:p>
    <w:bookmarkEnd w:id="65"/>
    <w:bookmarkEnd w:id="66"/>
    <w:bookmarkStart w:id="67" w:name="discussion-and-limitations"/>
    <w:p>
      <w:pPr>
        <w:pStyle w:val="Heading1"/>
      </w:pPr>
      <w:r>
        <w:t xml:space="preserve">10. Discussion and limitations</w:t>
      </w:r>
    </w:p>
    <w:p>
      <w:pPr>
        <w:numPr>
          <w:ilvl w:val="0"/>
          <w:numId w:val="1007"/>
        </w:numPr>
        <w:pStyle w:val="Compact"/>
      </w:pPr>
      <w:r>
        <w:rPr>
          <w:bCs/>
          <w:b/>
        </w:rPr>
        <w:t xml:space="preserve">Simulated data.</w:t>
      </w:r>
      <w:r>
        <w:t xml:space="preserve"> </w:t>
      </w:r>
      <w:r>
        <w:t xml:space="preserve">The attack signatures are cleaner than in real networks, which is why the classifier reaches an AUC close to 1.0. Real datasets such as CICIDS2017 or NSL-KDD, or production logs, are the essential next test.</w:t>
      </w:r>
    </w:p>
    <w:p>
      <w:pPr>
        <w:numPr>
          <w:ilvl w:val="0"/>
          <w:numId w:val="1007"/>
        </w:numPr>
        <w:pStyle w:val="Compact"/>
      </w:pPr>
      <w:r>
        <w:rPr>
          <w:bCs/>
          <w:b/>
        </w:rPr>
        <w:t xml:space="preserve">Classifier versus fusion.</w:t>
      </w:r>
      <w:r>
        <w:t xml:space="preserve"> </w:t>
      </w:r>
      <w:r>
        <w:t xml:space="preserve">On known attacks the classifier alone ranks slightly higher (0.9999 against 0.995). The fused system trades a little ranking quality for the ability to catch unseen attacks.</w:t>
      </w:r>
    </w:p>
    <w:p>
      <w:pPr>
        <w:numPr>
          <w:ilvl w:val="0"/>
          <w:numId w:val="1007"/>
        </w:numPr>
        <w:pStyle w:val="Compact"/>
      </w:pPr>
      <w:r>
        <w:rPr>
          <w:bCs/>
          <w:b/>
        </w:rPr>
        <w:t xml:space="preserve">Explanations are model-based.</w:t>
      </w:r>
      <w:r>
        <w:t xml:space="preserve"> </w:t>
      </w:r>
      <w:r>
        <w:t xml:space="preserve">The expected values come from the autoencoder’s reconstruction and are pulled toward the anomaly when it is large.</w:t>
      </w:r>
    </w:p>
    <w:p>
      <w:pPr>
        <w:numPr>
          <w:ilvl w:val="0"/>
          <w:numId w:val="1007"/>
        </w:numPr>
        <w:pStyle w:val="Compact"/>
      </w:pPr>
      <w:r>
        <w:rPr>
          <w:bCs/>
          <w:b/>
        </w:rPr>
        <w:t xml:space="preserve">Guardian is simulated.</w:t>
      </w:r>
      <w:r>
        <w:t xml:space="preserve"> </w:t>
      </w:r>
      <w:r>
        <w:t xml:space="preserve">No real firewall or ticketing system is called.</w:t>
      </w:r>
    </w:p>
    <w:p>
      <w:pPr>
        <w:numPr>
          <w:ilvl w:val="0"/>
          <w:numId w:val="1007"/>
        </w:numPr>
        <w:pStyle w:val="Compact"/>
      </w:pPr>
      <w:r>
        <w:rPr>
          <w:bCs/>
          <w:b/>
        </w:rPr>
        <w:t xml:space="preserve">Single host, one-minute resolution.</w:t>
      </w:r>
      <w:r>
        <w:t xml:space="preserve"> </w:t>
      </w:r>
      <w:r>
        <w:t xml:space="preserve">Multi-host correlation is not covered.</w:t>
      </w:r>
    </w:p>
    <w:p>
      <w:pPr>
        <w:numPr>
          <w:ilvl w:val="0"/>
          <w:numId w:val="1007"/>
        </w:numPr>
        <w:pStyle w:val="Compact"/>
      </w:pPr>
      <w:r>
        <w:rPr>
          <w:bCs/>
          <w:b/>
        </w:rPr>
        <w:t xml:space="preserve">Reproducibility.</w:t>
      </w:r>
      <w:r>
        <w:t xml:space="preserve"> </w:t>
      </w:r>
      <w:r>
        <w:t xml:space="preserve">Seeds are fixed, so results reproduce exactly on the same software versions. Small differences may appear with other NumPy versions, and latency depends on the machine.</w:t>
      </w:r>
    </w:p>
    <w:bookmarkEnd w:id="67"/>
    <w:bookmarkStart w:id="68" w:name="future-scope"/>
    <w:p>
      <w:pPr>
        <w:pStyle w:val="Heading1"/>
      </w:pPr>
      <w:r>
        <w:t xml:space="preserve">11. Future scope</w:t>
      </w:r>
    </w:p>
    <w:p>
      <w:pPr>
        <w:numPr>
          <w:ilvl w:val="0"/>
          <w:numId w:val="1008"/>
        </w:numPr>
        <w:pStyle w:val="Compact"/>
      </w:pPr>
      <w:r>
        <w:t xml:space="preserve">Replace the simulator with CICIDS2017, NSL-KDD or real logs through a loader that returns the same columns.</w:t>
      </w:r>
    </w:p>
    <w:p>
      <w:pPr>
        <w:numPr>
          <w:ilvl w:val="0"/>
          <w:numId w:val="1008"/>
        </w:numPr>
        <w:pStyle w:val="Compact"/>
      </w:pPr>
      <w:r>
        <w:t xml:space="preserve">Add a local language model (for example through Ollama) to write plain-language incident stories from the structured explanation.</w:t>
      </w:r>
    </w:p>
    <w:p>
      <w:pPr>
        <w:numPr>
          <w:ilvl w:val="0"/>
          <w:numId w:val="1008"/>
        </w:numPr>
        <w:pStyle w:val="Compact"/>
      </w:pPr>
      <w:r>
        <w:t xml:space="preserve">Connect the Guardian to a real firewall and ticketing API, keeping the human-approval rule.</w:t>
      </w:r>
    </w:p>
    <w:p>
      <w:pPr>
        <w:numPr>
          <w:ilvl w:val="0"/>
          <w:numId w:val="1008"/>
        </w:numPr>
        <w:pStyle w:val="Compact"/>
      </w:pPr>
      <w:r>
        <w:t xml:space="preserve">Export the networks to ONNX for deployment on edge devices.</w:t>
      </w:r>
    </w:p>
    <w:p>
      <w:pPr>
        <w:numPr>
          <w:ilvl w:val="0"/>
          <w:numId w:val="1008"/>
        </w:numPr>
        <w:pStyle w:val="Compact"/>
      </w:pPr>
      <w:r>
        <w:t xml:space="preserve">Train federated models across several servers without sharing raw telemetry.</w:t>
      </w:r>
    </w:p>
    <w:p>
      <w:pPr>
        <w:numPr>
          <w:ilvl w:val="0"/>
          <w:numId w:val="1008"/>
        </w:numPr>
        <w:pStyle w:val="Compact"/>
      </w:pPr>
      <w:r>
        <w:t xml:space="preserve">Add a live dashboard in Streamlit or Grafana.</w:t>
      </w:r>
    </w:p>
    <w:bookmarkEnd w:id="68"/>
    <w:bookmarkStart w:id="69" w:name="conclusion"/>
    <w:p>
      <w:pPr>
        <w:pStyle w:val="Heading1"/>
      </w:pPr>
      <w:r>
        <w:t xml:space="preserve">12. Conclusion</w:t>
      </w:r>
    </w:p>
    <w:p>
      <w:pPr>
        <w:pStyle w:val="FirstParagraph"/>
      </w:pPr>
      <w:r>
        <w:t xml:space="preserve">AegisNet shows that a very small, fully local neural network can detect known and unknown attacks, explain its decisions, act only within human-approved limits and tell its owner when it has gone stale. It reaches a fused ROC-AUC of 0.995, detects all 37 test attacks within about one minute, and catches a completely unseen attack family that a classifier alone misses entirely. It does this in 34 KB with free tools. The main limitation is that the data is simulated, and the clearest next step is to validate on real traffic.</w:t>
      </w:r>
    </w:p>
    <w:bookmarkEnd w:id="69"/>
    <w:bookmarkStart w:id="70" w:name="references"/>
    <w:p>
      <w:pPr>
        <w:pStyle w:val="Heading1"/>
      </w:pPr>
      <w:r>
        <w:t xml:space="preserve">13. References</w:t>
      </w:r>
    </w:p>
    <w:p>
      <w:pPr>
        <w:pStyle w:val="FirstParagraph"/>
      </w:pPr>
      <w:r>
        <w:t xml:space="preserve">Industry and market context (2026)</w:t>
      </w:r>
    </w:p>
    <w:p>
      <w:pPr>
        <w:numPr>
          <w:ilvl w:val="0"/>
          <w:numId w:val="1009"/>
        </w:numPr>
        <w:pStyle w:val="Compact"/>
      </w:pPr>
      <w:r>
        <w:t xml:space="preserve">McKinsey &amp; Company,</w:t>
      </w:r>
      <w:r>
        <w:t xml:space="preserve"> </w:t>
      </w:r>
      <w:r>
        <w:t xml:space="preserve">“</w:t>
      </w:r>
      <w:r>
        <w:t xml:space="preserve">The state of AI in 2026</w:t>
      </w:r>
      <w:r>
        <w:t xml:space="preserve">”</w:t>
      </w:r>
      <w:r>
        <w:t xml:space="preserve"> </w:t>
      </w:r>
      <w:r>
        <w:t xml:space="preserve">(global survey).</w:t>
      </w:r>
    </w:p>
    <w:p>
      <w:pPr>
        <w:numPr>
          <w:ilvl w:val="0"/>
          <w:numId w:val="1009"/>
        </w:numPr>
        <w:pStyle w:val="Compact"/>
      </w:pPr>
      <w:r>
        <w:t xml:space="preserve">Gartner predictions on agentic AI and small language models, as reported by MachineLearningMastery (</w:t>
      </w:r>
      <w:r>
        <w:t xml:space="preserve">“</w:t>
      </w:r>
      <w:r>
        <w:t xml:space="preserve">7 Agentic AI Trends to Watch in 2026</w:t>
      </w:r>
      <w:r>
        <w:t xml:space="preserve">”</w:t>
      </w:r>
      <w:r>
        <w:t xml:space="preserve">), Firecrawl (</w:t>
      </w:r>
      <w:r>
        <w:t xml:space="preserve">“</w:t>
      </w:r>
      <w:r>
        <w:t xml:space="preserve">Top 15 Agentic AI Trends to Watch in 2026</w:t>
      </w:r>
      <w:r>
        <w:t xml:space="preserve">”</w:t>
      </w:r>
      <w:r>
        <w:t xml:space="preserve">) and Svitla (</w:t>
      </w:r>
      <w:r>
        <w:t xml:space="preserve">“</w:t>
      </w:r>
      <w:r>
        <w:t xml:space="preserve">Agentic AI Market Trends 2025-2026</w:t>
      </w:r>
      <w:r>
        <w:t xml:space="preserve">”</w:t>
      </w:r>
      <w:r>
        <w:t xml:space="preserve">).</w:t>
      </w:r>
    </w:p>
    <w:p>
      <w:pPr>
        <w:numPr>
          <w:ilvl w:val="0"/>
          <w:numId w:val="1009"/>
        </w:numPr>
        <w:pStyle w:val="Compact"/>
      </w:pPr>
      <w:r>
        <w:t xml:space="preserve">CNBC,</w:t>
      </w:r>
      <w:r>
        <w:t xml:space="preserve"> </w:t>
      </w:r>
      <w:r>
        <w:t xml:space="preserve">“</w:t>
      </w:r>
      <w:r>
        <w:t xml:space="preserve">Can Google’s new model really catch up to OpenAI and Anthropic at the frontier?</w:t>
      </w:r>
      <w:r>
        <w:t xml:space="preserve">”</w:t>
      </w:r>
      <w:r>
        <w:t xml:space="preserve">, 2 October 2026.</w:t>
      </w:r>
    </w:p>
    <w:p>
      <w:pPr>
        <w:numPr>
          <w:ilvl w:val="0"/>
          <w:numId w:val="1009"/>
        </w:numPr>
        <w:pStyle w:val="Compact"/>
      </w:pPr>
      <w:r>
        <w:t xml:space="preserve">Open-weight and frontier model trackers (Slash Digital, teamday.ai, local-ai-zone), September to October 2026.</w:t>
      </w:r>
    </w:p>
    <w:p>
      <w:pPr>
        <w:pStyle w:val="FirstParagraph"/>
      </w:pPr>
      <w:r>
        <w:t xml:space="preserve">Technical references</w:t>
      </w:r>
    </w:p>
    <w:p>
      <w:pPr>
        <w:numPr>
          <w:ilvl w:val="0"/>
          <w:numId w:val="1010"/>
        </w:numPr>
        <w:pStyle w:val="Compact"/>
      </w:pPr>
      <w:r>
        <w:t xml:space="preserve">D. P. Kingma and J. Ba,</w:t>
      </w:r>
      <w:r>
        <w:t xml:space="preserve"> </w:t>
      </w:r>
      <w:r>
        <w:t xml:space="preserve">“</w:t>
      </w:r>
      <w:r>
        <w:t xml:space="preserve">Adam: A Method for Stochastic Optimization</w:t>
      </w:r>
      <w:r>
        <w:t xml:space="preserve">”</w:t>
      </w:r>
      <w:r>
        <w:t xml:space="preserve">, ICLR 2015.</w:t>
      </w:r>
    </w:p>
    <w:p>
      <w:pPr>
        <w:numPr>
          <w:ilvl w:val="0"/>
          <w:numId w:val="1010"/>
        </w:numPr>
        <w:pStyle w:val="Compact"/>
      </w:pPr>
      <w:r>
        <w:t xml:space="preserve">G. E. Hinton and R. R. Salakhutdinov,</w:t>
      </w:r>
      <w:r>
        <w:t xml:space="preserve"> </w:t>
      </w:r>
      <w:r>
        <w:t xml:space="preserve">“</w:t>
      </w:r>
      <w:r>
        <w:t xml:space="preserve">Reducing the Dimensionality of Data with Neural Networks</w:t>
      </w:r>
      <w:r>
        <w:t xml:space="preserve">”</w:t>
      </w:r>
      <w:r>
        <w:t xml:space="preserve">, Science, 2006.</w:t>
      </w:r>
    </w:p>
    <w:p>
      <w:pPr>
        <w:numPr>
          <w:ilvl w:val="0"/>
          <w:numId w:val="1010"/>
        </w:numPr>
        <w:pStyle w:val="Compact"/>
      </w:pPr>
      <w:r>
        <w:t xml:space="preserve">F. T. Liu, K. M. Ting and Z.-H. Zhou,</w:t>
      </w:r>
      <w:r>
        <w:t xml:space="preserve"> </w:t>
      </w:r>
      <w:r>
        <w:t xml:space="preserve">“</w:t>
      </w:r>
      <w:r>
        <w:t xml:space="preserve">Isolation Forest</w:t>
      </w:r>
      <w:r>
        <w:t xml:space="preserve">”</w:t>
      </w:r>
      <w:r>
        <w:t xml:space="preserve">, IEEE ICDM, 2008.</w:t>
      </w:r>
    </w:p>
    <w:p>
      <w:pPr>
        <w:numPr>
          <w:ilvl w:val="0"/>
          <w:numId w:val="1010"/>
        </w:numPr>
        <w:pStyle w:val="Compact"/>
      </w:pPr>
      <w:r>
        <w:t xml:space="preserve">I. Sharafaldin, A. H. Lashkari and A. A. Ghorbani,</w:t>
      </w:r>
      <w:r>
        <w:t xml:space="preserve"> </w:t>
      </w:r>
      <w:r>
        <w:t xml:space="preserve">“</w:t>
      </w:r>
      <w:r>
        <w:t xml:space="preserve">Toward Generating a New Intrusion Detection Dataset and Intrusion Traffic Characterization</w:t>
      </w:r>
      <w:r>
        <w:t xml:space="preserve">”</w:t>
      </w:r>
      <w:r>
        <w:t xml:space="preserve">, ICISSP, 2018 (CICIDS2017).</w:t>
      </w:r>
    </w:p>
    <w:p>
      <w:pPr>
        <w:numPr>
          <w:ilvl w:val="0"/>
          <w:numId w:val="1010"/>
        </w:numPr>
        <w:pStyle w:val="Compact"/>
      </w:pPr>
      <w:r>
        <w:t xml:space="preserve">M. Tavallaee et al.,</w:t>
      </w:r>
      <w:r>
        <w:t xml:space="preserve"> </w:t>
      </w:r>
      <w:r>
        <w:t xml:space="preserve">“</w:t>
      </w:r>
      <w:r>
        <w:t xml:space="preserve">A Detailed Analysis of the KDD CUP 99 Data Set</w:t>
      </w:r>
      <w:r>
        <w:t xml:space="preserve">”</w:t>
      </w:r>
      <w:r>
        <w:t xml:space="preserve">, IEEE CISDA, 2009 (NSL-KDD).</w:t>
      </w:r>
    </w:p>
    <w:p>
      <w:pPr>
        <w:pStyle w:val="FirstParagraph"/>
      </w:pPr>
      <w:r>
        <w:t xml:space="preserve">Viva preparation questions are in</w:t>
      </w:r>
      <w:r>
        <w:t xml:space="preserve"> </w:t>
      </w:r>
      <w:r>
        <w:rPr>
          <w:rStyle w:val="VerbatimChar"/>
        </w:rPr>
        <w:t xml:space="preserve">docs/VIVA_QA.md</w:t>
      </w:r>
      <w:r>
        <w:t xml:space="preserve">.</w:t>
      </w:r>
    </w:p>
    <w:bookmarkEnd w:id="70"/>
    <w:sectPr>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2"/>
    </w:rPr>
  </w:style>
  <w:style w:styleId="BodyText" w:type="paragraph">
    <w:name w:val="Body Text"/>
    <w:basedOn w:val="Normal"/>
    <w:link w:val="BodyTextChar"/>
    <w:pPr>
      <w:spacing w:after="180" w:before="180"/>
    </w:pPr>
    <w:qFormat/>
    <w:rPr>
      <w:rFonts w:ascii="Calibri" w:hAnsi="Calibri" w:eastAsia="Calibri"/>
      <w:sz w:val="22"/>
    </w:rPr>
  </w:style>
  <w:style w:customStyle="1" w:styleId="FirstParagraph" w:type="paragraph">
    <w:name w:val="First Paragraph"/>
    <w:basedOn w:val="BodyText"/>
    <w:next w:val="BodyText"/>
    <w:qFormat/>
    <w:rPr>
      <w:rFonts w:ascii="Calibri" w:hAnsi="Calibri" w:eastAsia="Calibri"/>
      <w:sz w:val="22"/>
    </w:rPr>
  </w:style>
  <w:style w:customStyle="1" w:styleId="Compact" w:type="paragraph">
    <w:name w:val="Compact"/>
    <w:basedOn w:val="BodyText"/>
    <w:qFormat/>
    <w:pPr>
      <w:spacing w:after="36" w:before="36"/>
    </w:pPr>
    <w:rPr>
      <w:rFonts w:ascii="Calibri" w:hAnsi="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0B3A5B"/>
      <w:sz w:val="52"/>
      <w:szCs w:val="36"/>
    </w:rPr>
  </w:style>
  <w:style w:styleId="Subtitle" w:type="paragraph">
    <w:name w:val="Subtitle"/>
    <w:basedOn w:val="Title"/>
    <w:next w:val="BodyText"/>
    <w:qFormat/>
    <w:pPr>
      <w:keepNext/>
      <w:keepLines/>
      <w:spacing w:after="240" w:before="240"/>
      <w:jc w:val="center"/>
    </w:pPr>
    <w:rPr>
      <w:rFonts w:ascii="Calibri" w:hAnsi="Calibri" w:eastAsia="Calibri"/>
      <w:color w:val="5A6B85"/>
      <w:sz w:val="28"/>
      <w:szCs w:val="30"/>
    </w:rPr>
  </w:style>
  <w:style w:customStyle="1" w:styleId="Author" w:type="paragraph">
    <w:name w:val="Author"/>
    <w:next w:val="BodyText"/>
    <w:qFormat/>
    <w:pPr>
      <w:keepNext/>
      <w:keepLines/>
      <w:jc w:val="center"/>
    </w:pPr>
    <w:rPr>
      <w:rFonts w:ascii="Calibri" w:hAnsi="Calibri" w:eastAsia="Calibri"/>
      <w:color w:val="0B3A5B"/>
      <w:sz w:val="26"/>
    </w:rPr>
  </w:style>
  <w:style w:styleId="Date" w:type="paragraph">
    <w:name w:val="Date"/>
    <w:next w:val="BodyText"/>
    <w:qFormat/>
    <w:pPr>
      <w:keepNext/>
      <w:keepLines/>
      <w:jc w:val="center"/>
    </w:pPr>
    <w:rPr>
      <w:rFonts w:ascii="Calibri" w:hAnsi="Calibri" w:eastAsia="Calibri"/>
      <w:color w:val="5A6B85"/>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62" Type="http://schemas.openxmlformats.org/officeDocument/2006/relationships/image" Target="media/rId62.png"/><Relationship Id="rId36" Type="http://schemas.openxmlformats.org/officeDocument/2006/relationships/image" Target="media/rId36.png"/><Relationship Id="rId46" Type="http://schemas.openxmlformats.org/officeDocument/2006/relationships/image" Target="media/rId46.png"/><Relationship Id="rId49" Type="http://schemas.openxmlformats.org/officeDocument/2006/relationships/image" Target="media/rId49.png"/><Relationship Id="rId29" Type="http://schemas.openxmlformats.org/officeDocument/2006/relationships/image" Target="media/rId29.png"/><Relationship Id="rId58" Type="http://schemas.openxmlformats.org/officeDocument/2006/relationships/image" Target="media/rId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AegisNet - Project Report</dc:title>
  <dc:creator>Rushi</dc:creator>
  <dc:language>en-US</dc:language>
  <cp:keywords/>
  <dcterms:created xsi:type="dcterms:W3CDTF">2026-10-08T19:45:07Z</dcterms:created>
  <dcterms:modified xsi:type="dcterms:W3CDTF">2026-10-08T19:45:07Z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