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3F7D3A"/>
          <w:spacing w:val="40"/>
          <w:sz w:val="24"/>
          <w:szCs w:val="24"/>
        </w:rPr>
        <w:t xml:space="preserve">TECHNICAL REPORT</w:t>
      </w:r>
    </w:p>
    <w:p>
      <w:pPr>
        <w:spacing w:after="100" w:before="200"/>
        <w:jc w:val="center"/>
      </w:pPr>
      <w:r>
        <w:rPr>
          <w:b/>
          <w:bCs/>
          <w:color w:val="1B3A1E"/>
          <w:sz w:val="52"/>
          <w:szCs w:val="52"/>
        </w:rPr>
        <w:t xml:space="preserve">SkyVille Supermart</w:t>
      </w:r>
    </w:p>
    <w:p>
      <w:pPr>
        <w:spacing w:after="400"/>
        <w:jc w:val="center"/>
      </w:pPr>
      <w:r>
        <w:rPr>
          <w:b/>
          <w:bCs/>
          <w:color w:val="3F7D3A"/>
          <w:sz w:val="38"/>
          <w:szCs w:val="38"/>
        </w:rPr>
        <w:t xml:space="preserve">Regional Sales and Revenue Performance Analysis</w:t>
      </w:r>
    </w:p>
    <w:p>
      <w:pPr>
        <w:spacing w:after="60"/>
        <w:jc w:val="center"/>
      </w:pPr>
      <w:r>
        <w:rPr>
          <w:i/>
          <w:iCs/>
          <w:color w:val="595959"/>
          <w:sz w:val="22"/>
          <w:szCs w:val="22"/>
        </w:rPr>
        <w:t xml:space="preserve">An Excel based data analysis and dashboard project</w:t>
      </w:r>
    </w:p>
    <w:p>
      <w:pPr>
        <w:spacing w:before="1000"/>
      </w:pPr>
    </w:p>
    <w:p>
      <w:pPr>
        <w:spacing w:after="40"/>
        <w:jc w:val="center"/>
      </w:pPr>
      <w:r>
        <w:rPr>
          <w:color w:val="1A1A1A"/>
          <w:sz w:val="22"/>
          <w:szCs w:val="22"/>
        </w:rPr>
        <w:t xml:space="preserve">Prepared by: Anyaogu Obinna Ogochukwu</w:t>
      </w:r>
    </w:p>
    <w:p>
      <w:pPr>
        <w:spacing w:after="40"/>
        <w:jc w:val="center"/>
      </w:pPr>
      <w:r>
        <w:rPr>
          <w:color w:val="1A1A1A"/>
          <w:sz w:val="22"/>
          <w:szCs w:val="22"/>
        </w:rPr>
        <w:t xml:space="preserve">Task Reference: TASK19 / VEPH50B / DA090</w:t>
      </w:r>
    </w:p>
    <w:p>
      <w:pPr>
        <w:spacing w:after="40"/>
        <w:jc w:val="center"/>
      </w:pPr>
      <w:r>
        <w:rPr>
          <w:color w:val="1A1A1A"/>
          <w:sz w:val="22"/>
          <w:szCs w:val="22"/>
        </w:rPr>
        <w:t xml:space="preserve">Tool used: Microsoft Excel (PivotTables, PivotCharts, Slicers, Dashboard Design)</w:t>
      </w:r>
    </w:p>
    <w:p>
      <w:pPr>
        <w:spacing w:after="40"/>
        <w:jc w:val="center"/>
      </w:pPr>
      <w:r>
        <w:rPr>
          <w:color w:val="1A1A1A"/>
          <w:sz w:val="22"/>
          <w:szCs w:val="22"/>
        </w:rPr>
        <w:t xml:space="preserve">Report date: 25 August 2026</w:t>
      </w:r>
    </w:p>
    <w:p>
      <w:r>
        <w:br w:type="page"/>
      </w:r>
    </w:p>
    <w:p>
      <w:pPr>
        <w:pStyle w:val="Heading1"/>
        <w:pBdr>
          <w:bottom w:val="single" w:color="3F7D3A" w:sz="6" w:space="4"/>
        </w:pBdr>
        <w:spacing w:after="200" w:before="400"/>
      </w:pPr>
      <w:r>
        <w:rPr>
          <w:b/>
          <w:bCs/>
          <w:color w:val="1B3A1E"/>
          <w:sz w:val="30"/>
          <w:szCs w:val="30"/>
        </w:rPr>
        <w:t xml:space="preserve">1. Outline</w:t>
      </w:r>
    </w:p>
    <w:p>
      <w:pPr>
        <w:spacing w:after="160" w:line="276"/>
        <w:jc w:val="both"/>
      </w:pPr>
      <w:r>
        <w:rPr>
          <w:color w:val="1A1A1A"/>
          <w:sz w:val="22"/>
          <w:szCs w:val="22"/>
        </w:rPr>
        <w:t xml:space="preserve">This report documents the process of analysing one year of order level sales data for SkyVille Supermart and presents the resulting insights through an interactive Excel dashboard. The sections below give a roadmap of the report.</w:t>
      </w:r>
    </w:p>
    <w:p>
      <w:pPr>
        <w:tabs>
          <w:tab w:val="right" w:pos="9026" w:leader="dot"/>
        </w:tabs>
        <w:spacing w:after="100"/>
      </w:pPr>
      <w:r>
        <w:rPr>
          <w:sz w:val="22"/>
          <w:szCs w:val="22"/>
        </w:rPr>
        <w:t xml:space="preserve">1.  Outline</w:t>
      </w:r>
    </w:p>
    <w:p>
      <w:pPr>
        <w:tabs>
          <w:tab w:val="right" w:pos="9026" w:leader="dot"/>
        </w:tabs>
        <w:spacing w:after="100"/>
      </w:pPr>
      <w:r>
        <w:rPr>
          <w:sz w:val="22"/>
          <w:szCs w:val="22"/>
        </w:rPr>
        <w:t xml:space="preserve">2.  Introduction</w:t>
      </w:r>
    </w:p>
    <w:p>
      <w:pPr>
        <w:tabs>
          <w:tab w:val="right" w:pos="9026" w:leader="dot"/>
        </w:tabs>
        <w:spacing w:after="100"/>
      </w:pPr>
      <w:r>
        <w:rPr>
          <w:sz w:val="22"/>
          <w:szCs w:val="22"/>
        </w:rPr>
        <w:t xml:space="preserve">3.  Story of Data</w:t>
      </w:r>
    </w:p>
    <w:p>
      <w:pPr>
        <w:tabs>
          <w:tab w:val="right" w:pos="9026" w:leader="dot"/>
        </w:tabs>
        <w:spacing w:after="100"/>
      </w:pPr>
      <w:r>
        <w:rPr>
          <w:sz w:val="22"/>
          <w:szCs w:val="22"/>
        </w:rPr>
        <w:t xml:space="preserve">4.  Data Splitting and Preprocessing</w:t>
      </w:r>
    </w:p>
    <w:p>
      <w:pPr>
        <w:tabs>
          <w:tab w:val="right" w:pos="9026" w:leader="dot"/>
        </w:tabs>
        <w:spacing w:after="100"/>
      </w:pPr>
      <w:r>
        <w:rPr>
          <w:sz w:val="22"/>
          <w:szCs w:val="22"/>
        </w:rPr>
        <w:t xml:space="preserve">5.  Pre-Analysis</w:t>
      </w:r>
    </w:p>
    <w:p>
      <w:pPr>
        <w:tabs>
          <w:tab w:val="right" w:pos="9026" w:leader="dot"/>
        </w:tabs>
        <w:spacing w:after="100"/>
      </w:pPr>
      <w:r>
        <w:rPr>
          <w:sz w:val="22"/>
          <w:szCs w:val="22"/>
        </w:rPr>
        <w:t xml:space="preserve">6.  In-Analysis</w:t>
      </w:r>
    </w:p>
    <w:p>
      <w:pPr>
        <w:tabs>
          <w:tab w:val="right" w:pos="9026" w:leader="dot"/>
        </w:tabs>
        <w:spacing w:after="100"/>
      </w:pPr>
      <w:r>
        <w:rPr>
          <w:sz w:val="22"/>
          <w:szCs w:val="22"/>
        </w:rPr>
        <w:t xml:space="preserve">7.  Post-Analysis and Insights</w:t>
      </w:r>
    </w:p>
    <w:p>
      <w:pPr>
        <w:tabs>
          <w:tab w:val="right" w:pos="9026" w:leader="dot"/>
        </w:tabs>
        <w:spacing w:after="100"/>
      </w:pPr>
      <w:r>
        <w:rPr>
          <w:sz w:val="22"/>
          <w:szCs w:val="22"/>
        </w:rPr>
        <w:t xml:space="preserve">8.  Data Visualizations and Charts</w:t>
      </w:r>
    </w:p>
    <w:p>
      <w:pPr>
        <w:tabs>
          <w:tab w:val="right" w:pos="9026" w:leader="dot"/>
        </w:tabs>
        <w:spacing w:after="100"/>
      </w:pPr>
      <w:r>
        <w:rPr>
          <w:sz w:val="22"/>
          <w:szCs w:val="22"/>
        </w:rPr>
        <w:t xml:space="preserve">9.  Recommendations and Observations</w:t>
      </w:r>
    </w:p>
    <w:p>
      <w:pPr>
        <w:tabs>
          <w:tab w:val="right" w:pos="9026" w:leader="dot"/>
        </w:tabs>
        <w:spacing w:after="100"/>
      </w:pPr>
      <w:r>
        <w:rPr>
          <w:sz w:val="22"/>
          <w:szCs w:val="22"/>
        </w:rPr>
        <w:t xml:space="preserve">10.  Conclusion</w:t>
      </w:r>
    </w:p>
    <w:p>
      <w:pPr>
        <w:tabs>
          <w:tab w:val="right" w:pos="9026" w:leader="dot"/>
        </w:tabs>
        <w:spacing w:after="100"/>
      </w:pPr>
      <w:r>
        <w:rPr>
          <w:sz w:val="22"/>
          <w:szCs w:val="22"/>
        </w:rPr>
        <w:t xml:space="preserve">11.  References and Appendices</w:t>
      </w:r>
    </w:p>
    <w:p>
      <w:r>
        <w:br w:type="page"/>
      </w:r>
    </w:p>
    <w:p>
      <w:pPr>
        <w:pStyle w:val="Heading1"/>
        <w:pBdr>
          <w:bottom w:val="single" w:color="3F7D3A" w:sz="6" w:space="4"/>
        </w:pBdr>
        <w:spacing w:after="200" w:before="400"/>
      </w:pPr>
      <w:r>
        <w:rPr>
          <w:b/>
          <w:bCs/>
          <w:color w:val="1B3A1E"/>
          <w:sz w:val="30"/>
          <w:szCs w:val="30"/>
        </w:rPr>
        <w:t xml:space="preserve">2. Introduction</w:t>
      </w:r>
    </w:p>
    <w:p>
      <w:pPr>
        <w:pStyle w:val="Heading2"/>
        <w:spacing w:after="120" w:before="280"/>
      </w:pPr>
      <w:r>
        <w:rPr>
          <w:b/>
          <w:bCs/>
          <w:color w:val="3F7D3A"/>
          <w:sz w:val="24"/>
          <w:szCs w:val="24"/>
        </w:rPr>
        <w:t xml:space="preserve">2.1 Objective of the Project</w:t>
      </w:r>
    </w:p>
    <w:p>
      <w:pPr>
        <w:spacing w:after="160" w:line="276"/>
        <w:jc w:val="both"/>
      </w:pPr>
      <w:r>
        <w:rPr>
          <w:color w:val="1A1A1A"/>
          <w:sz w:val="22"/>
          <w:szCs w:val="22"/>
        </w:rPr>
        <w:t xml:space="preserve">The objective of this project is to analyse SkyVille Supermart's order level sales data and build a single page interactive dashboard that management can use to monitor revenue performance across regions, states, ship cities, salespeople, product categories and customers. The analysis focuses on identifying which parts of the business drive the most revenue, how concentrated that revenue is among customers and salespeople, and how sales move across the year.</w:t>
      </w:r>
    </w:p>
    <w:p>
      <w:pPr>
        <w:pStyle w:val="Heading2"/>
        <w:spacing w:after="120" w:before="280"/>
      </w:pPr>
      <w:r>
        <w:rPr>
          <w:b/>
          <w:bCs/>
          <w:color w:val="3F7D3A"/>
          <w:sz w:val="24"/>
          <w:szCs w:val="24"/>
        </w:rPr>
        <w:t xml:space="preserve">2.2 Problem Being Addressed</w:t>
      </w:r>
    </w:p>
    <w:p>
      <w:pPr>
        <w:spacing w:after="160" w:line="276"/>
        <w:jc w:val="both"/>
      </w:pPr>
      <w:r>
        <w:rPr>
          <w:color w:val="1A1A1A"/>
          <w:sz w:val="22"/>
          <w:szCs w:val="22"/>
        </w:rPr>
        <w:t xml:space="preserve">Ahead of this project, SkyVille Supermart's leadership had raw order records spread across many fields, order, shipping, customer and product details, but no consolidated view of where revenue was concentrated. Decisions on regional investment, salesperson support and customer account management were being made without a clear picture of which regions, cities, salespeople and customers actually carry the business. This report addresses that gap by turning 369 raw order records into a decision ready dashboard and a set of concrete recommendations.</w:t>
      </w:r>
    </w:p>
    <w:p>
      <w:pPr>
        <w:pStyle w:val="Heading2"/>
        <w:spacing w:after="120" w:before="280"/>
      </w:pPr>
      <w:r>
        <w:rPr>
          <w:b/>
          <w:bCs/>
          <w:color w:val="3F7D3A"/>
          <w:sz w:val="24"/>
          <w:szCs w:val="24"/>
        </w:rPr>
        <w:t xml:space="preserve">2.3 Key Datasets and Methodologies</w:t>
      </w:r>
    </w:p>
    <w:p>
      <w:pPr>
        <w:spacing w:after="160" w:line="276"/>
        <w:jc w:val="both"/>
      </w:pPr>
      <w:r>
        <w:rPr>
          <w:color w:val="1A1A1A"/>
          <w:sz w:val="22"/>
          <w:szCs w:val="22"/>
        </w:rPr>
        <w:t xml:space="preserve">The analysis uses a single order level dataset of 369 transactions covering 15 customers, 8 salespeople, 14 product categories, 12 states and 12 ship cities across four regions. In Microsoft Excel, the raw data was structured as a formal table and multiple PivotTables were built to summarise Sales by Region, Transaction by Amount, Top 5 Cities, Top 6 Ship Cities, Sales by Salesperson, Top 10 Customers, Sales Trend, State Performance by Revenue and Product Performance. These PivotTables feed the PivotCharts, donut charts, treemap and map visual on the final dashboard, and a slicer was added for Product Name so stakeholders can filter the dashboard interactively.</w:t>
      </w:r>
    </w:p>
    <w:p>
      <w:pPr>
        <w:pStyle w:val="Heading1"/>
        <w:pBdr>
          <w:bottom w:val="single" w:color="3F7D3A" w:sz="6" w:space="4"/>
        </w:pBdr>
        <w:spacing w:after="200" w:before="400"/>
      </w:pPr>
      <w:r>
        <w:rPr>
          <w:b/>
          <w:bCs/>
          <w:color w:val="1B3A1E"/>
          <w:sz w:val="30"/>
          <w:szCs w:val="30"/>
        </w:rPr>
        <w:t xml:space="preserve">3. Story of Data</w:t>
      </w:r>
    </w:p>
    <w:p>
      <w:pPr>
        <w:pStyle w:val="Heading2"/>
        <w:spacing w:after="120" w:before="280"/>
      </w:pPr>
      <w:r>
        <w:rPr>
          <w:b/>
          <w:bCs/>
          <w:color w:val="3F7D3A"/>
          <w:sz w:val="24"/>
          <w:szCs w:val="24"/>
        </w:rPr>
        <w:t xml:space="preserve">3.1 Data Source</w:t>
      </w:r>
    </w:p>
    <w:p>
      <w:pPr>
        <w:spacing w:after="160" w:line="276"/>
        <w:jc w:val="both"/>
      </w:pPr>
      <w:r>
        <w:rPr>
          <w:color w:val="1A1A1A"/>
          <w:sz w:val="22"/>
          <w:szCs w:val="22"/>
        </w:rPr>
        <w:t xml:space="preserve">The dataset is an internal order record maintained by SkyVille Supermart, structured as a single Excel table. Each row represents one order line, capturing the customer, salesperson, shipping details, product and revenue associated with that order.</w:t>
      </w:r>
    </w:p>
    <w:p>
      <w:pPr>
        <w:pStyle w:val="Heading2"/>
        <w:spacing w:after="120" w:before="280"/>
      </w:pPr>
      <w:r>
        <w:rPr>
          <w:b/>
          <w:bCs/>
          <w:color w:val="3F7D3A"/>
          <w:sz w:val="24"/>
          <w:szCs w:val="24"/>
        </w:rPr>
        <w:t xml:space="preserve">3.2 Data Collection Process</w:t>
      </w:r>
    </w:p>
    <w:p>
      <w:pPr>
        <w:spacing w:after="160" w:line="276"/>
        <w:jc w:val="both"/>
      </w:pPr>
      <w:r>
        <w:rPr>
          <w:color w:val="1A1A1A"/>
          <w:sz w:val="22"/>
          <w:szCs w:val="22"/>
        </w:rPr>
        <w:t xml:space="preserve">The records originate from the company's order management and shipping system, where each completed order is logged with an order and shipped date, customer and salesperson identity, product and category, and revenue and shipping fee. For this task the extract was exported as a flat file and imported into Excel, where it was converted into a structured table to support PivotTable analysis and slicer based filtering.</w:t>
      </w:r>
    </w:p>
    <w:p>
      <w:pPr>
        <w:pStyle w:val="Heading2"/>
        <w:spacing w:after="120" w:before="280"/>
      </w:pPr>
      <w:r>
        <w:rPr>
          <w:b/>
          <w:bCs/>
          <w:color w:val="3F7D3A"/>
          <w:sz w:val="24"/>
          <w:szCs w:val="24"/>
        </w:rPr>
        <w:t xml:space="preserve">3.3 Data Structure</w:t>
      </w:r>
    </w:p>
    <w:p>
      <w:pPr>
        <w:spacing w:after="160" w:line="276"/>
        <w:jc w:val="both"/>
      </w:pPr>
      <w:r>
        <w:rPr>
          <w:color w:val="1A1A1A"/>
          <w:sz w:val="22"/>
          <w:szCs w:val="22"/>
        </w:rPr>
        <w:t xml:space="preserve">The dataset contains 369 rows and 26 columns. Each row is one order line and each column describes one attribute of that order, as summarised below.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6600"/>
      </w:tblGrid>
      <w:tr>
        <w:trPr>
          <w:tblHeader/>
        </w:trPr>
        <w:tc>
          <w:tcPr>
            <w:tcW w:type="dxa" w:w="2900"/>
            <w:shd w:fill="1B3A1E" w:color="auto" w:val="clear"/>
            <w:tcMar>
              <w:top w:type="dxa" w:w="80"/>
              <w:left w:type="dxa" w:w="120"/>
              <w:bottom w:type="dxa" w:w="80"/>
              <w:right w:type="dxa" w:w="120"/>
            </w:tcMar>
            <w:vAlign w:val="center"/>
          </w:tcPr>
          <w:p>
            <w:pPr>
              <w:jc w:val="left"/>
            </w:pPr>
            <w:r>
              <w:rPr>
                <w:b/>
                <w:bCs/>
                <w:color w:val="FFFFFF"/>
                <w:sz w:val="20"/>
                <w:szCs w:val="20"/>
              </w:rPr>
              <w:t xml:space="preserve">Column</w:t>
            </w:r>
          </w:p>
        </w:tc>
        <w:tc>
          <w:tcPr>
            <w:tcW w:type="dxa" w:w="6600"/>
            <w:shd w:fill="1B3A1E" w:color="auto"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2900"/>
            <w:shd w:fill="FFFFFF" w:color="auto" w:val="clear"/>
            <w:tcMar>
              <w:top w:type="dxa" w:w="70"/>
              <w:left w:type="dxa" w:w="120"/>
              <w:bottom w:type="dxa" w:w="70"/>
              <w:right w:type="dxa" w:w="120"/>
            </w:tcMar>
            <w:vAlign w:val="center"/>
          </w:tcPr>
          <w:p>
            <w:pPr>
              <w:jc w:val="left"/>
            </w:pPr>
            <w:r>
              <w:rPr>
                <w:sz w:val="20"/>
                <w:szCs w:val="20"/>
              </w:rPr>
              <w:t xml:space="preserve">Order ID / Order Date</w:t>
            </w:r>
          </w:p>
        </w:tc>
        <w:tc>
          <w:tcPr>
            <w:tcW w:type="dxa" w:w="6600"/>
            <w:shd w:fill="FFFFFF" w:color="auto" w:val="clear"/>
            <w:tcMar>
              <w:top w:type="dxa" w:w="70"/>
              <w:left w:type="dxa" w:w="120"/>
              <w:bottom w:type="dxa" w:w="70"/>
              <w:right w:type="dxa" w:w="120"/>
            </w:tcMar>
            <w:vAlign w:val="center"/>
          </w:tcPr>
          <w:p>
            <w:pPr>
              <w:jc w:val="center"/>
            </w:pPr>
            <w:r>
              <w:rPr>
                <w:sz w:val="20"/>
                <w:szCs w:val="20"/>
              </w:rPr>
              <w:t xml:space="preserve">Unique order identifier and the date it was placed</w:t>
            </w:r>
          </w:p>
        </w:tc>
      </w:tr>
      <w:tr>
        <w:tc>
          <w:tcPr>
            <w:tcW w:type="dxa" w:w="2900"/>
            <w:shd w:fill="EAF3E6" w:color="auto" w:val="clear"/>
            <w:tcMar>
              <w:top w:type="dxa" w:w="70"/>
              <w:left w:type="dxa" w:w="120"/>
              <w:bottom w:type="dxa" w:w="70"/>
              <w:right w:type="dxa" w:w="120"/>
            </w:tcMar>
            <w:vAlign w:val="center"/>
          </w:tcPr>
          <w:p>
            <w:pPr>
              <w:jc w:val="left"/>
            </w:pPr>
            <w:r>
              <w:rPr>
                <w:sz w:val="20"/>
                <w:szCs w:val="20"/>
              </w:rPr>
              <w:t xml:space="preserve">Customer ID / Name / Address</w:t>
            </w:r>
          </w:p>
        </w:tc>
        <w:tc>
          <w:tcPr>
            <w:tcW w:type="dxa" w:w="6600"/>
            <w:shd w:fill="EAF3E6" w:color="auto" w:val="clear"/>
            <w:tcMar>
              <w:top w:type="dxa" w:w="70"/>
              <w:left w:type="dxa" w:w="120"/>
              <w:bottom w:type="dxa" w:w="70"/>
              <w:right w:type="dxa" w:w="120"/>
            </w:tcMar>
            <w:vAlign w:val="center"/>
          </w:tcPr>
          <w:p>
            <w:pPr>
              <w:jc w:val="center"/>
            </w:pPr>
            <w:r>
              <w:rPr>
                <w:sz w:val="20"/>
                <w:szCs w:val="20"/>
              </w:rPr>
              <w:t xml:space="preserve">Identity and billing location of the purchasing company</w:t>
            </w:r>
          </w:p>
        </w:tc>
      </w:tr>
      <w:tr>
        <w:tc>
          <w:tcPr>
            <w:tcW w:type="dxa" w:w="2900"/>
            <w:shd w:fill="FFFFFF" w:color="auto" w:val="clear"/>
            <w:tcMar>
              <w:top w:type="dxa" w:w="70"/>
              <w:left w:type="dxa" w:w="120"/>
              <w:bottom w:type="dxa" w:w="70"/>
              <w:right w:type="dxa" w:w="120"/>
            </w:tcMar>
            <w:vAlign w:val="center"/>
          </w:tcPr>
          <w:p>
            <w:pPr>
              <w:jc w:val="left"/>
            </w:pPr>
            <w:r>
              <w:rPr>
                <w:sz w:val="20"/>
                <w:szCs w:val="20"/>
              </w:rPr>
              <w:t xml:space="preserve">Region / State / City</w:t>
            </w:r>
          </w:p>
        </w:tc>
        <w:tc>
          <w:tcPr>
            <w:tcW w:type="dxa" w:w="6600"/>
            <w:shd w:fill="FFFFFF" w:color="auto" w:val="clear"/>
            <w:tcMar>
              <w:top w:type="dxa" w:w="70"/>
              <w:left w:type="dxa" w:w="120"/>
              <w:bottom w:type="dxa" w:w="70"/>
              <w:right w:type="dxa" w:w="120"/>
            </w:tcMar>
            <w:vAlign w:val="center"/>
          </w:tcPr>
          <w:p>
            <w:pPr>
              <w:jc w:val="center"/>
            </w:pPr>
            <w:r>
              <w:rPr>
                <w:sz w:val="20"/>
                <w:szCs w:val="20"/>
              </w:rPr>
              <w:t xml:space="preserve">Billing region, state and city of the customer</w:t>
            </w:r>
          </w:p>
        </w:tc>
      </w:tr>
      <w:tr>
        <w:tc>
          <w:tcPr>
            <w:tcW w:type="dxa" w:w="2900"/>
            <w:shd w:fill="EAF3E6" w:color="auto" w:val="clear"/>
            <w:tcMar>
              <w:top w:type="dxa" w:w="70"/>
              <w:left w:type="dxa" w:w="120"/>
              <w:bottom w:type="dxa" w:w="70"/>
              <w:right w:type="dxa" w:w="120"/>
            </w:tcMar>
            <w:vAlign w:val="center"/>
          </w:tcPr>
          <w:p>
            <w:pPr>
              <w:jc w:val="left"/>
            </w:pPr>
            <w:r>
              <w:rPr>
                <w:sz w:val="20"/>
                <w:szCs w:val="20"/>
              </w:rPr>
              <w:t xml:space="preserve">Salesperson</w:t>
            </w:r>
          </w:p>
        </w:tc>
        <w:tc>
          <w:tcPr>
            <w:tcW w:type="dxa" w:w="6600"/>
            <w:shd w:fill="EAF3E6" w:color="auto" w:val="clear"/>
            <w:tcMar>
              <w:top w:type="dxa" w:w="70"/>
              <w:left w:type="dxa" w:w="120"/>
              <w:bottom w:type="dxa" w:w="70"/>
              <w:right w:type="dxa" w:w="120"/>
            </w:tcMar>
            <w:vAlign w:val="center"/>
          </w:tcPr>
          <w:p>
            <w:pPr>
              <w:jc w:val="center"/>
            </w:pPr>
            <w:r>
              <w:rPr>
                <w:sz w:val="20"/>
                <w:szCs w:val="20"/>
              </w:rPr>
              <w:t xml:space="preserve">One of 8 salespeople who managed the order</w:t>
            </w:r>
          </w:p>
        </w:tc>
      </w:tr>
      <w:tr>
        <w:tc>
          <w:tcPr>
            <w:tcW w:type="dxa" w:w="2900"/>
            <w:shd w:fill="FFFFFF" w:color="auto" w:val="clear"/>
            <w:tcMar>
              <w:top w:type="dxa" w:w="70"/>
              <w:left w:type="dxa" w:w="120"/>
              <w:bottom w:type="dxa" w:w="70"/>
              <w:right w:type="dxa" w:w="120"/>
            </w:tcMar>
            <w:vAlign w:val="center"/>
          </w:tcPr>
          <w:p>
            <w:pPr>
              <w:jc w:val="left"/>
            </w:pPr>
            <w:r>
              <w:rPr>
                <w:sz w:val="20"/>
                <w:szCs w:val="20"/>
              </w:rPr>
              <w:t xml:space="preserve">Shipped Date / Shipper Name</w:t>
            </w:r>
          </w:p>
        </w:tc>
        <w:tc>
          <w:tcPr>
            <w:tcW w:type="dxa" w:w="6600"/>
            <w:shd w:fill="FFFFFF" w:color="auto" w:val="clear"/>
            <w:tcMar>
              <w:top w:type="dxa" w:w="70"/>
              <w:left w:type="dxa" w:w="120"/>
              <w:bottom w:type="dxa" w:w="70"/>
              <w:right w:type="dxa" w:w="120"/>
            </w:tcMar>
            <w:vAlign w:val="center"/>
          </w:tcPr>
          <w:p>
            <w:pPr>
              <w:jc w:val="center"/>
            </w:pPr>
            <w:r>
              <w:rPr>
                <w:sz w:val="20"/>
                <w:szCs w:val="20"/>
              </w:rPr>
              <w:t xml:space="preserve">Date and carrier used to ship the order</w:t>
            </w:r>
          </w:p>
        </w:tc>
      </w:tr>
      <w:tr>
        <w:tc>
          <w:tcPr>
            <w:tcW w:type="dxa" w:w="2900"/>
            <w:shd w:fill="EAF3E6" w:color="auto" w:val="clear"/>
            <w:tcMar>
              <w:top w:type="dxa" w:w="70"/>
              <w:left w:type="dxa" w:w="120"/>
              <w:bottom w:type="dxa" w:w="70"/>
              <w:right w:type="dxa" w:w="120"/>
            </w:tcMar>
            <w:vAlign w:val="center"/>
          </w:tcPr>
          <w:p>
            <w:pPr>
              <w:jc w:val="left"/>
            </w:pPr>
            <w:r>
              <w:rPr>
                <w:sz w:val="20"/>
                <w:szCs w:val="20"/>
              </w:rPr>
              <w:t xml:space="preserve">Ship Name / Address / City / State</w:t>
            </w:r>
          </w:p>
        </w:tc>
        <w:tc>
          <w:tcPr>
            <w:tcW w:type="dxa" w:w="6600"/>
            <w:shd w:fill="EAF3E6" w:color="auto" w:val="clear"/>
            <w:tcMar>
              <w:top w:type="dxa" w:w="70"/>
              <w:left w:type="dxa" w:w="120"/>
              <w:bottom w:type="dxa" w:w="70"/>
              <w:right w:type="dxa" w:w="120"/>
            </w:tcMar>
            <w:vAlign w:val="center"/>
          </w:tcPr>
          <w:p>
            <w:pPr>
              <w:jc w:val="center"/>
            </w:pPr>
            <w:r>
              <w:rPr>
                <w:sz w:val="20"/>
                <w:szCs w:val="20"/>
              </w:rPr>
              <w:t xml:space="preserve">Shipping destination details</w:t>
            </w:r>
          </w:p>
        </w:tc>
      </w:tr>
      <w:tr>
        <w:tc>
          <w:tcPr>
            <w:tcW w:type="dxa" w:w="2900"/>
            <w:shd w:fill="FFFFFF" w:color="auto" w:val="clear"/>
            <w:tcMar>
              <w:top w:type="dxa" w:w="70"/>
              <w:left w:type="dxa" w:w="120"/>
              <w:bottom w:type="dxa" w:w="70"/>
              <w:right w:type="dxa" w:w="120"/>
            </w:tcMar>
            <w:vAlign w:val="center"/>
          </w:tcPr>
          <w:p>
            <w:pPr>
              <w:jc w:val="left"/>
            </w:pPr>
            <w:r>
              <w:rPr>
                <w:sz w:val="20"/>
                <w:szCs w:val="20"/>
              </w:rPr>
              <w:t xml:space="preserve">Payment Type</w:t>
            </w:r>
          </w:p>
        </w:tc>
        <w:tc>
          <w:tcPr>
            <w:tcW w:type="dxa" w:w="6600"/>
            <w:shd w:fill="FFFFFF" w:color="auto" w:val="clear"/>
            <w:tcMar>
              <w:top w:type="dxa" w:w="70"/>
              <w:left w:type="dxa" w:w="120"/>
              <w:bottom w:type="dxa" w:w="70"/>
              <w:right w:type="dxa" w:w="120"/>
            </w:tcMar>
            <w:vAlign w:val="center"/>
          </w:tcPr>
          <w:p>
            <w:pPr>
              <w:jc w:val="center"/>
            </w:pPr>
            <w:r>
              <w:rPr>
                <w:sz w:val="20"/>
                <w:szCs w:val="20"/>
              </w:rPr>
              <w:t xml:space="preserve">Credit Card, Check or Cash</w:t>
            </w:r>
          </w:p>
        </w:tc>
      </w:tr>
      <w:tr>
        <w:tc>
          <w:tcPr>
            <w:tcW w:type="dxa" w:w="2900"/>
            <w:shd w:fill="EAF3E6" w:color="auto" w:val="clear"/>
            <w:tcMar>
              <w:top w:type="dxa" w:w="70"/>
              <w:left w:type="dxa" w:w="120"/>
              <w:bottom w:type="dxa" w:w="70"/>
              <w:right w:type="dxa" w:w="120"/>
            </w:tcMar>
            <w:vAlign w:val="center"/>
          </w:tcPr>
          <w:p>
            <w:pPr>
              <w:jc w:val="left"/>
            </w:pPr>
            <w:r>
              <w:rPr>
                <w:sz w:val="20"/>
                <w:szCs w:val="20"/>
              </w:rPr>
              <w:t xml:space="preserve">Product Name / Category</w:t>
            </w:r>
          </w:p>
        </w:tc>
        <w:tc>
          <w:tcPr>
            <w:tcW w:type="dxa" w:w="6600"/>
            <w:shd w:fill="EAF3E6" w:color="auto" w:val="clear"/>
            <w:tcMar>
              <w:top w:type="dxa" w:w="70"/>
              <w:left w:type="dxa" w:w="120"/>
              <w:bottom w:type="dxa" w:w="70"/>
              <w:right w:type="dxa" w:w="120"/>
            </w:tcMar>
            <w:vAlign w:val="center"/>
          </w:tcPr>
          <w:p>
            <w:pPr>
              <w:jc w:val="center"/>
            </w:pPr>
            <w:r>
              <w:rPr>
                <w:sz w:val="20"/>
                <w:szCs w:val="20"/>
              </w:rPr>
              <w:t xml:space="preserve">Item ordered and its category, one of 14 categories</w:t>
            </w:r>
          </w:p>
        </w:tc>
      </w:tr>
      <w:tr>
        <w:tc>
          <w:tcPr>
            <w:tcW w:type="dxa" w:w="2900"/>
            <w:shd w:fill="FFFFFF" w:color="auto" w:val="clear"/>
            <w:tcMar>
              <w:top w:type="dxa" w:w="70"/>
              <w:left w:type="dxa" w:w="120"/>
              <w:bottom w:type="dxa" w:w="70"/>
              <w:right w:type="dxa" w:w="120"/>
            </w:tcMar>
            <w:vAlign w:val="center"/>
          </w:tcPr>
          <w:p>
            <w:pPr>
              <w:jc w:val="left"/>
            </w:pPr>
            <w:r>
              <w:rPr>
                <w:sz w:val="20"/>
                <w:szCs w:val="20"/>
              </w:rPr>
              <w:t xml:space="preserve">Unit Price / Quantity</w:t>
            </w:r>
          </w:p>
        </w:tc>
        <w:tc>
          <w:tcPr>
            <w:tcW w:type="dxa" w:w="6600"/>
            <w:shd w:fill="FFFFFF" w:color="auto" w:val="clear"/>
            <w:tcMar>
              <w:top w:type="dxa" w:w="70"/>
              <w:left w:type="dxa" w:w="120"/>
              <w:bottom w:type="dxa" w:w="70"/>
              <w:right w:type="dxa" w:w="120"/>
            </w:tcMar>
            <w:vAlign w:val="center"/>
          </w:tcPr>
          <w:p>
            <w:pPr>
              <w:jc w:val="center"/>
            </w:pPr>
            <w:r>
              <w:rPr>
                <w:sz w:val="20"/>
                <w:szCs w:val="20"/>
              </w:rPr>
              <w:t xml:space="preserve">Price per unit and units ordered</w:t>
            </w:r>
          </w:p>
        </w:tc>
      </w:tr>
      <w:tr>
        <w:tc>
          <w:tcPr>
            <w:tcW w:type="dxa" w:w="2900"/>
            <w:shd w:fill="EAF3E6" w:color="auto" w:val="clear"/>
            <w:tcMar>
              <w:top w:type="dxa" w:w="70"/>
              <w:left w:type="dxa" w:w="120"/>
              <w:bottom w:type="dxa" w:w="70"/>
              <w:right w:type="dxa" w:w="120"/>
            </w:tcMar>
            <w:vAlign w:val="center"/>
          </w:tcPr>
          <w:p>
            <w:pPr>
              <w:jc w:val="left"/>
            </w:pPr>
            <w:r>
              <w:rPr>
                <w:sz w:val="20"/>
                <w:szCs w:val="20"/>
              </w:rPr>
              <w:t xml:space="preserve">Revenue</w:t>
            </w:r>
          </w:p>
        </w:tc>
        <w:tc>
          <w:tcPr>
            <w:tcW w:type="dxa" w:w="6600"/>
            <w:shd w:fill="EAF3E6" w:color="auto" w:val="clear"/>
            <w:tcMar>
              <w:top w:type="dxa" w:w="70"/>
              <w:left w:type="dxa" w:w="120"/>
              <w:bottom w:type="dxa" w:w="70"/>
              <w:right w:type="dxa" w:w="120"/>
            </w:tcMar>
            <w:vAlign w:val="center"/>
          </w:tcPr>
          <w:p>
            <w:pPr>
              <w:jc w:val="center"/>
            </w:pPr>
            <w:r>
              <w:rPr>
                <w:sz w:val="20"/>
                <w:szCs w:val="20"/>
              </w:rPr>
              <w:t xml:space="preserve">Total revenue generated by the order line</w:t>
            </w:r>
          </w:p>
        </w:tc>
      </w:tr>
      <w:tr>
        <w:tc>
          <w:tcPr>
            <w:tcW w:type="dxa" w:w="2900"/>
            <w:shd w:fill="FFFFFF" w:color="auto" w:val="clear"/>
            <w:tcMar>
              <w:top w:type="dxa" w:w="70"/>
              <w:left w:type="dxa" w:w="120"/>
              <w:bottom w:type="dxa" w:w="70"/>
              <w:right w:type="dxa" w:w="120"/>
            </w:tcMar>
            <w:vAlign w:val="center"/>
          </w:tcPr>
          <w:p>
            <w:pPr>
              <w:jc w:val="left"/>
            </w:pPr>
            <w:r>
              <w:rPr>
                <w:sz w:val="20"/>
                <w:szCs w:val="20"/>
              </w:rPr>
              <w:t xml:space="preserve">Shipping Fee</w:t>
            </w:r>
          </w:p>
        </w:tc>
        <w:tc>
          <w:tcPr>
            <w:tcW w:type="dxa" w:w="6600"/>
            <w:shd w:fill="FFFFFF" w:color="auto" w:val="clear"/>
            <w:tcMar>
              <w:top w:type="dxa" w:w="70"/>
              <w:left w:type="dxa" w:w="120"/>
              <w:bottom w:type="dxa" w:w="70"/>
              <w:right w:type="dxa" w:w="120"/>
            </w:tcMar>
            <w:vAlign w:val="center"/>
          </w:tcPr>
          <w:p>
            <w:pPr>
              <w:jc w:val="center"/>
            </w:pPr>
            <w:r>
              <w:rPr>
                <w:sz w:val="20"/>
                <w:szCs w:val="20"/>
              </w:rPr>
              <w:t xml:space="preserve">Shipping cost associated with the order line</w:t>
            </w:r>
          </w:p>
        </w:tc>
      </w:tr>
    </w:tbl>
    <w:p>
      <w:pPr>
        <w:spacing w:after="300" w:before="100"/>
        <w:jc w:val="center"/>
      </w:pPr>
      <w:r>
        <w:rPr>
          <w:i/>
          <w:iCs/>
          <w:color w:val="595959"/>
          <w:sz w:val="20"/>
          <w:szCs w:val="20"/>
        </w:rPr>
        <w:t xml:space="preserve">Table 1: Structure of the SkyVille Supermart order dataset</w:t>
      </w:r>
    </w:p>
    <w:p>
      <w:pPr>
        <w:pStyle w:val="Heading2"/>
        <w:spacing w:after="120" w:before="280"/>
      </w:pPr>
      <w:r>
        <w:rPr>
          <w:b/>
          <w:bCs/>
          <w:color w:val="3F7D3A"/>
          <w:sz w:val="24"/>
          <w:szCs w:val="24"/>
        </w:rPr>
        <w:t xml:space="preserve">3.4 Important Features and Their Significance</w:t>
      </w:r>
    </w:p>
    <w:p>
      <w:pPr>
        <w:spacing w:after="160" w:line="276"/>
        <w:jc w:val="both"/>
      </w:pPr>
      <w:r>
        <w:rPr>
          <w:color w:val="1A1A1A"/>
          <w:sz w:val="22"/>
          <w:szCs w:val="22"/>
        </w:rPr>
        <w:t xml:space="preserve">Region, State and Ship City are the geographic dimensions the business uses to evaluate market performance, while Salesperson and Customer Name allow performance to be viewed at the individual account and rep level. Revenue is the primary measure used throughout the dashboard, and Category groups the 14 distinct product lines into a manageable set for comparison. Payment Type and Shipping Fee were retained because they help explain operational cost and customer behaviour alongside the core revenue story.</w:t>
      </w:r>
    </w:p>
    <w:p>
      <w:pPr>
        <w:pStyle w:val="Heading2"/>
        <w:spacing w:after="120" w:before="280"/>
      </w:pPr>
      <w:r>
        <w:rPr>
          <w:b/>
          <w:bCs/>
          <w:color w:val="3F7D3A"/>
          <w:sz w:val="24"/>
          <w:szCs w:val="24"/>
        </w:rPr>
        <w:t xml:space="preserve">3.5 Data Limitations or Biases</w:t>
      </w:r>
    </w:p>
    <w:p>
      <w:pPr>
        <w:spacing w:after="160" w:line="276"/>
        <w:jc w:val="both"/>
      </w:pPr>
      <w:r>
        <w:rPr>
          <w:color w:val="1A1A1A"/>
          <w:sz w:val="22"/>
          <w:szCs w:val="22"/>
        </w:rPr>
        <w:t xml:space="preserve">Several data quality issues were identified during review. Payment Type is missing for 102 of 369 orders, 27.6 percent, which limits how confidently payment method trends can be reported. Shipped Date is missing for 78 orders and Shipper Name for 39, both likely reflecting orders that had not yet shipped at the time of export. Three order lines were recorded with no Product Name, Unit Price or Quantity and instead carry the category label "Shipping Fee", which appears to be a data entry inconsistency rather than a genuine product category, these three lines were treated as shipping related entries rather than product sales in the category analysis. Separately, while every order date in the dataset falls within 2014, the dashboard is titled Profitability Analysis for 2025, this labelling should be corrected to reflect the actual period covered by the data. Finally, the dataset contains no cost or margin field, so this analysis reports on revenue rather than profitability.</w:t>
      </w:r>
    </w:p>
    <w:p>
      <w:pPr>
        <w:pStyle w:val="Heading1"/>
        <w:pBdr>
          <w:bottom w:val="single" w:color="3F7D3A" w:sz="6" w:space="4"/>
        </w:pBdr>
        <w:spacing w:after="200" w:before="400"/>
      </w:pPr>
      <w:r>
        <w:rPr>
          <w:b/>
          <w:bCs/>
          <w:color w:val="1B3A1E"/>
          <w:sz w:val="30"/>
          <w:szCs w:val="30"/>
        </w:rPr>
        <w:t xml:space="preserve">4. Data Splitting and Preprocessing</w:t>
      </w:r>
    </w:p>
    <w:p>
      <w:pPr>
        <w:pStyle w:val="Heading2"/>
        <w:spacing w:after="120" w:before="280"/>
      </w:pPr>
      <w:r>
        <w:rPr>
          <w:b/>
          <w:bCs/>
          <w:color w:val="3F7D3A"/>
          <w:sz w:val="24"/>
          <w:szCs w:val="24"/>
        </w:rPr>
        <w:t xml:space="preserve">4.1 Data Cleaning</w:t>
      </w:r>
    </w:p>
    <w:p>
      <w:pPr>
        <w:spacing w:after="160" w:line="276"/>
        <w:jc w:val="both"/>
      </w:pPr>
      <w:r>
        <w:rPr>
          <w:color w:val="1A1A1A"/>
          <w:sz w:val="22"/>
          <w:szCs w:val="22"/>
        </w:rPr>
        <w:t xml:space="preserve">The raw export was converted into a formal Excel table, which enforces consistent column typing and allows PivotTables to refresh automatically. Order Date and Shipped Date were confirmed as proper date types so that month grouping would work correctly in the trend analysis, and geographic fields such as Region, State and City were checked for inconsistent spelling that could otherwise split a single location into duplicate PivotTable rows.</w:t>
      </w:r>
    </w:p>
    <w:p>
      <w:pPr>
        <w:pStyle w:val="Heading2"/>
        <w:spacing w:after="120" w:before="280"/>
      </w:pPr>
      <w:r>
        <w:rPr>
          <w:b/>
          <w:bCs/>
          <w:color w:val="3F7D3A"/>
          <w:sz w:val="24"/>
          <w:szCs w:val="24"/>
        </w:rPr>
        <w:t xml:space="preserve">4.2 Handling Missing Values</w:t>
      </w:r>
    </w:p>
    <w:p>
      <w:pPr>
        <w:spacing w:after="160" w:line="276"/>
        <w:jc w:val="both"/>
      </w:pPr>
      <w:r>
        <w:rPr>
          <w:color w:val="1A1A1A"/>
          <w:sz w:val="22"/>
          <w:szCs w:val="22"/>
        </w:rPr>
        <w:t xml:space="preserve">A column by column check found missing values in six of the 26 fields: Payment Type (102 rows), Shipped Date (78 rows), Shipper Name (39 rows), and Product Name, Unit Price and Quantity (3 rows each, all from the same three mislabelled shipping fee lines). Rather than imputing these gaps, they were left blank and excluded from the specific breakdowns they affect, so the Payment Type split is read as a share of the 267 orders with a recorded payment method, not of all 369 orders.</w:t>
      </w:r>
    </w:p>
    <w:p>
      <w:pPr>
        <w:pStyle w:val="Heading2"/>
        <w:spacing w:after="120" w:before="280"/>
      </w:pPr>
      <w:r>
        <w:rPr>
          <w:b/>
          <w:bCs/>
          <w:color w:val="3F7D3A"/>
          <w:sz w:val="24"/>
          <w:szCs w:val="24"/>
        </w:rPr>
        <w:t xml:space="preserve">4.3 Data Transformations</w:t>
      </w:r>
    </w:p>
    <w:p>
      <w:pPr>
        <w:spacing w:after="160" w:line="276"/>
        <w:jc w:val="both"/>
      </w:pPr>
      <w:r>
        <w:rPr>
          <w:color w:val="1A1A1A"/>
          <w:sz w:val="22"/>
          <w:szCs w:val="22"/>
        </w:rPr>
        <w:t xml:space="preserve">Revenue and Shipping Fee arrive pre calculated in the source extract, so the main transformation performed in Excel was aggregation, using PivotTables to roll the 369 order lines up into nine summary views: by region, by state, by ship city, by salesperson, by customer, by category and by month. Order Date was grouped into month buckets to build the sales trend, and Revenue was grouped into seven equal width bands to build the transaction size distribution.</w:t>
      </w:r>
    </w:p>
    <w:p>
      <w:pPr>
        <w:pStyle w:val="Heading2"/>
        <w:spacing w:after="120" w:before="280"/>
      </w:pPr>
      <w:r>
        <w:rPr>
          <w:b/>
          <w:bCs/>
          <w:color w:val="3F7D3A"/>
          <w:sz w:val="24"/>
          <w:szCs w:val="24"/>
        </w:rPr>
        <w:t xml:space="preserve">4.4 Data Splitting</w:t>
      </w:r>
    </w:p>
    <w:p>
      <w:pPr>
        <w:spacing w:after="160" w:line="276"/>
        <w:jc w:val="both"/>
      </w:pPr>
      <w:r>
        <w:rPr>
          <w:color w:val="1A1A1A"/>
          <w:sz w:val="22"/>
          <w:szCs w:val="22"/>
        </w:rPr>
        <w:t xml:space="preserve">In place of a dependent and independent variable split typical of a predictive model, this descriptive analysis treats Revenue as the measure being explained, while Region, State, Ship City, Salesperson, Customer Name, Category and Order Date (month) are treated as the dimensions used to slice that measure across the nine PivotTables.</w:t>
      </w:r>
    </w:p>
    <w:p>
      <w:pPr>
        <w:pStyle w:val="Heading2"/>
        <w:spacing w:after="120" w:before="280"/>
      </w:pPr>
      <w:r>
        <w:rPr>
          <w:b/>
          <w:bCs/>
          <w:color w:val="3F7D3A"/>
          <w:sz w:val="24"/>
          <w:szCs w:val="24"/>
        </w:rPr>
        <w:t xml:space="preserve">4.5 Industry Context</w:t>
      </w:r>
    </w:p>
    <w:p>
      <w:pPr>
        <w:spacing w:after="160" w:line="276"/>
        <w:jc w:val="both"/>
      </w:pPr>
      <w:r>
        <w:rPr>
          <w:color w:val="1A1A1A"/>
          <w:sz w:val="22"/>
          <w:szCs w:val="22"/>
        </w:rPr>
        <w:t xml:space="preserve">SkyVille Supermart operates in the wholesale grocery and specialty food distribution industry, selling packaged goods such as beverages, sauces, preserves, dairy and dried goods to business customers rather than individual consumers. This is reflected in the data itself, all 15 customers are companies, average order value is $1,179.04, and 82.6 percent of orders fall under $2,010, consistent with a business that serves a small number of recurring commercial accounts rather than a high volume consumer footfall.</w:t>
      </w:r>
    </w:p>
    <w:p>
      <w:pPr>
        <w:pStyle w:val="Heading2"/>
        <w:spacing w:after="120" w:before="280"/>
      </w:pPr>
      <w:r>
        <w:rPr>
          <w:b/>
          <w:bCs/>
          <w:color w:val="3F7D3A"/>
          <w:sz w:val="24"/>
          <w:szCs w:val="24"/>
        </w:rPr>
        <w:t xml:space="preserve">4.6 Stakeholders</w:t>
      </w:r>
    </w:p>
    <w:p>
      <w:pPr>
        <w:spacing w:after="160" w:line="276"/>
        <w:jc w:val="both"/>
      </w:pPr>
      <w:r>
        <w:rPr>
          <w:color w:val="1A1A1A"/>
          <w:sz w:val="22"/>
          <w:szCs w:val="22"/>
        </w:rPr>
        <w:t xml:space="preserve">The primary stakeholders for this analysis are SkyVille Supermart's senior management, who need a consolidated view of regional and account performance; the sales leadership team, who manage salesperson quotas and territory assignment; the account management team, who are responsible for the company's 15 customer relationships; and the operations and logistics team, who are affected by shipping fee levels and shipping data completeness.</w:t>
      </w:r>
    </w:p>
    <w:p>
      <w:pPr>
        <w:pStyle w:val="Heading2"/>
        <w:spacing w:after="120" w:before="280"/>
      </w:pPr>
      <w:r>
        <w:rPr>
          <w:b/>
          <w:bCs/>
          <w:color w:val="3F7D3A"/>
          <w:sz w:val="24"/>
          <w:szCs w:val="24"/>
        </w:rPr>
        <w:t xml:space="preserve">4.7 Value to the Industry</w:t>
      </w:r>
    </w:p>
    <w:p>
      <w:pPr>
        <w:spacing w:after="160" w:line="276"/>
        <w:jc w:val="both"/>
      </w:pPr>
      <w:r>
        <w:rPr>
          <w:color w:val="1A1A1A"/>
          <w:sz w:val="22"/>
          <w:szCs w:val="22"/>
        </w:rPr>
        <w:t xml:space="preserve">For a business to business food distribution operation, the value of this analysis lies in identifying which regions, cities and accounts are carrying revenue and which salespeople and customers represent concentration risk. This lets decision makers direct account management attention, sales capacity and regional investment toward protecting and growing the relationships and territories that matter most, rather than spreading effort evenly across a customer base of only 15 companies.</w:t>
      </w:r>
    </w:p>
    <w:p>
      <w:pPr>
        <w:pStyle w:val="Heading1"/>
        <w:pBdr>
          <w:bottom w:val="single" w:color="3F7D3A" w:sz="6" w:space="4"/>
        </w:pBdr>
        <w:spacing w:after="200" w:before="400"/>
      </w:pPr>
      <w:r>
        <w:rPr>
          <w:b/>
          <w:bCs/>
          <w:color w:val="1B3A1E"/>
          <w:sz w:val="30"/>
          <w:szCs w:val="30"/>
        </w:rPr>
        <w:t xml:space="preserve">5. Pre-Analysis</w:t>
      </w:r>
    </w:p>
    <w:p>
      <w:pPr>
        <w:pStyle w:val="Heading2"/>
        <w:spacing w:after="120" w:before="280"/>
      </w:pPr>
      <w:r>
        <w:rPr>
          <w:b/>
          <w:bCs/>
          <w:color w:val="3F7D3A"/>
          <w:sz w:val="24"/>
          <w:szCs w:val="24"/>
        </w:rPr>
        <w:t xml:space="preserve">5.1 Identify Key Trends</w:t>
      </w:r>
    </w:p>
    <w:p>
      <w:pPr>
        <w:pStyle w:val="ListParagraph"/>
        <w:numPr>
          <w:ilvl w:val="0"/>
          <w:numId w:val="2"/>
        </w:numPr>
        <w:spacing w:after="90"/>
      </w:pPr>
      <w:r>
        <w:rPr>
          <w:sz w:val="22"/>
          <w:szCs w:val="22"/>
        </w:rPr>
        <w:t xml:space="preserve">Revenue is not evenly spread across the year: after a moderate start, it dips in February and April, then climbs to two clear high points in June ($55,601.61) and December ($66,642.78), the year's peak.</w:t>
      </w:r>
    </w:p>
    <w:p>
      <w:pPr>
        <w:pStyle w:val="ListParagraph"/>
        <w:numPr>
          <w:ilvl w:val="0"/>
          <w:numId w:val="2"/>
        </w:numPr>
        <w:spacing w:after="90"/>
      </w:pPr>
      <w:r>
        <w:rPr>
          <w:sz w:val="22"/>
          <w:szCs w:val="22"/>
        </w:rPr>
        <w:t xml:space="preserve">North is the strongest region by revenue ($141,680.34), well ahead of East ($108,275.51), South ($93,858.33) and West ($91,251.98).</w:t>
      </w:r>
    </w:p>
    <w:p>
      <w:pPr>
        <w:pStyle w:val="ListParagraph"/>
        <w:numPr>
          <w:ilvl w:val="0"/>
          <w:numId w:val="2"/>
        </w:numPr>
        <w:spacing w:after="90"/>
      </w:pPr>
      <w:r>
        <w:rPr>
          <w:sz w:val="22"/>
          <w:szCs w:val="22"/>
        </w:rPr>
        <w:t xml:space="preserve">New York is the single highest revenue ship city at $67,180.50, and also corresponds to SkyVille's top customer, Company D, and top state, New York.</w:t>
      </w:r>
    </w:p>
    <w:p>
      <w:pPr>
        <w:pStyle w:val="ListParagraph"/>
        <w:numPr>
          <w:ilvl w:val="0"/>
          <w:numId w:val="2"/>
        </w:numPr>
        <w:spacing w:after="90"/>
      </w:pPr>
      <w:r>
        <w:rPr>
          <w:sz w:val="22"/>
          <w:szCs w:val="22"/>
        </w:rPr>
        <w:t xml:space="preserve">Beverages is by far the largest product category at $110,577.11, 25.4 percent of total revenue, more than the next two categories, Sauces ($69,000.00) and Jams and Preserves ($51,541.00), combined against most other categories.</w:t>
      </w:r>
    </w:p>
    <w:p>
      <w:pPr>
        <w:pStyle w:val="Heading2"/>
        <w:spacing w:after="120" w:before="280"/>
      </w:pPr>
      <w:r>
        <w:rPr>
          <w:b/>
          <w:bCs/>
          <w:color w:val="3F7D3A"/>
          <w:sz w:val="24"/>
          <w:szCs w:val="24"/>
        </w:rPr>
        <w:t xml:space="preserve">5.2 Potential Correlations</w:t>
      </w:r>
    </w:p>
    <w:p>
      <w:pPr>
        <w:spacing w:after="160" w:line="276"/>
        <w:jc w:val="both"/>
      </w:pPr>
      <w:r>
        <w:rPr>
          <w:color w:val="1A1A1A"/>
          <w:sz w:val="22"/>
          <w:szCs w:val="22"/>
        </w:rPr>
        <w:t xml:space="preserve">Two relationships stood out before deeper analysis. First, the top ship city, top state and top customer all point to the same New York based account (Company D), suggesting revenue concentration around a small number of large accounts rather than broad geographic spread. Second, salesperson revenue appears to track territory size rather than effort alone, since the top two salespeople, Nancy Freehafer and Anne Larsen, are also tied to the highest revenue region, North, and the second highest, South's largest account.</w:t>
      </w:r>
    </w:p>
    <w:p>
      <w:pPr>
        <w:pStyle w:val="Heading2"/>
        <w:spacing w:after="120" w:before="280"/>
      </w:pPr>
      <w:r>
        <w:rPr>
          <w:b/>
          <w:bCs/>
          <w:color w:val="3F7D3A"/>
          <w:sz w:val="24"/>
          <w:szCs w:val="24"/>
        </w:rPr>
        <w:t xml:space="preserve">5.3 Initial Insights</w:t>
      </w:r>
    </w:p>
    <w:p>
      <w:pPr>
        <w:spacing w:after="160" w:line="276"/>
        <w:jc w:val="both"/>
      </w:pPr>
      <w:r>
        <w:rPr>
          <w:color w:val="1A1A1A"/>
          <w:sz w:val="22"/>
          <w:szCs w:val="22"/>
        </w:rPr>
        <w:t xml:space="preserve">Two early observations shaped the rest of the analysis. With only 15 customers generating $435,066.16 in total revenue, an average of $29,004 per customer, the loss of even one or two accounts could materially affect company revenue, making customer concentration worth quantifying precisely. Second, the sharp swing between the low months of February and April and the high points of June and December suggested a pattern worth confirming against the full monthly trend rather than treating as isolated variation.</w:t>
      </w:r>
    </w:p>
    <w:p>
      <w:pPr>
        <w:pStyle w:val="Heading1"/>
        <w:pBdr>
          <w:bottom w:val="single" w:color="3F7D3A" w:sz="6" w:space="4"/>
        </w:pBdr>
        <w:spacing w:after="200" w:before="400"/>
      </w:pPr>
      <w:r>
        <w:rPr>
          <w:b/>
          <w:bCs/>
          <w:color w:val="1B3A1E"/>
          <w:sz w:val="30"/>
          <w:szCs w:val="30"/>
        </w:rPr>
        <w:t xml:space="preserve">6. In-Analysis</w:t>
      </w:r>
    </w:p>
    <w:p>
      <w:pPr>
        <w:pStyle w:val="Heading2"/>
        <w:spacing w:after="120" w:before="280"/>
      </w:pPr>
      <w:r>
        <w:rPr>
          <w:b/>
          <w:bCs/>
          <w:color w:val="3F7D3A"/>
          <w:sz w:val="24"/>
          <w:szCs w:val="24"/>
        </w:rPr>
        <w:t xml:space="preserve">6.1 Unconfirmed Insights</w:t>
      </w:r>
    </w:p>
    <w:p>
      <w:pPr>
        <w:spacing w:after="160" w:line="276"/>
        <w:jc w:val="both"/>
      </w:pPr>
      <w:r>
        <w:rPr>
          <w:color w:val="1A1A1A"/>
          <w:sz w:val="22"/>
          <w:szCs w:val="22"/>
        </w:rPr>
        <w:t xml:space="preserve">The hypothesis that revenue is concentrated in a small number of accounts was tested directly. Company D alone contributes $67,180.50, 15.4 percent of total company revenue, and the top 3 customers (Company D, Company H and Company BB) together contribute $161,101.85, 37.0 percent of total revenue, from just 3 of the 15 customers on file. A similar pattern holds for salespeople, Nancy Freehafer alone generates $104,252.34, 24.0 percent of total revenue, and the top 2 salespeople together account for 45.5 percent of company revenue, meaning nearly half the business runs through two individuals.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600"/>
        <w:gridCol w:w="2400"/>
      </w:tblGrid>
      <w:tr>
        <w:trPr>
          <w:tblHeader/>
        </w:trPr>
        <w:tc>
          <w:tcPr>
            <w:tcW w:type="dxa" w:w="1500"/>
            <w:shd w:fill="1B3A1E" w:color="auto" w:val="clear"/>
            <w:tcMar>
              <w:top w:type="dxa" w:w="80"/>
              <w:left w:type="dxa" w:w="120"/>
              <w:bottom w:type="dxa" w:w="80"/>
              <w:right w:type="dxa" w:w="120"/>
            </w:tcMar>
            <w:vAlign w:val="center"/>
          </w:tcPr>
          <w:p>
            <w:pPr>
              <w:jc w:val="left"/>
            </w:pPr>
            <w:r>
              <w:rPr>
                <w:b/>
                <w:bCs/>
                <w:color w:val="FFFFFF"/>
                <w:sz w:val="20"/>
                <w:szCs w:val="20"/>
              </w:rPr>
              <w:t xml:space="preserve">Rank</w:t>
            </w:r>
          </w:p>
        </w:tc>
        <w:tc>
          <w:tcPr>
            <w:tcW w:type="dxa" w:w="3200"/>
            <w:shd w:fill="1B3A1E" w:color="auto" w:val="clear"/>
            <w:tcMar>
              <w:top w:type="dxa" w:w="80"/>
              <w:left w:type="dxa" w:w="120"/>
              <w:bottom w:type="dxa" w:w="80"/>
              <w:right w:type="dxa" w:w="120"/>
            </w:tcMar>
            <w:vAlign w:val="center"/>
          </w:tcPr>
          <w:p>
            <w:pPr>
              <w:jc w:val="center"/>
            </w:pPr>
            <w:r>
              <w:rPr>
                <w:b/>
                <w:bCs/>
                <w:color w:val="FFFFFF"/>
                <w:sz w:val="20"/>
                <w:szCs w:val="20"/>
              </w:rPr>
              <w:t xml:space="preserve">Customer</w:t>
            </w:r>
          </w:p>
        </w:tc>
        <w:tc>
          <w:tcPr>
            <w:tcW w:type="dxa" w:w="2600"/>
            <w:shd w:fill="1B3A1E" w:color="auto" w:val="clear"/>
            <w:tcMar>
              <w:top w:type="dxa" w:w="80"/>
              <w:left w:type="dxa" w:w="120"/>
              <w:bottom w:type="dxa" w:w="80"/>
              <w:right w:type="dxa" w:w="120"/>
            </w:tcMar>
            <w:vAlign w:val="center"/>
          </w:tcPr>
          <w:p>
            <w:pPr>
              <w:jc w:val="center"/>
            </w:pPr>
            <w:r>
              <w:rPr>
                <w:b/>
                <w:bCs/>
                <w:color w:val="FFFFFF"/>
                <w:sz w:val="20"/>
                <w:szCs w:val="20"/>
              </w:rPr>
              <w:t xml:space="preserve">Revenue</w:t>
            </w:r>
          </w:p>
        </w:tc>
        <w:tc>
          <w:tcPr>
            <w:tcW w:type="dxa" w:w="2400"/>
            <w:shd w:fill="1B3A1E" w:color="auto" w:val="clear"/>
            <w:tcMar>
              <w:top w:type="dxa" w:w="80"/>
              <w:left w:type="dxa" w:w="120"/>
              <w:bottom w:type="dxa" w:w="80"/>
              <w:right w:type="dxa" w:w="120"/>
            </w:tcMar>
            <w:vAlign w:val="center"/>
          </w:tcPr>
          <w:p>
            <w:pPr>
              <w:jc w:val="center"/>
            </w:pPr>
            <w:r>
              <w:rPr>
                <w:b/>
                <w:bCs/>
                <w:color w:val="FFFFFF"/>
                <w:sz w:val="20"/>
                <w:szCs w:val="20"/>
              </w:rPr>
              <w:t xml:space="preserve">Share of total</w:t>
            </w:r>
          </w:p>
        </w:tc>
      </w:tr>
      <w:tr>
        <w:tc>
          <w:tcPr>
            <w:tcW w:type="dxa" w:w="1500"/>
            <w:shd w:fill="FFFFFF" w:color="auto" w:val="clear"/>
            <w:tcMar>
              <w:top w:type="dxa" w:w="70"/>
              <w:left w:type="dxa" w:w="120"/>
              <w:bottom w:type="dxa" w:w="70"/>
              <w:right w:type="dxa" w:w="120"/>
            </w:tcMar>
            <w:vAlign w:val="center"/>
          </w:tcPr>
          <w:p>
            <w:pPr>
              <w:jc w:val="left"/>
            </w:pPr>
            <w:r>
              <w:rPr>
                <w:sz w:val="20"/>
                <w:szCs w:val="20"/>
              </w:rPr>
              <w:t xml:space="preserve">1</w:t>
            </w:r>
          </w:p>
        </w:tc>
        <w:tc>
          <w:tcPr>
            <w:tcW w:type="dxa" w:w="3200"/>
            <w:shd w:fill="FFFFFF" w:color="auto" w:val="clear"/>
            <w:tcMar>
              <w:top w:type="dxa" w:w="70"/>
              <w:left w:type="dxa" w:w="120"/>
              <w:bottom w:type="dxa" w:w="70"/>
              <w:right w:type="dxa" w:w="120"/>
            </w:tcMar>
            <w:vAlign w:val="center"/>
          </w:tcPr>
          <w:p>
            <w:pPr>
              <w:jc w:val="center"/>
            </w:pPr>
            <w:r>
              <w:rPr>
                <w:sz w:val="20"/>
                <w:szCs w:val="20"/>
              </w:rPr>
              <w:t xml:space="preserve">Company D</w:t>
            </w:r>
          </w:p>
        </w:tc>
        <w:tc>
          <w:tcPr>
            <w:tcW w:type="dxa" w:w="2600"/>
            <w:shd w:fill="FFFFFF" w:color="auto" w:val="clear"/>
            <w:tcMar>
              <w:top w:type="dxa" w:w="70"/>
              <w:left w:type="dxa" w:w="120"/>
              <w:bottom w:type="dxa" w:w="70"/>
              <w:right w:type="dxa" w:w="120"/>
            </w:tcMar>
            <w:vAlign w:val="center"/>
          </w:tcPr>
          <w:p>
            <w:pPr>
              <w:jc w:val="center"/>
            </w:pPr>
            <w:r>
              <w:rPr>
                <w:sz w:val="20"/>
                <w:szCs w:val="20"/>
              </w:rPr>
              <w:t xml:space="preserve">$67,180.50</w:t>
            </w:r>
          </w:p>
        </w:tc>
        <w:tc>
          <w:tcPr>
            <w:tcW w:type="dxa" w:w="2400"/>
            <w:shd w:fill="FFFFFF" w:color="auto" w:val="clear"/>
            <w:tcMar>
              <w:top w:type="dxa" w:w="70"/>
              <w:left w:type="dxa" w:w="120"/>
              <w:bottom w:type="dxa" w:w="70"/>
              <w:right w:type="dxa" w:w="120"/>
            </w:tcMar>
            <w:vAlign w:val="center"/>
          </w:tcPr>
          <w:p>
            <w:pPr>
              <w:jc w:val="center"/>
            </w:pPr>
            <w:r>
              <w:rPr>
                <w:sz w:val="20"/>
                <w:szCs w:val="20"/>
              </w:rPr>
              <w:t xml:space="preserve">15.4%</w:t>
            </w:r>
          </w:p>
        </w:tc>
      </w:tr>
      <w:tr>
        <w:tc>
          <w:tcPr>
            <w:tcW w:type="dxa" w:w="1500"/>
            <w:shd w:fill="EAF3E6" w:color="auto" w:val="clear"/>
            <w:tcMar>
              <w:top w:type="dxa" w:w="70"/>
              <w:left w:type="dxa" w:w="120"/>
              <w:bottom w:type="dxa" w:w="70"/>
              <w:right w:type="dxa" w:w="120"/>
            </w:tcMar>
            <w:vAlign w:val="center"/>
          </w:tcPr>
          <w:p>
            <w:pPr>
              <w:jc w:val="left"/>
            </w:pPr>
            <w:r>
              <w:rPr>
                <w:sz w:val="20"/>
                <w:szCs w:val="20"/>
              </w:rPr>
              <w:t xml:space="preserve">2</w:t>
            </w:r>
          </w:p>
        </w:tc>
        <w:tc>
          <w:tcPr>
            <w:tcW w:type="dxa" w:w="3200"/>
            <w:shd w:fill="EAF3E6" w:color="auto" w:val="clear"/>
            <w:tcMar>
              <w:top w:type="dxa" w:w="70"/>
              <w:left w:type="dxa" w:w="120"/>
              <w:bottom w:type="dxa" w:w="70"/>
              <w:right w:type="dxa" w:w="120"/>
            </w:tcMar>
            <w:vAlign w:val="center"/>
          </w:tcPr>
          <w:p>
            <w:pPr>
              <w:jc w:val="center"/>
            </w:pPr>
            <w:r>
              <w:rPr>
                <w:sz w:val="20"/>
                <w:szCs w:val="20"/>
              </w:rPr>
              <w:t xml:space="preserve">Company H</w:t>
            </w:r>
          </w:p>
        </w:tc>
        <w:tc>
          <w:tcPr>
            <w:tcW w:type="dxa" w:w="2600"/>
            <w:shd w:fill="EAF3E6" w:color="auto" w:val="clear"/>
            <w:tcMar>
              <w:top w:type="dxa" w:w="70"/>
              <w:left w:type="dxa" w:w="120"/>
              <w:bottom w:type="dxa" w:w="70"/>
              <w:right w:type="dxa" w:w="120"/>
            </w:tcMar>
            <w:vAlign w:val="center"/>
          </w:tcPr>
          <w:p>
            <w:pPr>
              <w:jc w:val="center"/>
            </w:pPr>
            <w:r>
              <w:rPr>
                <w:sz w:val="20"/>
                <w:szCs w:val="20"/>
              </w:rPr>
              <w:t xml:space="preserve">$50,208.35</w:t>
            </w:r>
          </w:p>
        </w:tc>
        <w:tc>
          <w:tcPr>
            <w:tcW w:type="dxa" w:w="2400"/>
            <w:shd w:fill="EAF3E6" w:color="auto" w:val="clear"/>
            <w:tcMar>
              <w:top w:type="dxa" w:w="70"/>
              <w:left w:type="dxa" w:w="120"/>
              <w:bottom w:type="dxa" w:w="70"/>
              <w:right w:type="dxa" w:w="120"/>
            </w:tcMar>
            <w:vAlign w:val="center"/>
          </w:tcPr>
          <w:p>
            <w:pPr>
              <w:jc w:val="center"/>
            </w:pPr>
            <w:r>
              <w:rPr>
                <w:sz w:val="20"/>
                <w:szCs w:val="20"/>
              </w:rPr>
              <w:t xml:space="preserve">11.5%</w:t>
            </w:r>
          </w:p>
        </w:tc>
      </w:tr>
      <w:tr>
        <w:tc>
          <w:tcPr>
            <w:tcW w:type="dxa" w:w="1500"/>
            <w:shd w:fill="FFFFFF" w:color="auto" w:val="clear"/>
            <w:tcMar>
              <w:top w:type="dxa" w:w="70"/>
              <w:left w:type="dxa" w:w="120"/>
              <w:bottom w:type="dxa" w:w="70"/>
              <w:right w:type="dxa" w:w="120"/>
            </w:tcMar>
            <w:vAlign w:val="center"/>
          </w:tcPr>
          <w:p>
            <w:pPr>
              <w:jc w:val="left"/>
            </w:pPr>
            <w:r>
              <w:rPr>
                <w:sz w:val="20"/>
                <w:szCs w:val="20"/>
              </w:rPr>
              <w:t xml:space="preserve">3</w:t>
            </w:r>
          </w:p>
        </w:tc>
        <w:tc>
          <w:tcPr>
            <w:tcW w:type="dxa" w:w="3200"/>
            <w:shd w:fill="FFFFFF" w:color="auto" w:val="clear"/>
            <w:tcMar>
              <w:top w:type="dxa" w:w="70"/>
              <w:left w:type="dxa" w:w="120"/>
              <w:bottom w:type="dxa" w:w="70"/>
              <w:right w:type="dxa" w:w="120"/>
            </w:tcMar>
            <w:vAlign w:val="center"/>
          </w:tcPr>
          <w:p>
            <w:pPr>
              <w:jc w:val="center"/>
            </w:pPr>
            <w:r>
              <w:rPr>
                <w:sz w:val="20"/>
                <w:szCs w:val="20"/>
              </w:rPr>
              <w:t xml:space="preserve">Company BB</w:t>
            </w:r>
          </w:p>
        </w:tc>
        <w:tc>
          <w:tcPr>
            <w:tcW w:type="dxa" w:w="2600"/>
            <w:shd w:fill="FFFFFF" w:color="auto" w:val="clear"/>
            <w:tcMar>
              <w:top w:type="dxa" w:w="70"/>
              <w:left w:type="dxa" w:w="120"/>
              <w:bottom w:type="dxa" w:w="70"/>
              <w:right w:type="dxa" w:w="120"/>
            </w:tcMar>
            <w:vAlign w:val="center"/>
          </w:tcPr>
          <w:p>
            <w:pPr>
              <w:jc w:val="center"/>
            </w:pPr>
            <w:r>
              <w:rPr>
                <w:sz w:val="20"/>
                <w:szCs w:val="20"/>
              </w:rPr>
              <w:t xml:space="preserve">$43,713.00</w:t>
            </w:r>
          </w:p>
        </w:tc>
        <w:tc>
          <w:tcPr>
            <w:tcW w:type="dxa" w:w="2400"/>
            <w:shd w:fill="FFFFFF" w:color="auto" w:val="clear"/>
            <w:tcMar>
              <w:top w:type="dxa" w:w="70"/>
              <w:left w:type="dxa" w:w="120"/>
              <w:bottom w:type="dxa" w:w="70"/>
              <w:right w:type="dxa" w:w="120"/>
            </w:tcMar>
            <w:vAlign w:val="center"/>
          </w:tcPr>
          <w:p>
            <w:pPr>
              <w:jc w:val="center"/>
            </w:pPr>
            <w:r>
              <w:rPr>
                <w:sz w:val="20"/>
                <w:szCs w:val="20"/>
              </w:rPr>
              <w:t xml:space="preserve">10.0%</w:t>
            </w:r>
          </w:p>
        </w:tc>
      </w:tr>
      <w:tr>
        <w:tc>
          <w:tcPr>
            <w:tcW w:type="dxa" w:w="1500"/>
            <w:shd w:fill="EAF3E6" w:color="auto" w:val="clear"/>
            <w:tcMar>
              <w:top w:type="dxa" w:w="70"/>
              <w:left w:type="dxa" w:w="120"/>
              <w:bottom w:type="dxa" w:w="70"/>
              <w:right w:type="dxa" w:w="120"/>
            </w:tcMar>
            <w:vAlign w:val="center"/>
          </w:tcPr>
          <w:p>
            <w:pPr>
              <w:jc w:val="left"/>
            </w:pPr>
            <w:r>
              <w:rPr>
                <w:sz w:val="20"/>
                <w:szCs w:val="20"/>
              </w:rPr>
              <w:t xml:space="preserve">4</w:t>
            </w:r>
          </w:p>
        </w:tc>
        <w:tc>
          <w:tcPr>
            <w:tcW w:type="dxa" w:w="3200"/>
            <w:shd w:fill="EAF3E6" w:color="auto" w:val="clear"/>
            <w:tcMar>
              <w:top w:type="dxa" w:w="70"/>
              <w:left w:type="dxa" w:w="120"/>
              <w:bottom w:type="dxa" w:w="70"/>
              <w:right w:type="dxa" w:w="120"/>
            </w:tcMar>
            <w:vAlign w:val="center"/>
          </w:tcPr>
          <w:p>
            <w:pPr>
              <w:jc w:val="center"/>
            </w:pPr>
            <w:r>
              <w:rPr>
                <w:sz w:val="20"/>
                <w:szCs w:val="20"/>
              </w:rPr>
              <w:t xml:space="preserve">Company F</w:t>
            </w:r>
          </w:p>
        </w:tc>
        <w:tc>
          <w:tcPr>
            <w:tcW w:type="dxa" w:w="2600"/>
            <w:shd w:fill="EAF3E6" w:color="auto" w:val="clear"/>
            <w:tcMar>
              <w:top w:type="dxa" w:w="70"/>
              <w:left w:type="dxa" w:w="120"/>
              <w:bottom w:type="dxa" w:w="70"/>
              <w:right w:type="dxa" w:w="120"/>
            </w:tcMar>
            <w:vAlign w:val="center"/>
          </w:tcPr>
          <w:p>
            <w:pPr>
              <w:jc w:val="center"/>
            </w:pPr>
            <w:r>
              <w:rPr>
                <w:sz w:val="20"/>
                <w:szCs w:val="20"/>
              </w:rPr>
              <w:t xml:space="preserve">$37,428.00</w:t>
            </w:r>
          </w:p>
        </w:tc>
        <w:tc>
          <w:tcPr>
            <w:tcW w:type="dxa" w:w="2400"/>
            <w:shd w:fill="EAF3E6" w:color="auto" w:val="clear"/>
            <w:tcMar>
              <w:top w:type="dxa" w:w="70"/>
              <w:left w:type="dxa" w:w="120"/>
              <w:bottom w:type="dxa" w:w="70"/>
              <w:right w:type="dxa" w:w="120"/>
            </w:tcMar>
            <w:vAlign w:val="center"/>
          </w:tcPr>
          <w:p>
            <w:pPr>
              <w:jc w:val="center"/>
            </w:pPr>
            <w:r>
              <w:rPr>
                <w:sz w:val="20"/>
                <w:szCs w:val="20"/>
              </w:rPr>
              <w:t xml:space="preserve">8.6%</w:t>
            </w:r>
          </w:p>
        </w:tc>
      </w:tr>
      <w:tr>
        <w:tc>
          <w:tcPr>
            <w:tcW w:type="dxa" w:w="1500"/>
            <w:shd w:fill="FFFFFF" w:color="auto" w:val="clear"/>
            <w:tcMar>
              <w:top w:type="dxa" w:w="70"/>
              <w:left w:type="dxa" w:w="120"/>
              <w:bottom w:type="dxa" w:w="70"/>
              <w:right w:type="dxa" w:w="120"/>
            </w:tcMar>
            <w:vAlign w:val="center"/>
          </w:tcPr>
          <w:p>
            <w:pPr>
              <w:jc w:val="left"/>
            </w:pPr>
            <w:r>
              <w:rPr>
                <w:sz w:val="20"/>
                <w:szCs w:val="20"/>
              </w:rPr>
              <w:t xml:space="preserve">5</w:t>
            </w:r>
          </w:p>
        </w:tc>
        <w:tc>
          <w:tcPr>
            <w:tcW w:type="dxa" w:w="3200"/>
            <w:shd w:fill="FFFFFF" w:color="auto" w:val="clear"/>
            <w:tcMar>
              <w:top w:type="dxa" w:w="70"/>
              <w:left w:type="dxa" w:w="120"/>
              <w:bottom w:type="dxa" w:w="70"/>
              <w:right w:type="dxa" w:w="120"/>
            </w:tcMar>
            <w:vAlign w:val="center"/>
          </w:tcPr>
          <w:p>
            <w:pPr>
              <w:jc w:val="center"/>
            </w:pPr>
            <w:r>
              <w:rPr>
                <w:sz w:val="20"/>
                <w:szCs w:val="20"/>
              </w:rPr>
              <w:t xml:space="preserve">Company A</w:t>
            </w:r>
          </w:p>
        </w:tc>
        <w:tc>
          <w:tcPr>
            <w:tcW w:type="dxa" w:w="2600"/>
            <w:shd w:fill="FFFFFF" w:color="auto" w:val="clear"/>
            <w:tcMar>
              <w:top w:type="dxa" w:w="70"/>
              <w:left w:type="dxa" w:w="120"/>
              <w:bottom w:type="dxa" w:w="70"/>
              <w:right w:type="dxa" w:w="120"/>
            </w:tcMar>
            <w:vAlign w:val="center"/>
          </w:tcPr>
          <w:p>
            <w:pPr>
              <w:jc w:val="center"/>
            </w:pPr>
            <w:r>
              <w:rPr>
                <w:sz w:val="20"/>
                <w:szCs w:val="20"/>
              </w:rPr>
              <w:t xml:space="preserve">$36,839.99</w:t>
            </w:r>
          </w:p>
        </w:tc>
        <w:tc>
          <w:tcPr>
            <w:tcW w:type="dxa" w:w="2400"/>
            <w:shd w:fill="FFFFFF" w:color="auto" w:val="clear"/>
            <w:tcMar>
              <w:top w:type="dxa" w:w="70"/>
              <w:left w:type="dxa" w:w="120"/>
              <w:bottom w:type="dxa" w:w="70"/>
              <w:right w:type="dxa" w:w="120"/>
            </w:tcMar>
            <w:vAlign w:val="center"/>
          </w:tcPr>
          <w:p>
            <w:pPr>
              <w:jc w:val="center"/>
            </w:pPr>
            <w:r>
              <w:rPr>
                <w:sz w:val="20"/>
                <w:szCs w:val="20"/>
              </w:rPr>
              <w:t xml:space="preserve">8.5%</w:t>
            </w:r>
          </w:p>
        </w:tc>
      </w:tr>
    </w:tbl>
    <w:p>
      <w:pPr>
        <w:spacing w:after="300" w:before="100"/>
        <w:jc w:val="center"/>
      </w:pPr>
      <w:r>
        <w:rPr>
          <w:i/>
          <w:iCs/>
          <w:color w:val="595959"/>
          <w:sz w:val="20"/>
          <w:szCs w:val="20"/>
        </w:rPr>
        <w:t xml:space="preserve">Table 2: Top 5 customers by revenue, showing concentration among a small customer base</w:t>
      </w:r>
    </w:p>
    <w:p>
      <w:pPr>
        <w:pStyle w:val="Heading2"/>
        <w:spacing w:after="120" w:before="280"/>
      </w:pPr>
      <w:r>
        <w:rPr>
          <w:b/>
          <w:bCs/>
          <w:color w:val="3F7D3A"/>
          <w:sz w:val="24"/>
          <w:szCs w:val="24"/>
        </w:rPr>
        <w:t xml:space="preserve">6.2 Recommendations</w:t>
      </w:r>
    </w:p>
    <w:p>
      <w:pPr>
        <w:spacing w:after="160" w:line="276"/>
        <w:jc w:val="both"/>
      </w:pPr>
      <w:r>
        <w:rPr>
          <w:color w:val="1A1A1A"/>
          <w:sz w:val="22"/>
          <w:szCs w:val="22"/>
        </w:rPr>
        <w:t xml:space="preserve">Based on these unconfirmed but well supported patterns, two preliminary recommendations follow directly from the data. First, given that 3 of 15 customers generate over a third of total revenue, these accounts should be formally flagged for dedicated account management and retention focus, since their loss would be difficult to offset given the small customer base. Second, because two salespeople generate close to half of all revenue, succession planning and knowledge transfer for these roles should be treated as a business continuity priority, not simply a sales performance matter.</w:t>
      </w:r>
    </w:p>
    <w:p>
      <w:pPr>
        <w:pStyle w:val="Heading2"/>
        <w:spacing w:after="120" w:before="280"/>
      </w:pPr>
      <w:r>
        <w:rPr>
          <w:b/>
          <w:bCs/>
          <w:color w:val="3F7D3A"/>
          <w:sz w:val="24"/>
          <w:szCs w:val="24"/>
        </w:rPr>
        <w:t xml:space="preserve">6.3 Analysis Techniques Used in Excel</w:t>
      </w:r>
    </w:p>
    <w:p>
      <w:pPr>
        <w:spacing w:after="160" w:line="276"/>
        <w:jc w:val="both"/>
      </w:pPr>
      <w:r>
        <w:rPr>
          <w:color w:val="1A1A1A"/>
          <w:sz w:val="22"/>
          <w:szCs w:val="22"/>
        </w:rPr>
        <w:t xml:space="preserve">All summarisation in this project was performed with PivotTables built on the order data table, one each for Region, State, Ship City, Salesperson, Customer, Category and Month, each feeding a matching PivotChart. Revenue was grouped into equal width bands using Excel's grouping feature to build the transaction size distribution, a filled map chart was used to plot state level revenue geographically, and a slicer connected to Product Name was added so the dashboard responds interactively.</w:t>
      </w:r>
    </w:p>
    <w:p>
      <w:pPr>
        <w:pStyle w:val="Heading1"/>
        <w:pBdr>
          <w:bottom w:val="single" w:color="3F7D3A" w:sz="6" w:space="4"/>
        </w:pBdr>
        <w:spacing w:after="200" w:before="400"/>
      </w:pPr>
      <w:r>
        <w:rPr>
          <w:b/>
          <w:bCs/>
          <w:color w:val="1B3A1E"/>
          <w:sz w:val="30"/>
          <w:szCs w:val="30"/>
        </w:rPr>
        <w:t xml:space="preserve">7. Post-Analysis and Insights</w:t>
      </w:r>
    </w:p>
    <w:p>
      <w:pPr>
        <w:pStyle w:val="Heading2"/>
        <w:spacing w:after="120" w:before="280"/>
      </w:pPr>
      <w:r>
        <w:rPr>
          <w:b/>
          <w:bCs/>
          <w:color w:val="3F7D3A"/>
          <w:sz w:val="24"/>
          <w:szCs w:val="24"/>
        </w:rPr>
        <w:t xml:space="preserve">7.1 Key Findings</w:t>
      </w:r>
    </w:p>
    <w:p>
      <w:pPr>
        <w:pStyle w:val="ListParagraph"/>
        <w:numPr>
          <w:ilvl w:val="0"/>
          <w:numId w:val="2"/>
        </w:numPr>
        <w:spacing w:after="90"/>
      </w:pPr>
      <w:r>
        <w:rPr>
          <w:sz w:val="22"/>
          <w:szCs w:val="22"/>
        </w:rPr>
        <w:t xml:space="preserve">Full year revenue reached $435,066.16 across 369 orders, an average order value of $1,179.04, with shipping fees totalling $43,663.10, 10.0 percent of revenue.</w:t>
      </w:r>
    </w:p>
    <w:p>
      <w:pPr>
        <w:pStyle w:val="ListParagraph"/>
        <w:numPr>
          <w:ilvl w:val="0"/>
          <w:numId w:val="2"/>
        </w:numPr>
        <w:spacing w:after="90"/>
      </w:pPr>
      <w:r>
        <w:rPr>
          <w:sz w:val="22"/>
          <w:szCs w:val="22"/>
        </w:rPr>
        <w:t xml:space="preserve">North is the strongest region by revenue ($141,680.34, 32.6 percent of total), while West is the weakest ($91,251.98, 21.0 percent).</w:t>
      </w:r>
    </w:p>
    <w:p>
      <w:pPr>
        <w:pStyle w:val="ListParagraph"/>
        <w:numPr>
          <w:ilvl w:val="0"/>
          <w:numId w:val="2"/>
        </w:numPr>
        <w:spacing w:after="90"/>
      </w:pPr>
      <w:r>
        <w:rPr>
          <w:sz w:val="22"/>
          <w:szCs w:val="22"/>
        </w:rPr>
        <w:t xml:space="preserve">East has the highest average order value of any region at $1,230.40, ahead of North ($1,210.94), West ($1,185.09) and South ($1,078.83), meaning East's orders run larger even though its total revenue trails North's.</w:t>
      </w:r>
    </w:p>
    <w:p>
      <w:pPr>
        <w:pStyle w:val="ListParagraph"/>
        <w:numPr>
          <w:ilvl w:val="0"/>
          <w:numId w:val="2"/>
        </w:numPr>
        <w:spacing w:after="90"/>
      </w:pPr>
      <w:r>
        <w:rPr>
          <w:sz w:val="22"/>
          <w:szCs w:val="22"/>
        </w:rPr>
        <w:t xml:space="preserve">Beverages is the leading product category by a wide margin ($110,577.11, 25.4 percent of revenue), followed by Sauces ($69,000.00) and Jams and Preserves ($51,541.00).</w:t>
      </w:r>
    </w:p>
    <w:p>
      <w:pPr>
        <w:pStyle w:val="ListParagraph"/>
        <w:numPr>
          <w:ilvl w:val="0"/>
          <w:numId w:val="2"/>
        </w:numPr>
        <w:spacing w:after="90"/>
      </w:pPr>
      <w:r>
        <w:rPr>
          <w:sz w:val="22"/>
          <w:szCs w:val="22"/>
        </w:rPr>
        <w:t xml:space="preserve">Customer and salesperson revenue are both concentrated: the top 3 of 15 customers generate 37.0 percent of revenue, and the top 2 of 8 salespeople generate 45.5 percent.</w:t>
      </w:r>
    </w:p>
    <w:p>
      <w:pPr>
        <w:pStyle w:val="ListParagraph"/>
        <w:numPr>
          <w:ilvl w:val="0"/>
          <w:numId w:val="2"/>
        </w:numPr>
        <w:spacing w:after="90"/>
      </w:pPr>
      <w:r>
        <w:rPr>
          <w:sz w:val="22"/>
          <w:szCs w:val="22"/>
        </w:rPr>
        <w:t xml:space="preserve">December is the strongest month of the year ($66,642.78), with June ($55,601.61) as the year's other clear high point; February ($19,985.50) and April ($20,771.79) are the weakest.</w:t>
      </w:r>
    </w:p>
    <w:p>
      <w:pPr>
        <w:pStyle w:val="ListParagraph"/>
        <w:numPr>
          <w:ilvl w:val="0"/>
          <w:numId w:val="2"/>
        </w:numPr>
        <w:spacing w:after="90"/>
      </w:pPr>
      <w:r>
        <w:rPr>
          <w:sz w:val="22"/>
          <w:szCs w:val="22"/>
        </w:rPr>
        <w:t xml:space="preserve">59.9 percent of orders fall under $1,010 in value, though the remaining 40.1 percent, spread across larger bands up to $8,010, contribute a disproportionate share of total revenue.</w:t>
      </w:r>
    </w:p>
    <w:p>
      <w:pPr>
        <w:pStyle w:val="Heading2"/>
        <w:spacing w:after="120" w:before="280"/>
      </w:pPr>
      <w:r>
        <w:rPr>
          <w:b/>
          <w:bCs/>
          <w:color w:val="3F7D3A"/>
          <w:sz w:val="24"/>
          <w:szCs w:val="24"/>
        </w:rPr>
        <w:t xml:space="preserve">7.2 Comparison with Initial Findings</w:t>
      </w:r>
    </w:p>
    <w:p>
      <w:pPr>
        <w:spacing w:after="160" w:line="276"/>
        <w:jc w:val="both"/>
      </w:pPr>
      <w:r>
        <w:rPr>
          <w:color w:val="1A1A1A"/>
          <w:sz w:val="22"/>
          <w:szCs w:val="22"/>
        </w:rPr>
        <w:t xml:space="preserve">The initial hypothesis that revenue concentration exists among a small number of accounts and salespeople was confirmed, and the degree of concentration, 37.0 percent of revenue from 3 of 15 customers and 45.5 percent from 2 of 8 salespeople, was more pronounced than the early trend review suggested. The seasonal pattern flagged in Pre-Analysis was confirmed by the full monthly trend, with December standing out as the clear peak and June as a secondary high point. The data quality issues found during preprocessing, missing payment type on over a quarter of orders and mislabelled shipping fee rows in the Category field, were not part of the original hypotheses but became one of the more actionable findings of the review.</w:t>
      </w:r>
    </w:p>
    <w:p>
      <w:pPr>
        <w:pStyle w:val="Heading1"/>
        <w:pBdr>
          <w:bottom w:val="single" w:color="3F7D3A" w:sz="6" w:space="4"/>
        </w:pBdr>
        <w:spacing w:after="200" w:before="400"/>
      </w:pPr>
      <w:r>
        <w:rPr>
          <w:b/>
          <w:bCs/>
          <w:color w:val="1B3A1E"/>
          <w:sz w:val="30"/>
          <w:szCs w:val="30"/>
        </w:rPr>
        <w:t xml:space="preserve">8. Data Visualizations and Charts</w:t>
      </w:r>
    </w:p>
    <w:p>
      <w:pPr>
        <w:pStyle w:val="Heading2"/>
        <w:spacing w:after="120" w:before="280"/>
      </w:pPr>
      <w:r>
        <w:rPr>
          <w:b/>
          <w:bCs/>
          <w:color w:val="3F7D3A"/>
          <w:sz w:val="24"/>
          <w:szCs w:val="24"/>
        </w:rPr>
        <w:t xml:space="preserve">8.1 Dashboard</w:t>
      </w:r>
    </w:p>
    <w:p>
      <w:pPr>
        <w:spacing w:after="160" w:line="276"/>
        <w:jc w:val="both"/>
      </w:pPr>
      <w:r>
        <w:rPr>
          <w:color w:val="1A1A1A"/>
          <w:sz w:val="22"/>
          <w:szCs w:val="22"/>
        </w:rPr>
        <w:t xml:space="preserve">The figure below is the consolidated Excel dashboard built for this project. It brings together the headline metrics, regional and geographic performance, salesperson and customer breakdowns, product category performance and the monthly sales trend into a single view, with a Product Name slicer enabling interactive filtering.</w:t>
      </w:r>
    </w:p>
    <w:p>
      <w:pPr>
        <w:spacing w:before="200"/>
        <w:jc w:val="center"/>
      </w:pPr>
      <w:r>
        <w:drawing>
          <wp:inline distT="0" distB="0" distL="0" distR="0">
            <wp:extent cx="5905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81350"/>
                    </a:xfrm>
                    <a:prstGeom prst="rect">
                      <a:avLst/>
                    </a:prstGeom>
                  </pic:spPr>
                </pic:pic>
              </a:graphicData>
            </a:graphic>
          </wp:inline>
        </w:drawing>
      </w:r>
    </w:p>
    <w:p>
      <w:pPr>
        <w:spacing w:after="300" w:before="100"/>
        <w:jc w:val="center"/>
      </w:pPr>
      <w:r>
        <w:rPr>
          <w:i/>
          <w:iCs/>
          <w:color w:val="595959"/>
          <w:sz w:val="20"/>
          <w:szCs w:val="20"/>
        </w:rPr>
        <w:t xml:space="preserve">Figure 1: SkyVille Supermart Profitability Dashboard</w:t>
      </w:r>
    </w:p>
    <w:p>
      <w:pPr>
        <w:pStyle w:val="Heading2"/>
        <w:spacing w:after="120" w:before="280"/>
      </w:pPr>
      <w:r>
        <w:rPr>
          <w:b/>
          <w:bCs/>
          <w:color w:val="3F7D3A"/>
          <w:sz w:val="24"/>
          <w:szCs w:val="24"/>
        </w:rPr>
        <w:t xml:space="preserve">8.2 Explanation of Visualizations</w:t>
      </w:r>
    </w:p>
    <w:p>
      <w:pPr>
        <w:pStyle w:val="ListParagraph"/>
        <w:numPr>
          <w:ilvl w:val="0"/>
          <w:numId w:val="2"/>
        </w:numPr>
        <w:spacing w:after="90"/>
      </w:pPr>
      <w:r>
        <w:rPr>
          <w:sz w:val="22"/>
          <w:szCs w:val="22"/>
        </w:rPr>
        <w:t xml:space="preserve">Header cards: summarise the four headline metrics at a glance, Customer of the Year (Company D, the top revenue customer), Product of the Year (Beverages, the top revenue category), Top Grossing State (New York) and Best Region by Revenue (North).</w:t>
      </w:r>
    </w:p>
    <w:p>
      <w:pPr>
        <w:pStyle w:val="ListParagraph"/>
        <w:numPr>
          <w:ilvl w:val="0"/>
          <w:numId w:val="2"/>
        </w:numPr>
        <w:spacing w:after="90"/>
      </w:pPr>
      <w:r>
        <w:rPr>
          <w:sz w:val="22"/>
          <w:szCs w:val="22"/>
        </w:rPr>
        <w:t xml:space="preserve">Regional Performance (donut chart): shows North, East, South and West each contributing between 21 and 33 percent of total revenue, with North leading and West trailing.</w:t>
      </w:r>
    </w:p>
    <w:p>
      <w:pPr>
        <w:pStyle w:val="ListParagraph"/>
        <w:numPr>
          <w:ilvl w:val="0"/>
          <w:numId w:val="2"/>
        </w:numPr>
        <w:spacing w:after="90"/>
      </w:pPr>
      <w:r>
        <w:rPr>
          <w:sz w:val="22"/>
          <w:szCs w:val="22"/>
        </w:rPr>
        <w:t xml:space="preserve">Top 6 Ship City by Revenue (donut chart): ranks New York, Portland, Miami, Memphis, Chicago and Milwaukee, showing New York alone accounts for a noticeably larger share than the next closest city.</w:t>
      </w:r>
    </w:p>
    <w:p>
      <w:pPr>
        <w:pStyle w:val="ListParagraph"/>
        <w:numPr>
          <w:ilvl w:val="0"/>
          <w:numId w:val="2"/>
        </w:numPr>
        <w:spacing w:after="90"/>
      </w:pPr>
      <w:r>
        <w:rPr>
          <w:sz w:val="22"/>
          <w:szCs w:val="22"/>
        </w:rPr>
        <w:t xml:space="preserve">Sales by Salesperson (bar chart): ranks all 8 salespeople from Nancy Freehafer at $104,252.34 down to Jan Kotas at $16,350.50, making the concentration among the top 2 reps immediately visible.</w:t>
      </w:r>
    </w:p>
    <w:p>
      <w:pPr>
        <w:pStyle w:val="ListParagraph"/>
        <w:numPr>
          <w:ilvl w:val="0"/>
          <w:numId w:val="2"/>
        </w:numPr>
        <w:spacing w:after="90"/>
      </w:pPr>
      <w:r>
        <w:rPr>
          <w:sz w:val="22"/>
          <w:szCs w:val="22"/>
        </w:rPr>
        <w:t xml:space="preserve">Product Category by Revenue (treemap): sizes each of the 14 categories by revenue, with Beverages, Sauces and Jams and Preserves visually dominating the layout.</w:t>
      </w:r>
    </w:p>
    <w:p>
      <w:pPr>
        <w:pStyle w:val="ListParagraph"/>
        <w:numPr>
          <w:ilvl w:val="0"/>
          <w:numId w:val="2"/>
        </w:numPr>
        <w:spacing w:after="90"/>
      </w:pPr>
      <w:r>
        <w:rPr>
          <w:sz w:val="22"/>
          <w:szCs w:val="22"/>
        </w:rPr>
        <w:t xml:space="preserve">City by Revenue (filled map): plots revenue geographically across the 12 ship cities and their states, giving a spatial view of where SkyVille's business is concentrated.</w:t>
      </w:r>
    </w:p>
    <w:p>
      <w:pPr>
        <w:pStyle w:val="ListParagraph"/>
        <w:numPr>
          <w:ilvl w:val="0"/>
          <w:numId w:val="2"/>
        </w:numPr>
        <w:spacing w:after="90"/>
      </w:pPr>
      <w:r>
        <w:rPr>
          <w:sz w:val="22"/>
          <w:szCs w:val="22"/>
        </w:rPr>
        <w:t xml:space="preserve">Ship Cities Performance Outlook (bar chart) and Sales Trend (area chart): the bar chart restates the top city ranking in a simpler format, while the area chart plots monthly revenue across the year, making the June and December peaks and the February and April dips immediately visible.</w:t>
      </w:r>
    </w:p>
    <w:p>
      <w:pPr>
        <w:pStyle w:val="Heading1"/>
        <w:pBdr>
          <w:bottom w:val="single" w:color="3F7D3A" w:sz="6" w:space="4"/>
        </w:pBdr>
        <w:spacing w:after="200" w:before="400"/>
      </w:pPr>
      <w:r>
        <w:rPr>
          <w:b/>
          <w:bCs/>
          <w:color w:val="1B3A1E"/>
          <w:sz w:val="30"/>
          <w:szCs w:val="30"/>
        </w:rPr>
        <w:t xml:space="preserve">9. Recommendations and Observations</w:t>
      </w:r>
    </w:p>
    <w:p>
      <w:pPr>
        <w:pStyle w:val="Heading2"/>
        <w:spacing w:after="120" w:before="280"/>
      </w:pPr>
      <w:r>
        <w:rPr>
          <w:b/>
          <w:bCs/>
          <w:color w:val="3F7D3A"/>
          <w:sz w:val="24"/>
          <w:szCs w:val="24"/>
        </w:rPr>
        <w:t xml:space="preserve">9.1 Actionable Insights</w:t>
      </w:r>
    </w:p>
    <w:p>
      <w:pPr>
        <w:pStyle w:val="ListParagraph"/>
        <w:numPr>
          <w:ilvl w:val="0"/>
          <w:numId w:val="2"/>
        </w:numPr>
        <w:spacing w:after="90"/>
      </w:pPr>
      <w:r>
        <w:rPr>
          <w:sz w:val="22"/>
          <w:szCs w:val="22"/>
        </w:rPr>
        <w:t xml:space="preserve">Formalise key account management for the top 3 customers. Company D, Company H and Company BB together generate 37.0 percent of total revenue, so a dedicated retention plan, regular account reviews and early warning tracking for these relationships would materially protect company revenue.</w:t>
      </w:r>
    </w:p>
    <w:p>
      <w:pPr>
        <w:pStyle w:val="ListParagraph"/>
        <w:numPr>
          <w:ilvl w:val="0"/>
          <w:numId w:val="2"/>
        </w:numPr>
        <w:spacing w:after="90"/>
      </w:pPr>
      <w:r>
        <w:rPr>
          <w:sz w:val="22"/>
          <w:szCs w:val="22"/>
        </w:rPr>
        <w:t xml:space="preserve">Build redundancy around the top 2 salespeople. Nancy Freehafer and Anne Larsen generate 45.5 percent of revenue between them, representing both a strength and a concentration risk; cross training other salespeople on their accounts and territories would reduce business continuity risk.</w:t>
      </w:r>
    </w:p>
    <w:p>
      <w:pPr>
        <w:pStyle w:val="ListParagraph"/>
        <w:numPr>
          <w:ilvl w:val="0"/>
          <w:numId w:val="2"/>
        </w:numPr>
        <w:spacing w:after="90"/>
      </w:pPr>
      <w:r>
        <w:rPr>
          <w:sz w:val="22"/>
          <w:szCs w:val="22"/>
        </w:rPr>
        <w:t xml:space="preserve">Protect and grow the Beverages category. At $110,577.11, Beverages is the clear revenue leader and warrants priority in supplier negotiation, promotional support and inventory planning ahead of the other 13 categories.</w:t>
      </w:r>
    </w:p>
    <w:p>
      <w:pPr>
        <w:pStyle w:val="ListParagraph"/>
        <w:numPr>
          <w:ilvl w:val="0"/>
          <w:numId w:val="2"/>
        </w:numPr>
        <w:spacing w:after="90"/>
      </w:pPr>
      <w:r>
        <w:rPr>
          <w:sz w:val="22"/>
          <w:szCs w:val="22"/>
        </w:rPr>
        <w:t xml:space="preserve">Investigate West's shortfall relative to North. West trails every other region on total revenue and sits mid table on average order value, warranting a review of territory coverage, account count and salesperson allocation in that region.</w:t>
      </w:r>
    </w:p>
    <w:p>
      <w:pPr>
        <w:pStyle w:val="ListParagraph"/>
        <w:numPr>
          <w:ilvl w:val="0"/>
          <w:numId w:val="2"/>
        </w:numPr>
        <w:spacing w:after="90"/>
      </w:pPr>
      <w:r>
        <w:rPr>
          <w:sz w:val="22"/>
          <w:szCs w:val="22"/>
        </w:rPr>
        <w:t xml:space="preserve">Plan capacity around the confirmed June and December peaks. Both months significantly outperform the rest of the year, so staffing, inventory and logistics capacity should be built ahead of these two points rather than spread evenly across the year.</w:t>
      </w:r>
    </w:p>
    <w:p>
      <w:pPr>
        <w:pStyle w:val="Heading2"/>
        <w:spacing w:after="120" w:before="280"/>
      </w:pPr>
      <w:r>
        <w:rPr>
          <w:b/>
          <w:bCs/>
          <w:color w:val="3F7D3A"/>
          <w:sz w:val="24"/>
          <w:szCs w:val="24"/>
        </w:rPr>
        <w:t xml:space="preserve">9.2 Optimizations or Business Decisions</w:t>
      </w:r>
    </w:p>
    <w:p>
      <w:pPr>
        <w:spacing w:after="160" w:line="276"/>
        <w:jc w:val="both"/>
      </w:pPr>
      <w:r>
        <w:rPr>
          <w:color w:val="1A1A1A"/>
          <w:sz w:val="22"/>
          <w:szCs w:val="22"/>
        </w:rPr>
        <w:t xml:space="preserve">Because average order value varies more by region (from $1,078.83 in South to $1,230.40 in East) than total revenue alone reveals, sales targets should be set on a per order and per account basis rather than purely on regional totals, so that South's lower order size, not just its lower revenue, is directly addressed. Shipping fees at 10.0 percent of revenue are a meaningful cost line and are worth reviewing on a per carrier and per region basis for negotiation opportunities.</w:t>
      </w:r>
    </w:p>
    <w:p>
      <w:pPr>
        <w:pStyle w:val="Heading2"/>
        <w:spacing w:after="120" w:before="280"/>
      </w:pPr>
      <w:r>
        <w:rPr>
          <w:b/>
          <w:bCs/>
          <w:color w:val="3F7D3A"/>
          <w:sz w:val="24"/>
          <w:szCs w:val="24"/>
        </w:rPr>
        <w:t xml:space="preserve">9.3 Unexpected Outcomes</w:t>
      </w:r>
    </w:p>
    <w:p>
      <w:pPr>
        <w:spacing w:after="160" w:line="276"/>
        <w:jc w:val="both"/>
      </w:pPr>
      <w:r>
        <w:rPr>
          <w:color w:val="1A1A1A"/>
          <w:sz w:val="22"/>
          <w:szCs w:val="22"/>
        </w:rPr>
        <w:t xml:space="preserve">The most unexpected result was the degree of overlap between the top city, top state and top customer, all three headline metrics point to the same New York based account, which is a stronger single point of concentration than a first look at the regional totals alone would suggest. A second unexpected finding was the extent of the data quality gaps uncovered during preprocessing, over a quarter of orders missing a recorded payment type, and three order lines where a shipping charge had been entered directly into the product Category field rather than being isolated to the Shipping Fee column.</w:t>
      </w:r>
    </w:p>
    <w:p>
      <w:pPr>
        <w:pStyle w:val="Heading1"/>
        <w:pBdr>
          <w:bottom w:val="single" w:color="3F7D3A" w:sz="6" w:space="4"/>
        </w:pBdr>
        <w:spacing w:after="200" w:before="400"/>
      </w:pPr>
      <w:r>
        <w:rPr>
          <w:b/>
          <w:bCs/>
          <w:color w:val="1B3A1E"/>
          <w:sz w:val="30"/>
          <w:szCs w:val="30"/>
        </w:rPr>
        <w:t xml:space="preserve">10. Conclusion</w:t>
      </w:r>
    </w:p>
    <w:p>
      <w:pPr>
        <w:pStyle w:val="Heading2"/>
        <w:spacing w:after="120" w:before="280"/>
      </w:pPr>
      <w:r>
        <w:rPr>
          <w:b/>
          <w:bCs/>
          <w:color w:val="3F7D3A"/>
          <w:sz w:val="24"/>
          <w:szCs w:val="24"/>
        </w:rPr>
        <w:t xml:space="preserve">10.1 Key Learnings</w:t>
      </w:r>
    </w:p>
    <w:p>
      <w:pPr>
        <w:spacing w:after="160" w:line="276"/>
        <w:jc w:val="both"/>
      </w:pPr>
      <w:r>
        <w:rPr>
          <w:color w:val="1A1A1A"/>
          <w:sz w:val="22"/>
          <w:szCs w:val="22"/>
        </w:rPr>
        <w:t xml:space="preserve">This analysis of SkyVille Supermart's order data shows a business generating $435,066.16 in revenue across 369 orders, led by the North region, the Beverages category and a New York based account, Company D. Beneath that headline performance sits a meaningful concentration risk, a small number of customers and salespeople account for a disproportionate share of total revenue, which is the single most important finding for management to act on.</w:t>
      </w:r>
    </w:p>
    <w:p>
      <w:pPr>
        <w:pStyle w:val="Heading2"/>
        <w:spacing w:after="120" w:before="280"/>
      </w:pPr>
      <w:r>
        <w:rPr>
          <w:b/>
          <w:bCs/>
          <w:color w:val="3F7D3A"/>
          <w:sz w:val="24"/>
          <w:szCs w:val="24"/>
        </w:rPr>
        <w:t xml:space="preserve">10.2 Limitations</w:t>
      </w:r>
    </w:p>
    <w:p>
      <w:pPr>
        <w:spacing w:after="160" w:line="276"/>
        <w:jc w:val="both"/>
      </w:pPr>
      <w:r>
        <w:rPr>
          <w:color w:val="1A1A1A"/>
          <w:sz w:val="22"/>
          <w:szCs w:val="22"/>
        </w:rPr>
        <w:t xml:space="preserve">The analysis is based on one calendar year of order data and contains no cost or margin field, so it reports on revenue rather than full profitability. Payment Type is missing for 27.6 percent of orders, Shipped Date for 21.1 percent and Shipper Name for 10.6 percent, which limits confidence in any conclusions drawn from those specific fields. Three order lines also carry a mislabelled Category value that had to be treated as a data entry inconsistency rather than a genuine product category.</w:t>
      </w:r>
    </w:p>
    <w:p>
      <w:pPr>
        <w:pStyle w:val="Heading2"/>
        <w:spacing w:after="120" w:before="280"/>
      </w:pPr>
      <w:r>
        <w:rPr>
          <w:b/>
          <w:bCs/>
          <w:color w:val="3F7D3A"/>
          <w:sz w:val="24"/>
          <w:szCs w:val="24"/>
        </w:rPr>
        <w:t xml:space="preserve">10.3 Future Research</w:t>
      </w:r>
    </w:p>
    <w:p>
      <w:pPr>
        <w:pStyle w:val="ListParagraph"/>
        <w:numPr>
          <w:ilvl w:val="0"/>
          <w:numId w:val="2"/>
        </w:numPr>
        <w:spacing w:after="90"/>
      </w:pPr>
      <w:r>
        <w:rPr>
          <w:sz w:val="22"/>
          <w:szCs w:val="22"/>
        </w:rPr>
        <w:t xml:space="preserve">Bring in cost and margin data by product category and account to move from a revenue only view to a full profitability picture, similar to the approach used in the TastyBite Supermart analysis.</w:t>
      </w:r>
    </w:p>
    <w:p>
      <w:pPr>
        <w:pStyle w:val="ListParagraph"/>
        <w:numPr>
          <w:ilvl w:val="0"/>
          <w:numId w:val="2"/>
        </w:numPr>
        <w:spacing w:after="90"/>
      </w:pPr>
      <w:r>
        <w:rPr>
          <w:sz w:val="22"/>
          <w:szCs w:val="22"/>
        </w:rPr>
        <w:t xml:space="preserve">Correct and complete the Payment Type, Shipped Date and Shipper Name fields at the point of data entry to remove the current gaps before the next reporting cycle.</w:t>
      </w:r>
    </w:p>
    <w:p>
      <w:pPr>
        <w:pStyle w:val="ListParagraph"/>
        <w:numPr>
          <w:ilvl w:val="0"/>
          <w:numId w:val="2"/>
        </w:numPr>
        <w:spacing w:after="90"/>
      </w:pPr>
      <w:r>
        <w:rPr>
          <w:sz w:val="22"/>
          <w:szCs w:val="22"/>
        </w:rPr>
        <w:t xml:space="preserve">Extend the dataset across multiple years to confirm whether the June and December seasonal peaks and the current customer and salesperson concentration are recurring patterns or specific to this period.</w:t>
      </w:r>
    </w:p>
    <w:p>
      <w:pPr>
        <w:pStyle w:val="ListParagraph"/>
        <w:numPr>
          <w:ilvl w:val="0"/>
          <w:numId w:val="2"/>
        </w:numPr>
        <w:spacing w:after="90"/>
      </w:pPr>
      <w:r>
        <w:rPr>
          <w:sz w:val="22"/>
          <w:szCs w:val="22"/>
        </w:rPr>
        <w:t xml:space="preserve">Investigate West region's shortfall and South's lower average order value at an account level to identify whether the cause is territory coverage, account count or pricing.</w:t>
      </w:r>
    </w:p>
    <w:p>
      <w:pPr>
        <w:pStyle w:val="Heading1"/>
        <w:pBdr>
          <w:bottom w:val="single" w:color="3F7D3A" w:sz="6" w:space="4"/>
        </w:pBdr>
        <w:spacing w:after="200" w:before="400"/>
      </w:pPr>
      <w:r>
        <w:rPr>
          <w:b/>
          <w:bCs/>
          <w:color w:val="1B3A1E"/>
          <w:sz w:val="30"/>
          <w:szCs w:val="30"/>
        </w:rPr>
        <w:t xml:space="preserve">11. References and Appendices</w:t>
      </w:r>
    </w:p>
    <w:p>
      <w:pPr>
        <w:pStyle w:val="Heading2"/>
        <w:spacing w:after="120" w:before="280"/>
      </w:pPr>
      <w:r>
        <w:rPr>
          <w:b/>
          <w:bCs/>
          <w:color w:val="3F7D3A"/>
          <w:sz w:val="24"/>
          <w:szCs w:val="24"/>
        </w:rPr>
        <w:t xml:space="preserve">11.1 References</w:t>
      </w:r>
    </w:p>
    <w:p>
      <w:pPr>
        <w:pStyle w:val="ListParagraph"/>
        <w:numPr>
          <w:ilvl w:val="0"/>
          <w:numId w:val="2"/>
        </w:numPr>
        <w:spacing w:after="90"/>
      </w:pPr>
      <w:r>
        <w:rPr>
          <w:sz w:val="22"/>
          <w:szCs w:val="22"/>
        </w:rPr>
        <w:t xml:space="preserve">SkyVille Supermart internal order dataset, 369 records, calendar year 2014 (source file: Data table).</w:t>
      </w:r>
    </w:p>
    <w:p>
      <w:pPr>
        <w:pStyle w:val="ListParagraph"/>
        <w:numPr>
          <w:ilvl w:val="0"/>
          <w:numId w:val="2"/>
        </w:numPr>
        <w:spacing w:after="90"/>
      </w:pPr>
      <w:r>
        <w:rPr>
          <w:sz w:val="22"/>
          <w:szCs w:val="22"/>
        </w:rPr>
        <w:t xml:space="preserve">Microsoft Excel: PivotTables, PivotCharts, Slicers, filled map chart and dashboard design tools used for all aggregation and visualisation in this report.</w:t>
      </w:r>
    </w:p>
    <w:p>
      <w:pPr>
        <w:pStyle w:val="Heading2"/>
        <w:spacing w:after="120" w:before="280"/>
      </w:pPr>
      <w:r>
        <w:rPr>
          <w:b/>
          <w:bCs/>
          <w:color w:val="3F7D3A"/>
          <w:sz w:val="24"/>
          <w:szCs w:val="24"/>
        </w:rPr>
        <w:t xml:space="preserve">11.2 Appendices</w:t>
      </w:r>
    </w:p>
    <w:p>
      <w:pPr>
        <w:spacing w:after="160" w:line="276"/>
        <w:jc w:val="both"/>
      </w:pPr>
      <w:r>
        <w:rPr>
          <w:color w:val="1A1A1A"/>
          <w:sz w:val="22"/>
          <w:szCs w:val="22"/>
        </w:rPr>
        <w:t xml:space="preserve">Appendix A: Revenue by Region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000"/>
        <w:gridCol w:w="2500"/>
      </w:tblGrid>
      <w:tr>
        <w:trPr>
          <w:tblHeader/>
        </w:trPr>
        <w:tc>
          <w:tcPr>
            <w:tcW w:type="dxa" w:w="2300"/>
            <w:shd w:fill="1B3A1E" w:color="auto" w:val="clear"/>
            <w:tcMar>
              <w:top w:type="dxa" w:w="80"/>
              <w:left w:type="dxa" w:w="120"/>
              <w:bottom w:type="dxa" w:w="80"/>
              <w:right w:type="dxa" w:w="120"/>
            </w:tcMar>
            <w:vAlign w:val="center"/>
          </w:tcPr>
          <w:p>
            <w:pPr>
              <w:jc w:val="left"/>
            </w:pPr>
            <w:r>
              <w:rPr>
                <w:b/>
                <w:bCs/>
                <w:color w:val="FFFFFF"/>
                <w:sz w:val="20"/>
                <w:szCs w:val="20"/>
              </w:rPr>
              <w:t xml:space="preserve">Region</w:t>
            </w:r>
          </w:p>
        </w:tc>
        <w:tc>
          <w:tcPr>
            <w:tcW w:type="dxa" w:w="2700"/>
            <w:shd w:fill="1B3A1E" w:color="auto" w:val="clear"/>
            <w:tcMar>
              <w:top w:type="dxa" w:w="80"/>
              <w:left w:type="dxa" w:w="120"/>
              <w:bottom w:type="dxa" w:w="80"/>
              <w:right w:type="dxa" w:w="120"/>
            </w:tcMar>
            <w:vAlign w:val="center"/>
          </w:tcPr>
          <w:p>
            <w:pPr>
              <w:jc w:val="center"/>
            </w:pPr>
            <w:r>
              <w:rPr>
                <w:b/>
                <w:bCs/>
                <w:color w:val="FFFFFF"/>
                <w:sz w:val="20"/>
                <w:szCs w:val="20"/>
              </w:rPr>
              <w:t xml:space="preserve">Revenue</w:t>
            </w:r>
          </w:p>
        </w:tc>
        <w:tc>
          <w:tcPr>
            <w:tcW w:type="dxa" w:w="2000"/>
            <w:shd w:fill="1B3A1E" w:color="auto" w:val="clear"/>
            <w:tcMar>
              <w:top w:type="dxa" w:w="80"/>
              <w:left w:type="dxa" w:w="120"/>
              <w:bottom w:type="dxa" w:w="80"/>
              <w:right w:type="dxa" w:w="120"/>
            </w:tcMar>
            <w:vAlign w:val="center"/>
          </w:tcPr>
          <w:p>
            <w:pPr>
              <w:jc w:val="center"/>
            </w:pPr>
            <w:r>
              <w:rPr>
                <w:b/>
                <w:bCs/>
                <w:color w:val="FFFFFF"/>
                <w:sz w:val="20"/>
                <w:szCs w:val="20"/>
              </w:rPr>
              <w:t xml:space="preserve">Orders</w:t>
            </w:r>
          </w:p>
        </w:tc>
        <w:tc>
          <w:tcPr>
            <w:tcW w:type="dxa" w:w="2500"/>
            <w:shd w:fill="1B3A1E" w:color="auto" w:val="clear"/>
            <w:tcMar>
              <w:top w:type="dxa" w:w="80"/>
              <w:left w:type="dxa" w:w="120"/>
              <w:bottom w:type="dxa" w:w="80"/>
              <w:right w:type="dxa" w:w="120"/>
            </w:tcMar>
            <w:vAlign w:val="center"/>
          </w:tcPr>
          <w:p>
            <w:pPr>
              <w:jc w:val="center"/>
            </w:pPr>
            <w:r>
              <w:rPr>
                <w:b/>
                <w:bCs/>
                <w:color w:val="FFFFFF"/>
                <w:sz w:val="20"/>
                <w:szCs w:val="20"/>
              </w:rPr>
              <w:t xml:space="preserve">Avg order value</w:t>
            </w:r>
          </w:p>
        </w:tc>
      </w:tr>
      <w:tr>
        <w:tc>
          <w:tcPr>
            <w:tcW w:type="dxa" w:w="2300"/>
            <w:shd w:fill="FFFFFF" w:color="auto" w:val="clear"/>
            <w:tcMar>
              <w:top w:type="dxa" w:w="70"/>
              <w:left w:type="dxa" w:w="120"/>
              <w:bottom w:type="dxa" w:w="70"/>
              <w:right w:type="dxa" w:w="120"/>
            </w:tcMar>
            <w:vAlign w:val="center"/>
          </w:tcPr>
          <w:p>
            <w:pPr>
              <w:jc w:val="left"/>
            </w:pPr>
            <w:r>
              <w:rPr>
                <w:sz w:val="20"/>
                <w:szCs w:val="20"/>
              </w:rPr>
              <w:t xml:space="preserve">North</w:t>
            </w:r>
          </w:p>
        </w:tc>
        <w:tc>
          <w:tcPr>
            <w:tcW w:type="dxa" w:w="2700"/>
            <w:shd w:fill="FFFFFF" w:color="auto" w:val="clear"/>
            <w:tcMar>
              <w:top w:type="dxa" w:w="70"/>
              <w:left w:type="dxa" w:w="120"/>
              <w:bottom w:type="dxa" w:w="70"/>
              <w:right w:type="dxa" w:w="120"/>
            </w:tcMar>
            <w:vAlign w:val="center"/>
          </w:tcPr>
          <w:p>
            <w:pPr>
              <w:jc w:val="center"/>
            </w:pPr>
            <w:r>
              <w:rPr>
                <w:sz w:val="20"/>
                <w:szCs w:val="20"/>
              </w:rPr>
              <w:t xml:space="preserve">$141,680.34</w:t>
            </w:r>
          </w:p>
        </w:tc>
        <w:tc>
          <w:tcPr>
            <w:tcW w:type="dxa" w:w="2000"/>
            <w:shd w:fill="FFFFFF" w:color="auto" w:val="clear"/>
            <w:tcMar>
              <w:top w:type="dxa" w:w="70"/>
              <w:left w:type="dxa" w:w="120"/>
              <w:bottom w:type="dxa" w:w="70"/>
              <w:right w:type="dxa" w:w="120"/>
            </w:tcMar>
            <w:vAlign w:val="center"/>
          </w:tcPr>
          <w:p>
            <w:pPr>
              <w:jc w:val="center"/>
            </w:pPr>
            <w:r>
              <w:rPr>
                <w:sz w:val="20"/>
                <w:szCs w:val="20"/>
              </w:rPr>
              <w:t xml:space="preserve">117</w:t>
            </w:r>
          </w:p>
        </w:tc>
        <w:tc>
          <w:tcPr>
            <w:tcW w:type="dxa" w:w="2500"/>
            <w:shd w:fill="FFFFFF" w:color="auto" w:val="clear"/>
            <w:tcMar>
              <w:top w:type="dxa" w:w="70"/>
              <w:left w:type="dxa" w:w="120"/>
              <w:bottom w:type="dxa" w:w="70"/>
              <w:right w:type="dxa" w:w="120"/>
            </w:tcMar>
            <w:vAlign w:val="center"/>
          </w:tcPr>
          <w:p>
            <w:pPr>
              <w:jc w:val="center"/>
            </w:pPr>
            <w:r>
              <w:rPr>
                <w:sz w:val="20"/>
                <w:szCs w:val="20"/>
              </w:rPr>
              <w:t xml:space="preserve">$1,210.94</w:t>
            </w:r>
          </w:p>
        </w:tc>
      </w:tr>
      <w:tr>
        <w:tc>
          <w:tcPr>
            <w:tcW w:type="dxa" w:w="2300"/>
            <w:shd w:fill="EAF3E6" w:color="auto" w:val="clear"/>
            <w:tcMar>
              <w:top w:type="dxa" w:w="70"/>
              <w:left w:type="dxa" w:w="120"/>
              <w:bottom w:type="dxa" w:w="70"/>
              <w:right w:type="dxa" w:w="120"/>
            </w:tcMar>
            <w:vAlign w:val="center"/>
          </w:tcPr>
          <w:p>
            <w:pPr>
              <w:jc w:val="left"/>
            </w:pPr>
            <w:r>
              <w:rPr>
                <w:sz w:val="20"/>
                <w:szCs w:val="20"/>
              </w:rPr>
              <w:t xml:space="preserve">East</w:t>
            </w:r>
          </w:p>
        </w:tc>
        <w:tc>
          <w:tcPr>
            <w:tcW w:type="dxa" w:w="2700"/>
            <w:shd w:fill="EAF3E6" w:color="auto" w:val="clear"/>
            <w:tcMar>
              <w:top w:type="dxa" w:w="70"/>
              <w:left w:type="dxa" w:w="120"/>
              <w:bottom w:type="dxa" w:w="70"/>
              <w:right w:type="dxa" w:w="120"/>
            </w:tcMar>
            <w:vAlign w:val="center"/>
          </w:tcPr>
          <w:p>
            <w:pPr>
              <w:jc w:val="center"/>
            </w:pPr>
            <w:r>
              <w:rPr>
                <w:sz w:val="20"/>
                <w:szCs w:val="20"/>
              </w:rPr>
              <w:t xml:space="preserve">$108,275.51</w:t>
            </w:r>
          </w:p>
        </w:tc>
        <w:tc>
          <w:tcPr>
            <w:tcW w:type="dxa" w:w="2000"/>
            <w:shd w:fill="EAF3E6" w:color="auto" w:val="clear"/>
            <w:tcMar>
              <w:top w:type="dxa" w:w="70"/>
              <w:left w:type="dxa" w:w="120"/>
              <w:bottom w:type="dxa" w:w="70"/>
              <w:right w:type="dxa" w:w="120"/>
            </w:tcMar>
            <w:vAlign w:val="center"/>
          </w:tcPr>
          <w:p>
            <w:pPr>
              <w:jc w:val="center"/>
            </w:pPr>
            <w:r>
              <w:rPr>
                <w:sz w:val="20"/>
                <w:szCs w:val="20"/>
              </w:rPr>
              <w:t xml:space="preserve">88</w:t>
            </w:r>
          </w:p>
        </w:tc>
        <w:tc>
          <w:tcPr>
            <w:tcW w:type="dxa" w:w="2500"/>
            <w:shd w:fill="EAF3E6" w:color="auto" w:val="clear"/>
            <w:tcMar>
              <w:top w:type="dxa" w:w="70"/>
              <w:left w:type="dxa" w:w="120"/>
              <w:bottom w:type="dxa" w:w="70"/>
              <w:right w:type="dxa" w:w="120"/>
            </w:tcMar>
            <w:vAlign w:val="center"/>
          </w:tcPr>
          <w:p>
            <w:pPr>
              <w:jc w:val="center"/>
            </w:pPr>
            <w:r>
              <w:rPr>
                <w:sz w:val="20"/>
                <w:szCs w:val="20"/>
              </w:rPr>
              <w:t xml:space="preserve">$1,230.40</w:t>
            </w:r>
          </w:p>
        </w:tc>
      </w:tr>
      <w:tr>
        <w:tc>
          <w:tcPr>
            <w:tcW w:type="dxa" w:w="2300"/>
            <w:shd w:fill="FFFFFF" w:color="auto" w:val="clear"/>
            <w:tcMar>
              <w:top w:type="dxa" w:w="70"/>
              <w:left w:type="dxa" w:w="120"/>
              <w:bottom w:type="dxa" w:w="70"/>
              <w:right w:type="dxa" w:w="120"/>
            </w:tcMar>
            <w:vAlign w:val="center"/>
          </w:tcPr>
          <w:p>
            <w:pPr>
              <w:jc w:val="left"/>
            </w:pPr>
            <w:r>
              <w:rPr>
                <w:sz w:val="20"/>
                <w:szCs w:val="20"/>
              </w:rPr>
              <w:t xml:space="preserve">South</w:t>
            </w:r>
          </w:p>
        </w:tc>
        <w:tc>
          <w:tcPr>
            <w:tcW w:type="dxa" w:w="2700"/>
            <w:shd w:fill="FFFFFF" w:color="auto" w:val="clear"/>
            <w:tcMar>
              <w:top w:type="dxa" w:w="70"/>
              <w:left w:type="dxa" w:w="120"/>
              <w:bottom w:type="dxa" w:w="70"/>
              <w:right w:type="dxa" w:w="120"/>
            </w:tcMar>
            <w:vAlign w:val="center"/>
          </w:tcPr>
          <w:p>
            <w:pPr>
              <w:jc w:val="center"/>
            </w:pPr>
            <w:r>
              <w:rPr>
                <w:sz w:val="20"/>
                <w:szCs w:val="20"/>
              </w:rPr>
              <w:t xml:space="preserve">$93,858.33</w:t>
            </w:r>
          </w:p>
        </w:tc>
        <w:tc>
          <w:tcPr>
            <w:tcW w:type="dxa" w:w="2000"/>
            <w:shd w:fill="FFFFFF" w:color="auto" w:val="clear"/>
            <w:tcMar>
              <w:top w:type="dxa" w:w="70"/>
              <w:left w:type="dxa" w:w="120"/>
              <w:bottom w:type="dxa" w:w="70"/>
              <w:right w:type="dxa" w:w="120"/>
            </w:tcMar>
            <w:vAlign w:val="center"/>
          </w:tcPr>
          <w:p>
            <w:pPr>
              <w:jc w:val="center"/>
            </w:pPr>
            <w:r>
              <w:rPr>
                <w:sz w:val="20"/>
                <w:szCs w:val="20"/>
              </w:rPr>
              <w:t xml:space="preserve">87</w:t>
            </w:r>
          </w:p>
        </w:tc>
        <w:tc>
          <w:tcPr>
            <w:tcW w:type="dxa" w:w="2500"/>
            <w:shd w:fill="FFFFFF" w:color="auto" w:val="clear"/>
            <w:tcMar>
              <w:top w:type="dxa" w:w="70"/>
              <w:left w:type="dxa" w:w="120"/>
              <w:bottom w:type="dxa" w:w="70"/>
              <w:right w:type="dxa" w:w="120"/>
            </w:tcMar>
            <w:vAlign w:val="center"/>
          </w:tcPr>
          <w:p>
            <w:pPr>
              <w:jc w:val="center"/>
            </w:pPr>
            <w:r>
              <w:rPr>
                <w:sz w:val="20"/>
                <w:szCs w:val="20"/>
              </w:rPr>
              <w:t xml:space="preserve">$1,078.83</w:t>
            </w:r>
          </w:p>
        </w:tc>
      </w:tr>
      <w:tr>
        <w:tc>
          <w:tcPr>
            <w:tcW w:type="dxa" w:w="2300"/>
            <w:shd w:fill="EAF3E6" w:color="auto" w:val="clear"/>
            <w:tcMar>
              <w:top w:type="dxa" w:w="70"/>
              <w:left w:type="dxa" w:w="120"/>
              <w:bottom w:type="dxa" w:w="70"/>
              <w:right w:type="dxa" w:w="120"/>
            </w:tcMar>
            <w:vAlign w:val="center"/>
          </w:tcPr>
          <w:p>
            <w:pPr>
              <w:jc w:val="left"/>
            </w:pPr>
            <w:r>
              <w:rPr>
                <w:sz w:val="20"/>
                <w:szCs w:val="20"/>
              </w:rPr>
              <w:t xml:space="preserve">West</w:t>
            </w:r>
          </w:p>
        </w:tc>
        <w:tc>
          <w:tcPr>
            <w:tcW w:type="dxa" w:w="2700"/>
            <w:shd w:fill="EAF3E6" w:color="auto" w:val="clear"/>
            <w:tcMar>
              <w:top w:type="dxa" w:w="70"/>
              <w:left w:type="dxa" w:w="120"/>
              <w:bottom w:type="dxa" w:w="70"/>
              <w:right w:type="dxa" w:w="120"/>
            </w:tcMar>
            <w:vAlign w:val="center"/>
          </w:tcPr>
          <w:p>
            <w:pPr>
              <w:jc w:val="center"/>
            </w:pPr>
            <w:r>
              <w:rPr>
                <w:sz w:val="20"/>
                <w:szCs w:val="20"/>
              </w:rPr>
              <w:t xml:space="preserve">$91,251.98</w:t>
            </w:r>
          </w:p>
        </w:tc>
        <w:tc>
          <w:tcPr>
            <w:tcW w:type="dxa" w:w="2000"/>
            <w:shd w:fill="EAF3E6" w:color="auto" w:val="clear"/>
            <w:tcMar>
              <w:top w:type="dxa" w:w="70"/>
              <w:left w:type="dxa" w:w="120"/>
              <w:bottom w:type="dxa" w:w="70"/>
              <w:right w:type="dxa" w:w="120"/>
            </w:tcMar>
            <w:vAlign w:val="center"/>
          </w:tcPr>
          <w:p>
            <w:pPr>
              <w:jc w:val="center"/>
            </w:pPr>
            <w:r>
              <w:rPr>
                <w:sz w:val="20"/>
                <w:szCs w:val="20"/>
              </w:rPr>
              <w:t xml:space="preserve">77</w:t>
            </w:r>
          </w:p>
        </w:tc>
        <w:tc>
          <w:tcPr>
            <w:tcW w:type="dxa" w:w="2500"/>
            <w:shd w:fill="EAF3E6" w:color="auto" w:val="clear"/>
            <w:tcMar>
              <w:top w:type="dxa" w:w="70"/>
              <w:left w:type="dxa" w:w="120"/>
              <w:bottom w:type="dxa" w:w="70"/>
              <w:right w:type="dxa" w:w="120"/>
            </w:tcMar>
            <w:vAlign w:val="center"/>
          </w:tcPr>
          <w:p>
            <w:pPr>
              <w:jc w:val="center"/>
            </w:pPr>
            <w:r>
              <w:rPr>
                <w:sz w:val="20"/>
                <w:szCs w:val="20"/>
              </w:rPr>
              <w:t xml:space="preserve">$1,185.09</w:t>
            </w:r>
          </w:p>
        </w:tc>
      </w:tr>
    </w:tbl>
    <w:p>
      <w:pPr>
        <w:spacing w:after="300" w:before="100"/>
        <w:jc w:val="center"/>
      </w:pPr>
      <w:r>
        <w:rPr>
          <w:i/>
          <w:iCs/>
          <w:color w:val="595959"/>
          <w:sz w:val="20"/>
          <w:szCs w:val="20"/>
        </w:rPr>
        <w:t xml:space="preserve">Table 3: Revenue, order count and average order value by region</w:t>
      </w:r>
    </w:p>
    <w:p>
      <w:pPr>
        <w:spacing w:after="160" w:line="276"/>
        <w:jc w:val="both"/>
      </w:pPr>
      <w:r>
        <w:rPr>
          <w:color w:val="1A1A1A"/>
          <w:sz w:val="22"/>
          <w:szCs w:val="22"/>
        </w:rPr>
        <w:t xml:space="preserve">Appendix B: Revenue by Product Category (top 8)</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300"/>
      </w:tblGrid>
      <w:tr>
        <w:trPr>
          <w:tblHeader/>
        </w:trPr>
        <w:tc>
          <w:tcPr>
            <w:tcW w:type="dxa" w:w="3200"/>
            <w:shd w:fill="1B3A1E" w:color="auto"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3000"/>
            <w:shd w:fill="1B3A1E" w:color="auto" w:val="clear"/>
            <w:tcMar>
              <w:top w:type="dxa" w:w="80"/>
              <w:left w:type="dxa" w:w="120"/>
              <w:bottom w:type="dxa" w:w="80"/>
              <w:right w:type="dxa" w:w="120"/>
            </w:tcMar>
            <w:vAlign w:val="center"/>
          </w:tcPr>
          <w:p>
            <w:pPr>
              <w:jc w:val="center"/>
            </w:pPr>
            <w:r>
              <w:rPr>
                <w:b/>
                <w:bCs/>
                <w:color w:val="FFFFFF"/>
                <w:sz w:val="20"/>
                <w:szCs w:val="20"/>
              </w:rPr>
              <w:t xml:space="preserve">Revenue</w:t>
            </w:r>
          </w:p>
        </w:tc>
        <w:tc>
          <w:tcPr>
            <w:tcW w:type="dxa" w:w="3300"/>
            <w:shd w:fill="1B3A1E" w:color="auto" w:val="clear"/>
            <w:tcMar>
              <w:top w:type="dxa" w:w="80"/>
              <w:left w:type="dxa" w:w="120"/>
              <w:bottom w:type="dxa" w:w="80"/>
              <w:right w:type="dxa" w:w="120"/>
            </w:tcMar>
            <w:vAlign w:val="center"/>
          </w:tcPr>
          <w:p>
            <w:pPr>
              <w:jc w:val="center"/>
            </w:pPr>
            <w:r>
              <w:rPr>
                <w:b/>
                <w:bCs/>
                <w:color w:val="FFFFFF"/>
                <w:sz w:val="20"/>
                <w:szCs w:val="20"/>
              </w:rPr>
              <w:t xml:space="preserve">Share of total</w:t>
            </w:r>
          </w:p>
        </w:tc>
      </w:tr>
      <w:tr>
        <w:tc>
          <w:tcPr>
            <w:tcW w:type="dxa" w:w="3200"/>
            <w:shd w:fill="FFFFFF" w:color="auto" w:val="clear"/>
            <w:tcMar>
              <w:top w:type="dxa" w:w="70"/>
              <w:left w:type="dxa" w:w="120"/>
              <w:bottom w:type="dxa" w:w="70"/>
              <w:right w:type="dxa" w:w="120"/>
            </w:tcMar>
            <w:vAlign w:val="center"/>
          </w:tcPr>
          <w:p>
            <w:pPr>
              <w:jc w:val="left"/>
            </w:pPr>
            <w:r>
              <w:rPr>
                <w:sz w:val="20"/>
                <w:szCs w:val="20"/>
              </w:rPr>
              <w:t xml:space="preserve">Beverages</w:t>
            </w:r>
          </w:p>
        </w:tc>
        <w:tc>
          <w:tcPr>
            <w:tcW w:type="dxa" w:w="3000"/>
            <w:shd w:fill="FFFFFF" w:color="auto" w:val="clear"/>
            <w:tcMar>
              <w:top w:type="dxa" w:w="70"/>
              <w:left w:type="dxa" w:w="120"/>
              <w:bottom w:type="dxa" w:w="70"/>
              <w:right w:type="dxa" w:w="120"/>
            </w:tcMar>
            <w:vAlign w:val="center"/>
          </w:tcPr>
          <w:p>
            <w:pPr>
              <w:jc w:val="center"/>
            </w:pPr>
            <w:r>
              <w:rPr>
                <w:sz w:val="20"/>
                <w:szCs w:val="20"/>
              </w:rPr>
              <w:t xml:space="preserve">$110,577.11</w:t>
            </w:r>
          </w:p>
        </w:tc>
        <w:tc>
          <w:tcPr>
            <w:tcW w:type="dxa" w:w="3300"/>
            <w:shd w:fill="FFFFFF" w:color="auto" w:val="clear"/>
            <w:tcMar>
              <w:top w:type="dxa" w:w="70"/>
              <w:left w:type="dxa" w:w="120"/>
              <w:bottom w:type="dxa" w:w="70"/>
              <w:right w:type="dxa" w:w="120"/>
            </w:tcMar>
            <w:vAlign w:val="center"/>
          </w:tcPr>
          <w:p>
            <w:pPr>
              <w:jc w:val="center"/>
            </w:pPr>
            <w:r>
              <w:rPr>
                <w:sz w:val="20"/>
                <w:szCs w:val="20"/>
              </w:rPr>
              <w:t xml:space="preserve">25.4%</w:t>
            </w:r>
          </w:p>
        </w:tc>
      </w:tr>
      <w:tr>
        <w:tc>
          <w:tcPr>
            <w:tcW w:type="dxa" w:w="3200"/>
            <w:shd w:fill="EAF3E6" w:color="auto" w:val="clear"/>
            <w:tcMar>
              <w:top w:type="dxa" w:w="70"/>
              <w:left w:type="dxa" w:w="120"/>
              <w:bottom w:type="dxa" w:w="70"/>
              <w:right w:type="dxa" w:w="120"/>
            </w:tcMar>
            <w:vAlign w:val="center"/>
          </w:tcPr>
          <w:p>
            <w:pPr>
              <w:jc w:val="left"/>
            </w:pPr>
            <w:r>
              <w:rPr>
                <w:sz w:val="20"/>
                <w:szCs w:val="20"/>
              </w:rPr>
              <w:t xml:space="preserve">Sauces</w:t>
            </w:r>
          </w:p>
        </w:tc>
        <w:tc>
          <w:tcPr>
            <w:tcW w:type="dxa" w:w="3000"/>
            <w:shd w:fill="EAF3E6" w:color="auto" w:val="clear"/>
            <w:tcMar>
              <w:top w:type="dxa" w:w="70"/>
              <w:left w:type="dxa" w:w="120"/>
              <w:bottom w:type="dxa" w:w="70"/>
              <w:right w:type="dxa" w:w="120"/>
            </w:tcMar>
            <w:vAlign w:val="center"/>
          </w:tcPr>
          <w:p>
            <w:pPr>
              <w:jc w:val="center"/>
            </w:pPr>
            <w:r>
              <w:rPr>
                <w:sz w:val="20"/>
                <w:szCs w:val="20"/>
              </w:rPr>
              <w:t xml:space="preserve">$69,000.00</w:t>
            </w:r>
          </w:p>
        </w:tc>
        <w:tc>
          <w:tcPr>
            <w:tcW w:type="dxa" w:w="3300"/>
            <w:shd w:fill="EAF3E6" w:color="auto" w:val="clear"/>
            <w:tcMar>
              <w:top w:type="dxa" w:w="70"/>
              <w:left w:type="dxa" w:w="120"/>
              <w:bottom w:type="dxa" w:w="70"/>
              <w:right w:type="dxa" w:w="120"/>
            </w:tcMar>
            <w:vAlign w:val="center"/>
          </w:tcPr>
          <w:p>
            <w:pPr>
              <w:jc w:val="center"/>
            </w:pPr>
            <w:r>
              <w:rPr>
                <w:sz w:val="20"/>
                <w:szCs w:val="20"/>
              </w:rPr>
              <w:t xml:space="preserve">15.9%</w:t>
            </w:r>
          </w:p>
        </w:tc>
      </w:tr>
      <w:tr>
        <w:tc>
          <w:tcPr>
            <w:tcW w:type="dxa" w:w="3200"/>
            <w:shd w:fill="FFFFFF" w:color="auto" w:val="clear"/>
            <w:tcMar>
              <w:top w:type="dxa" w:w="70"/>
              <w:left w:type="dxa" w:w="120"/>
              <w:bottom w:type="dxa" w:w="70"/>
              <w:right w:type="dxa" w:w="120"/>
            </w:tcMar>
            <w:vAlign w:val="center"/>
          </w:tcPr>
          <w:p>
            <w:pPr>
              <w:jc w:val="left"/>
            </w:pPr>
            <w:r>
              <w:rPr>
                <w:sz w:val="20"/>
                <w:szCs w:val="20"/>
              </w:rPr>
              <w:t xml:space="preserve">Jams, Preserves</w:t>
            </w:r>
          </w:p>
        </w:tc>
        <w:tc>
          <w:tcPr>
            <w:tcW w:type="dxa" w:w="3000"/>
            <w:shd w:fill="FFFFFF" w:color="auto" w:val="clear"/>
            <w:tcMar>
              <w:top w:type="dxa" w:w="70"/>
              <w:left w:type="dxa" w:w="120"/>
              <w:bottom w:type="dxa" w:w="70"/>
              <w:right w:type="dxa" w:w="120"/>
            </w:tcMar>
            <w:vAlign w:val="center"/>
          </w:tcPr>
          <w:p>
            <w:pPr>
              <w:jc w:val="center"/>
            </w:pPr>
            <w:r>
              <w:rPr>
                <w:sz w:val="20"/>
                <w:szCs w:val="20"/>
              </w:rPr>
              <w:t xml:space="preserve">$51,541.00</w:t>
            </w:r>
          </w:p>
        </w:tc>
        <w:tc>
          <w:tcPr>
            <w:tcW w:type="dxa" w:w="3300"/>
            <w:shd w:fill="FFFFFF" w:color="auto" w:val="clear"/>
            <w:tcMar>
              <w:top w:type="dxa" w:w="70"/>
              <w:left w:type="dxa" w:w="120"/>
              <w:bottom w:type="dxa" w:w="70"/>
              <w:right w:type="dxa" w:w="120"/>
            </w:tcMar>
            <w:vAlign w:val="center"/>
          </w:tcPr>
          <w:p>
            <w:pPr>
              <w:jc w:val="center"/>
            </w:pPr>
            <w:r>
              <w:rPr>
                <w:sz w:val="20"/>
                <w:szCs w:val="20"/>
              </w:rPr>
              <w:t xml:space="preserve">11.8%</w:t>
            </w:r>
          </w:p>
        </w:tc>
      </w:tr>
      <w:tr>
        <w:tc>
          <w:tcPr>
            <w:tcW w:type="dxa" w:w="3200"/>
            <w:shd w:fill="EAF3E6" w:color="auto" w:val="clear"/>
            <w:tcMar>
              <w:top w:type="dxa" w:w="70"/>
              <w:left w:type="dxa" w:w="120"/>
              <w:bottom w:type="dxa" w:w="70"/>
              <w:right w:type="dxa" w:w="120"/>
            </w:tcMar>
            <w:vAlign w:val="center"/>
          </w:tcPr>
          <w:p>
            <w:pPr>
              <w:jc w:val="left"/>
            </w:pPr>
            <w:r>
              <w:rPr>
                <w:sz w:val="20"/>
                <w:szCs w:val="20"/>
              </w:rPr>
              <w:t xml:space="preserve">Dairy Products</w:t>
            </w:r>
          </w:p>
        </w:tc>
        <w:tc>
          <w:tcPr>
            <w:tcW w:type="dxa" w:w="3000"/>
            <w:shd w:fill="EAF3E6" w:color="auto" w:val="clear"/>
            <w:tcMar>
              <w:top w:type="dxa" w:w="70"/>
              <w:left w:type="dxa" w:w="120"/>
              <w:bottom w:type="dxa" w:w="70"/>
              <w:right w:type="dxa" w:w="120"/>
            </w:tcMar>
            <w:vAlign w:val="center"/>
          </w:tcPr>
          <w:p>
            <w:pPr>
              <w:jc w:val="center"/>
            </w:pPr>
            <w:r>
              <w:rPr>
                <w:sz w:val="20"/>
                <w:szCs w:val="20"/>
              </w:rPr>
              <w:t xml:space="preserve">$33,129.60</w:t>
            </w:r>
          </w:p>
        </w:tc>
        <w:tc>
          <w:tcPr>
            <w:tcW w:type="dxa" w:w="3300"/>
            <w:shd w:fill="EAF3E6" w:color="auto" w:val="clear"/>
            <w:tcMar>
              <w:top w:type="dxa" w:w="70"/>
              <w:left w:type="dxa" w:w="120"/>
              <w:bottom w:type="dxa" w:w="70"/>
              <w:right w:type="dxa" w:w="120"/>
            </w:tcMar>
            <w:vAlign w:val="center"/>
          </w:tcPr>
          <w:p>
            <w:pPr>
              <w:jc w:val="center"/>
            </w:pPr>
            <w:r>
              <w:rPr>
                <w:sz w:val="20"/>
                <w:szCs w:val="20"/>
              </w:rPr>
              <w:t xml:space="preserve">7.6%</w:t>
            </w:r>
          </w:p>
        </w:tc>
      </w:tr>
      <w:tr>
        <w:tc>
          <w:tcPr>
            <w:tcW w:type="dxa" w:w="3200"/>
            <w:shd w:fill="FFFFFF" w:color="auto" w:val="clear"/>
            <w:tcMar>
              <w:top w:type="dxa" w:w="70"/>
              <w:left w:type="dxa" w:w="120"/>
              <w:bottom w:type="dxa" w:w="70"/>
              <w:right w:type="dxa" w:w="120"/>
            </w:tcMar>
            <w:vAlign w:val="center"/>
          </w:tcPr>
          <w:p>
            <w:pPr>
              <w:jc w:val="left"/>
            </w:pPr>
            <w:r>
              <w:rPr>
                <w:sz w:val="20"/>
                <w:szCs w:val="20"/>
              </w:rPr>
              <w:t xml:space="preserve">Dried Fruit &amp; Nuts</w:t>
            </w:r>
          </w:p>
        </w:tc>
        <w:tc>
          <w:tcPr>
            <w:tcW w:type="dxa" w:w="3000"/>
            <w:shd w:fill="FFFFFF" w:color="auto" w:val="clear"/>
            <w:tcMar>
              <w:top w:type="dxa" w:w="70"/>
              <w:left w:type="dxa" w:w="120"/>
              <w:bottom w:type="dxa" w:w="70"/>
              <w:right w:type="dxa" w:w="120"/>
            </w:tcMar>
            <w:vAlign w:val="center"/>
          </w:tcPr>
          <w:p>
            <w:pPr>
              <w:jc w:val="center"/>
            </w:pPr>
            <w:r>
              <w:rPr>
                <w:sz w:val="20"/>
                <w:szCs w:val="20"/>
              </w:rPr>
              <w:t xml:space="preserve">$27,999.50</w:t>
            </w:r>
          </w:p>
        </w:tc>
        <w:tc>
          <w:tcPr>
            <w:tcW w:type="dxa" w:w="3300"/>
            <w:shd w:fill="FFFFFF" w:color="auto" w:val="clear"/>
            <w:tcMar>
              <w:top w:type="dxa" w:w="70"/>
              <w:left w:type="dxa" w:w="120"/>
              <w:bottom w:type="dxa" w:w="70"/>
              <w:right w:type="dxa" w:w="120"/>
            </w:tcMar>
            <w:vAlign w:val="center"/>
          </w:tcPr>
          <w:p>
            <w:pPr>
              <w:jc w:val="center"/>
            </w:pPr>
            <w:r>
              <w:rPr>
                <w:sz w:val="20"/>
                <w:szCs w:val="20"/>
              </w:rPr>
              <w:t xml:space="preserve">6.4%</w:t>
            </w:r>
          </w:p>
        </w:tc>
      </w:tr>
      <w:tr>
        <w:tc>
          <w:tcPr>
            <w:tcW w:type="dxa" w:w="3200"/>
            <w:shd w:fill="EAF3E6" w:color="auto" w:val="clear"/>
            <w:tcMar>
              <w:top w:type="dxa" w:w="70"/>
              <w:left w:type="dxa" w:w="120"/>
              <w:bottom w:type="dxa" w:w="70"/>
              <w:right w:type="dxa" w:w="120"/>
            </w:tcMar>
            <w:vAlign w:val="center"/>
          </w:tcPr>
          <w:p>
            <w:pPr>
              <w:jc w:val="left"/>
            </w:pPr>
            <w:r>
              <w:rPr>
                <w:sz w:val="20"/>
                <w:szCs w:val="20"/>
              </w:rPr>
              <w:t xml:space="preserve">Canned Meat</w:t>
            </w:r>
          </w:p>
        </w:tc>
        <w:tc>
          <w:tcPr>
            <w:tcW w:type="dxa" w:w="3000"/>
            <w:shd w:fill="EAF3E6" w:color="auto" w:val="clear"/>
            <w:tcMar>
              <w:top w:type="dxa" w:w="70"/>
              <w:left w:type="dxa" w:w="120"/>
              <w:bottom w:type="dxa" w:w="70"/>
              <w:right w:type="dxa" w:w="120"/>
            </w:tcMar>
            <w:vAlign w:val="center"/>
          </w:tcPr>
          <w:p>
            <w:pPr>
              <w:jc w:val="center"/>
            </w:pPr>
            <w:r>
              <w:rPr>
                <w:sz w:val="20"/>
                <w:szCs w:val="20"/>
              </w:rPr>
              <w:t xml:space="preserve">$25,465.60</w:t>
            </w:r>
          </w:p>
        </w:tc>
        <w:tc>
          <w:tcPr>
            <w:tcW w:type="dxa" w:w="3300"/>
            <w:shd w:fill="EAF3E6" w:color="auto" w:val="clear"/>
            <w:tcMar>
              <w:top w:type="dxa" w:w="70"/>
              <w:left w:type="dxa" w:w="120"/>
              <w:bottom w:type="dxa" w:w="70"/>
              <w:right w:type="dxa" w:w="120"/>
            </w:tcMar>
            <w:vAlign w:val="center"/>
          </w:tcPr>
          <w:p>
            <w:pPr>
              <w:jc w:val="center"/>
            </w:pPr>
            <w:r>
              <w:rPr>
                <w:sz w:val="20"/>
                <w:szCs w:val="20"/>
              </w:rPr>
              <w:t xml:space="preserve">5.9%</w:t>
            </w:r>
          </w:p>
        </w:tc>
      </w:tr>
      <w:tr>
        <w:tc>
          <w:tcPr>
            <w:tcW w:type="dxa" w:w="3200"/>
            <w:shd w:fill="FFFFFF" w:color="auto" w:val="clear"/>
            <w:tcMar>
              <w:top w:type="dxa" w:w="70"/>
              <w:left w:type="dxa" w:w="120"/>
              <w:bottom w:type="dxa" w:w="70"/>
              <w:right w:type="dxa" w:w="120"/>
            </w:tcMar>
            <w:vAlign w:val="center"/>
          </w:tcPr>
          <w:p>
            <w:pPr>
              <w:jc w:val="left"/>
            </w:pPr>
            <w:r>
              <w:rPr>
                <w:sz w:val="20"/>
                <w:szCs w:val="20"/>
              </w:rPr>
              <w:t xml:space="preserve">Condiments</w:t>
            </w:r>
          </w:p>
        </w:tc>
        <w:tc>
          <w:tcPr>
            <w:tcW w:type="dxa" w:w="3000"/>
            <w:shd w:fill="FFFFFF" w:color="auto" w:val="clear"/>
            <w:tcMar>
              <w:top w:type="dxa" w:w="70"/>
              <w:left w:type="dxa" w:w="120"/>
              <w:bottom w:type="dxa" w:w="70"/>
              <w:right w:type="dxa" w:w="120"/>
            </w:tcMar>
            <w:vAlign w:val="center"/>
          </w:tcPr>
          <w:p>
            <w:pPr>
              <w:jc w:val="center"/>
            </w:pPr>
            <w:r>
              <w:rPr>
                <w:sz w:val="20"/>
                <w:szCs w:val="20"/>
              </w:rPr>
              <w:t xml:space="preserve">$20,278.00</w:t>
            </w:r>
          </w:p>
        </w:tc>
        <w:tc>
          <w:tcPr>
            <w:tcW w:type="dxa" w:w="3300"/>
            <w:shd w:fill="FFFFFF" w:color="auto" w:val="clear"/>
            <w:tcMar>
              <w:top w:type="dxa" w:w="70"/>
              <w:left w:type="dxa" w:w="120"/>
              <w:bottom w:type="dxa" w:w="70"/>
              <w:right w:type="dxa" w:w="120"/>
            </w:tcMar>
            <w:vAlign w:val="center"/>
          </w:tcPr>
          <w:p>
            <w:pPr>
              <w:jc w:val="center"/>
            </w:pPr>
            <w:r>
              <w:rPr>
                <w:sz w:val="20"/>
                <w:szCs w:val="20"/>
              </w:rPr>
              <w:t xml:space="preserve">4.7%</w:t>
            </w:r>
          </w:p>
        </w:tc>
      </w:tr>
      <w:tr>
        <w:tc>
          <w:tcPr>
            <w:tcW w:type="dxa" w:w="3200"/>
            <w:shd w:fill="EAF3E6" w:color="auto" w:val="clear"/>
            <w:tcMar>
              <w:top w:type="dxa" w:w="70"/>
              <w:left w:type="dxa" w:w="120"/>
              <w:bottom w:type="dxa" w:w="70"/>
              <w:right w:type="dxa" w:w="120"/>
            </w:tcMar>
            <w:vAlign w:val="center"/>
          </w:tcPr>
          <w:p>
            <w:pPr>
              <w:jc w:val="left"/>
            </w:pPr>
            <w:r>
              <w:rPr>
                <w:sz w:val="20"/>
                <w:szCs w:val="20"/>
              </w:rPr>
              <w:t xml:space="preserve">Pasta</w:t>
            </w:r>
          </w:p>
        </w:tc>
        <w:tc>
          <w:tcPr>
            <w:tcW w:type="dxa" w:w="3000"/>
            <w:shd w:fill="EAF3E6" w:color="auto" w:val="clear"/>
            <w:tcMar>
              <w:top w:type="dxa" w:w="70"/>
              <w:left w:type="dxa" w:w="120"/>
              <w:bottom w:type="dxa" w:w="70"/>
              <w:right w:type="dxa" w:w="120"/>
            </w:tcMar>
            <w:vAlign w:val="center"/>
          </w:tcPr>
          <w:p>
            <w:pPr>
              <w:jc w:val="center"/>
            </w:pPr>
            <w:r>
              <w:rPr>
                <w:sz w:val="20"/>
                <w:szCs w:val="20"/>
              </w:rPr>
              <w:t xml:space="preserve">$20,176.50</w:t>
            </w:r>
          </w:p>
        </w:tc>
        <w:tc>
          <w:tcPr>
            <w:tcW w:type="dxa" w:w="3300"/>
            <w:shd w:fill="EAF3E6" w:color="auto" w:val="clear"/>
            <w:tcMar>
              <w:top w:type="dxa" w:w="70"/>
              <w:left w:type="dxa" w:w="120"/>
              <w:bottom w:type="dxa" w:w="70"/>
              <w:right w:type="dxa" w:w="120"/>
            </w:tcMar>
            <w:vAlign w:val="center"/>
          </w:tcPr>
          <w:p>
            <w:pPr>
              <w:jc w:val="center"/>
            </w:pPr>
            <w:r>
              <w:rPr>
                <w:sz w:val="20"/>
                <w:szCs w:val="20"/>
              </w:rPr>
              <w:t xml:space="preserve">4.6%</w:t>
            </w:r>
          </w:p>
        </w:tc>
      </w:tr>
    </w:tbl>
    <w:p>
      <w:pPr>
        <w:spacing w:after="300" w:before="100"/>
        <w:jc w:val="center"/>
      </w:pPr>
      <w:r>
        <w:rPr>
          <w:i/>
          <w:iCs/>
          <w:color w:val="595959"/>
          <w:sz w:val="20"/>
          <w:szCs w:val="20"/>
        </w:rPr>
        <w:t xml:space="preserve">Table 4: Top 8 product categories by revenue</w:t>
      </w:r>
    </w:p>
    <w:p>
      <w:pPr>
        <w:spacing w:after="160" w:line="276"/>
        <w:jc w:val="both"/>
      </w:pPr>
      <w:r>
        <w:rPr>
          <w:color w:val="1A1A1A"/>
          <w:sz w:val="22"/>
          <w:szCs w:val="22"/>
        </w:rPr>
        <w:t xml:space="preserve">Appendix C: Monthly Revenue Trend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B3A1E" w:color="auto" w:val="clear"/>
            <w:tcMar>
              <w:top w:type="dxa" w:w="80"/>
              <w:left w:type="dxa" w:w="120"/>
              <w:bottom w:type="dxa" w:w="80"/>
              <w:right w:type="dxa" w:w="120"/>
            </w:tcMar>
            <w:vAlign w:val="center"/>
          </w:tcPr>
          <w:p>
            <w:pPr>
              <w:jc w:val="left"/>
            </w:pPr>
            <w:r>
              <w:rPr>
                <w:b/>
                <w:bCs/>
                <w:color w:val="FFFFFF"/>
                <w:sz w:val="20"/>
                <w:szCs w:val="20"/>
              </w:rPr>
              <w:t xml:space="preserve">Month</w:t>
            </w:r>
          </w:p>
        </w:tc>
        <w:tc>
          <w:tcPr>
            <w:tcW w:type="dxa" w:w="4750"/>
            <w:shd w:fill="1B3A1E" w:color="auto" w:val="clear"/>
            <w:tcMar>
              <w:top w:type="dxa" w:w="80"/>
              <w:left w:type="dxa" w:w="120"/>
              <w:bottom w:type="dxa" w:w="80"/>
              <w:right w:type="dxa" w:w="120"/>
            </w:tcMar>
            <w:vAlign w:val="center"/>
          </w:tcPr>
          <w:p>
            <w:pPr>
              <w:jc w:val="center"/>
            </w:pPr>
            <w:r>
              <w:rPr>
                <w:b/>
                <w:bCs/>
                <w:color w:val="FFFFFF"/>
                <w:sz w:val="20"/>
                <w:szCs w:val="20"/>
              </w:rPr>
              <w:t xml:space="preserve">Revenue</w:t>
            </w:r>
          </w:p>
        </w:tc>
      </w:tr>
      <w:tr>
        <w:tc>
          <w:tcPr>
            <w:tcW w:type="dxa" w:w="4750"/>
            <w:shd w:fill="FFFFFF" w:color="auto" w:val="clear"/>
            <w:tcMar>
              <w:top w:type="dxa" w:w="70"/>
              <w:left w:type="dxa" w:w="120"/>
              <w:bottom w:type="dxa" w:w="70"/>
              <w:right w:type="dxa" w:w="120"/>
            </w:tcMar>
            <w:vAlign w:val="center"/>
          </w:tcPr>
          <w:p>
            <w:pPr>
              <w:jc w:val="left"/>
            </w:pPr>
            <w:r>
              <w:rPr>
                <w:sz w:val="20"/>
                <w:szCs w:val="20"/>
              </w:rPr>
              <w:t xml:space="preserve">Jan</w:t>
            </w:r>
          </w:p>
        </w:tc>
        <w:tc>
          <w:tcPr>
            <w:tcW w:type="dxa" w:w="4750"/>
            <w:shd w:fill="FFFFFF" w:color="auto" w:val="clear"/>
            <w:tcMar>
              <w:top w:type="dxa" w:w="70"/>
              <w:left w:type="dxa" w:w="120"/>
              <w:bottom w:type="dxa" w:w="70"/>
              <w:right w:type="dxa" w:w="120"/>
            </w:tcMar>
            <w:vAlign w:val="center"/>
          </w:tcPr>
          <w:p>
            <w:pPr>
              <w:jc w:val="center"/>
            </w:pPr>
            <w:r>
              <w:rPr>
                <w:sz w:val="20"/>
                <w:szCs w:val="20"/>
              </w:rPr>
              <w:t xml:space="preserve">$32,907.84</w:t>
            </w:r>
          </w:p>
        </w:tc>
      </w:tr>
      <w:tr>
        <w:tc>
          <w:tcPr>
            <w:tcW w:type="dxa" w:w="4750"/>
            <w:shd w:fill="EAF3E6" w:color="auto" w:val="clear"/>
            <w:tcMar>
              <w:top w:type="dxa" w:w="70"/>
              <w:left w:type="dxa" w:w="120"/>
              <w:bottom w:type="dxa" w:w="70"/>
              <w:right w:type="dxa" w:w="120"/>
            </w:tcMar>
            <w:vAlign w:val="center"/>
          </w:tcPr>
          <w:p>
            <w:pPr>
              <w:jc w:val="left"/>
            </w:pPr>
            <w:r>
              <w:rPr>
                <w:sz w:val="20"/>
                <w:szCs w:val="20"/>
              </w:rPr>
              <w:t xml:space="preserve">Feb</w:t>
            </w:r>
          </w:p>
        </w:tc>
        <w:tc>
          <w:tcPr>
            <w:tcW w:type="dxa" w:w="4750"/>
            <w:shd w:fill="EAF3E6" w:color="auto" w:val="clear"/>
            <w:tcMar>
              <w:top w:type="dxa" w:w="70"/>
              <w:left w:type="dxa" w:w="120"/>
              <w:bottom w:type="dxa" w:w="70"/>
              <w:right w:type="dxa" w:w="120"/>
            </w:tcMar>
            <w:vAlign w:val="center"/>
          </w:tcPr>
          <w:p>
            <w:pPr>
              <w:jc w:val="center"/>
            </w:pPr>
            <w:r>
              <w:rPr>
                <w:sz w:val="20"/>
                <w:szCs w:val="20"/>
              </w:rPr>
              <w:t xml:space="preserve">$19,985.50</w:t>
            </w:r>
          </w:p>
        </w:tc>
      </w:tr>
      <w:tr>
        <w:tc>
          <w:tcPr>
            <w:tcW w:type="dxa" w:w="4750"/>
            <w:shd w:fill="FFFFFF" w:color="auto" w:val="clear"/>
            <w:tcMar>
              <w:top w:type="dxa" w:w="70"/>
              <w:left w:type="dxa" w:w="120"/>
              <w:bottom w:type="dxa" w:w="70"/>
              <w:right w:type="dxa" w:w="120"/>
            </w:tcMar>
            <w:vAlign w:val="center"/>
          </w:tcPr>
          <w:p>
            <w:pPr>
              <w:jc w:val="left"/>
            </w:pPr>
            <w:r>
              <w:rPr>
                <w:sz w:val="20"/>
                <w:szCs w:val="20"/>
              </w:rPr>
              <w:t xml:space="preserve">Mar</w:t>
            </w:r>
          </w:p>
        </w:tc>
        <w:tc>
          <w:tcPr>
            <w:tcW w:type="dxa" w:w="4750"/>
            <w:shd w:fill="FFFFFF" w:color="auto" w:val="clear"/>
            <w:tcMar>
              <w:top w:type="dxa" w:w="70"/>
              <w:left w:type="dxa" w:w="120"/>
              <w:bottom w:type="dxa" w:w="70"/>
              <w:right w:type="dxa" w:w="120"/>
            </w:tcMar>
            <w:vAlign w:val="center"/>
          </w:tcPr>
          <w:p>
            <w:pPr>
              <w:jc w:val="center"/>
            </w:pPr>
            <w:r>
              <w:rPr>
                <w:sz w:val="20"/>
                <w:szCs w:val="20"/>
              </w:rPr>
              <w:t xml:space="preserve">$30,852.60</w:t>
            </w:r>
          </w:p>
        </w:tc>
      </w:tr>
      <w:tr>
        <w:tc>
          <w:tcPr>
            <w:tcW w:type="dxa" w:w="4750"/>
            <w:shd w:fill="EAF3E6" w:color="auto" w:val="clear"/>
            <w:tcMar>
              <w:top w:type="dxa" w:w="70"/>
              <w:left w:type="dxa" w:w="120"/>
              <w:bottom w:type="dxa" w:w="70"/>
              <w:right w:type="dxa" w:w="120"/>
            </w:tcMar>
            <w:vAlign w:val="center"/>
          </w:tcPr>
          <w:p>
            <w:pPr>
              <w:jc w:val="left"/>
            </w:pPr>
            <w:r>
              <w:rPr>
                <w:sz w:val="20"/>
                <w:szCs w:val="20"/>
              </w:rPr>
              <w:t xml:space="preserve">Apr</w:t>
            </w:r>
          </w:p>
        </w:tc>
        <w:tc>
          <w:tcPr>
            <w:tcW w:type="dxa" w:w="4750"/>
            <w:shd w:fill="EAF3E6" w:color="auto" w:val="clear"/>
            <w:tcMar>
              <w:top w:type="dxa" w:w="70"/>
              <w:left w:type="dxa" w:w="120"/>
              <w:bottom w:type="dxa" w:w="70"/>
              <w:right w:type="dxa" w:w="120"/>
            </w:tcMar>
            <w:vAlign w:val="center"/>
          </w:tcPr>
          <w:p>
            <w:pPr>
              <w:jc w:val="center"/>
            </w:pPr>
            <w:r>
              <w:rPr>
                <w:sz w:val="20"/>
                <w:szCs w:val="20"/>
              </w:rPr>
              <w:t xml:space="preserve">$20,771.79</w:t>
            </w:r>
          </w:p>
        </w:tc>
      </w:tr>
      <w:tr>
        <w:tc>
          <w:tcPr>
            <w:tcW w:type="dxa" w:w="4750"/>
            <w:shd w:fill="FFFFFF" w:color="auto" w:val="clear"/>
            <w:tcMar>
              <w:top w:type="dxa" w:w="70"/>
              <w:left w:type="dxa" w:w="120"/>
              <w:bottom w:type="dxa" w:w="70"/>
              <w:right w:type="dxa" w:w="120"/>
            </w:tcMar>
            <w:vAlign w:val="center"/>
          </w:tcPr>
          <w:p>
            <w:pPr>
              <w:jc w:val="left"/>
            </w:pPr>
            <w:r>
              <w:rPr>
                <w:sz w:val="20"/>
                <w:szCs w:val="20"/>
              </w:rPr>
              <w:t xml:space="preserve">May</w:t>
            </w:r>
          </w:p>
        </w:tc>
        <w:tc>
          <w:tcPr>
            <w:tcW w:type="dxa" w:w="4750"/>
            <w:shd w:fill="FFFFFF" w:color="auto" w:val="clear"/>
            <w:tcMar>
              <w:top w:type="dxa" w:w="70"/>
              <w:left w:type="dxa" w:w="120"/>
              <w:bottom w:type="dxa" w:w="70"/>
              <w:right w:type="dxa" w:w="120"/>
            </w:tcMar>
            <w:vAlign w:val="center"/>
          </w:tcPr>
          <w:p>
            <w:pPr>
              <w:jc w:val="center"/>
            </w:pPr>
            <w:r>
              <w:rPr>
                <w:sz w:val="20"/>
                <w:szCs w:val="20"/>
              </w:rPr>
              <w:t xml:space="preserve">$34,307.05</w:t>
            </w:r>
          </w:p>
        </w:tc>
      </w:tr>
      <w:tr>
        <w:tc>
          <w:tcPr>
            <w:tcW w:type="dxa" w:w="4750"/>
            <w:shd w:fill="EAF3E6" w:color="auto" w:val="clear"/>
            <w:tcMar>
              <w:top w:type="dxa" w:w="70"/>
              <w:left w:type="dxa" w:w="120"/>
              <w:bottom w:type="dxa" w:w="70"/>
              <w:right w:type="dxa" w:w="120"/>
            </w:tcMar>
            <w:vAlign w:val="center"/>
          </w:tcPr>
          <w:p>
            <w:pPr>
              <w:jc w:val="left"/>
            </w:pPr>
            <w:r>
              <w:rPr>
                <w:sz w:val="20"/>
                <w:szCs w:val="20"/>
              </w:rPr>
              <w:t xml:space="preserve">Jun</w:t>
            </w:r>
          </w:p>
        </w:tc>
        <w:tc>
          <w:tcPr>
            <w:tcW w:type="dxa" w:w="4750"/>
            <w:shd w:fill="EAF3E6" w:color="auto" w:val="clear"/>
            <w:tcMar>
              <w:top w:type="dxa" w:w="70"/>
              <w:left w:type="dxa" w:w="120"/>
              <w:bottom w:type="dxa" w:w="70"/>
              <w:right w:type="dxa" w:w="120"/>
            </w:tcMar>
            <w:vAlign w:val="center"/>
          </w:tcPr>
          <w:p>
            <w:pPr>
              <w:jc w:val="center"/>
            </w:pPr>
            <w:r>
              <w:rPr>
                <w:sz w:val="20"/>
                <w:szCs w:val="20"/>
              </w:rPr>
              <w:t xml:space="preserve">$55,601.61</w:t>
            </w:r>
          </w:p>
        </w:tc>
      </w:tr>
      <w:tr>
        <w:tc>
          <w:tcPr>
            <w:tcW w:type="dxa" w:w="4750"/>
            <w:shd w:fill="FFFFFF" w:color="auto" w:val="clear"/>
            <w:tcMar>
              <w:top w:type="dxa" w:w="70"/>
              <w:left w:type="dxa" w:w="120"/>
              <w:bottom w:type="dxa" w:w="70"/>
              <w:right w:type="dxa" w:w="120"/>
            </w:tcMar>
            <w:vAlign w:val="center"/>
          </w:tcPr>
          <w:p>
            <w:pPr>
              <w:jc w:val="left"/>
            </w:pPr>
            <w:r>
              <w:rPr>
                <w:sz w:val="20"/>
                <w:szCs w:val="20"/>
              </w:rPr>
              <w:t xml:space="preserve">Jul</w:t>
            </w:r>
          </w:p>
        </w:tc>
        <w:tc>
          <w:tcPr>
            <w:tcW w:type="dxa" w:w="4750"/>
            <w:shd w:fill="FFFFFF" w:color="auto" w:val="clear"/>
            <w:tcMar>
              <w:top w:type="dxa" w:w="70"/>
              <w:left w:type="dxa" w:w="120"/>
              <w:bottom w:type="dxa" w:w="70"/>
              <w:right w:type="dxa" w:w="120"/>
            </w:tcMar>
            <w:vAlign w:val="center"/>
          </w:tcPr>
          <w:p>
            <w:pPr>
              <w:jc w:val="center"/>
            </w:pPr>
            <w:r>
              <w:rPr>
                <w:sz w:val="20"/>
                <w:szCs w:val="20"/>
              </w:rPr>
              <w:t xml:space="preserve">$27,318.54</w:t>
            </w:r>
          </w:p>
        </w:tc>
      </w:tr>
      <w:tr>
        <w:tc>
          <w:tcPr>
            <w:tcW w:type="dxa" w:w="4750"/>
            <w:shd w:fill="EAF3E6" w:color="auto" w:val="clear"/>
            <w:tcMar>
              <w:top w:type="dxa" w:w="70"/>
              <w:left w:type="dxa" w:w="120"/>
              <w:bottom w:type="dxa" w:w="70"/>
              <w:right w:type="dxa" w:w="120"/>
            </w:tcMar>
            <w:vAlign w:val="center"/>
          </w:tcPr>
          <w:p>
            <w:pPr>
              <w:jc w:val="left"/>
            </w:pPr>
            <w:r>
              <w:rPr>
                <w:sz w:val="20"/>
                <w:szCs w:val="20"/>
              </w:rPr>
              <w:t xml:space="preserve">Aug</w:t>
            </w:r>
          </w:p>
        </w:tc>
        <w:tc>
          <w:tcPr>
            <w:tcW w:type="dxa" w:w="4750"/>
            <w:shd w:fill="EAF3E6" w:color="auto" w:val="clear"/>
            <w:tcMar>
              <w:top w:type="dxa" w:w="70"/>
              <w:left w:type="dxa" w:w="120"/>
              <w:bottom w:type="dxa" w:w="70"/>
              <w:right w:type="dxa" w:w="120"/>
            </w:tcMar>
            <w:vAlign w:val="center"/>
          </w:tcPr>
          <w:p>
            <w:pPr>
              <w:jc w:val="center"/>
            </w:pPr>
            <w:r>
              <w:rPr>
                <w:sz w:val="20"/>
                <w:szCs w:val="20"/>
              </w:rPr>
              <w:t xml:space="preserve">$29,921.46</w:t>
            </w:r>
          </w:p>
        </w:tc>
      </w:tr>
      <w:tr>
        <w:tc>
          <w:tcPr>
            <w:tcW w:type="dxa" w:w="4750"/>
            <w:shd w:fill="FFFFFF" w:color="auto" w:val="clear"/>
            <w:tcMar>
              <w:top w:type="dxa" w:w="70"/>
              <w:left w:type="dxa" w:w="120"/>
              <w:bottom w:type="dxa" w:w="70"/>
              <w:right w:type="dxa" w:w="120"/>
            </w:tcMar>
            <w:vAlign w:val="center"/>
          </w:tcPr>
          <w:p>
            <w:pPr>
              <w:jc w:val="left"/>
            </w:pPr>
            <w:r>
              <w:rPr>
                <w:sz w:val="20"/>
                <w:szCs w:val="20"/>
              </w:rPr>
              <w:t xml:space="preserve">Sep</w:t>
            </w:r>
          </w:p>
        </w:tc>
        <w:tc>
          <w:tcPr>
            <w:tcW w:type="dxa" w:w="4750"/>
            <w:shd w:fill="FFFFFF" w:color="auto" w:val="clear"/>
            <w:tcMar>
              <w:top w:type="dxa" w:w="70"/>
              <w:left w:type="dxa" w:w="120"/>
              <w:bottom w:type="dxa" w:w="70"/>
              <w:right w:type="dxa" w:w="120"/>
            </w:tcMar>
            <w:vAlign w:val="center"/>
          </w:tcPr>
          <w:p>
            <w:pPr>
              <w:jc w:val="center"/>
            </w:pPr>
            <w:r>
              <w:rPr>
                <w:sz w:val="20"/>
                <w:szCs w:val="20"/>
              </w:rPr>
              <w:t xml:space="preserve">$31,949.97</w:t>
            </w:r>
          </w:p>
        </w:tc>
      </w:tr>
      <w:tr>
        <w:tc>
          <w:tcPr>
            <w:tcW w:type="dxa" w:w="4750"/>
            <w:shd w:fill="EAF3E6" w:color="auto" w:val="clear"/>
            <w:tcMar>
              <w:top w:type="dxa" w:w="70"/>
              <w:left w:type="dxa" w:w="120"/>
              <w:bottom w:type="dxa" w:w="70"/>
              <w:right w:type="dxa" w:w="120"/>
            </w:tcMar>
            <w:vAlign w:val="center"/>
          </w:tcPr>
          <w:p>
            <w:pPr>
              <w:jc w:val="left"/>
            </w:pPr>
            <w:r>
              <w:rPr>
                <w:sz w:val="20"/>
                <w:szCs w:val="20"/>
              </w:rPr>
              <w:t xml:space="preserve">Oct</w:t>
            </w:r>
          </w:p>
        </w:tc>
        <w:tc>
          <w:tcPr>
            <w:tcW w:type="dxa" w:w="4750"/>
            <w:shd w:fill="EAF3E6" w:color="auto" w:val="clear"/>
            <w:tcMar>
              <w:top w:type="dxa" w:w="70"/>
              <w:left w:type="dxa" w:w="120"/>
              <w:bottom w:type="dxa" w:w="70"/>
              <w:right w:type="dxa" w:w="120"/>
            </w:tcMar>
            <w:vAlign w:val="center"/>
          </w:tcPr>
          <w:p>
            <w:pPr>
              <w:jc w:val="center"/>
            </w:pPr>
            <w:r>
              <w:rPr>
                <w:sz w:val="20"/>
                <w:szCs w:val="20"/>
              </w:rPr>
              <w:t xml:space="preserve">$53,033.59</w:t>
            </w:r>
          </w:p>
        </w:tc>
      </w:tr>
      <w:tr>
        <w:tc>
          <w:tcPr>
            <w:tcW w:type="dxa" w:w="4750"/>
            <w:shd w:fill="FFFFFF" w:color="auto" w:val="clear"/>
            <w:tcMar>
              <w:top w:type="dxa" w:w="70"/>
              <w:left w:type="dxa" w:w="120"/>
              <w:bottom w:type="dxa" w:w="70"/>
              <w:right w:type="dxa" w:w="120"/>
            </w:tcMar>
            <w:vAlign w:val="center"/>
          </w:tcPr>
          <w:p>
            <w:pPr>
              <w:jc w:val="left"/>
            </w:pPr>
            <w:r>
              <w:rPr>
                <w:sz w:val="20"/>
                <w:szCs w:val="20"/>
              </w:rPr>
              <w:t xml:space="preserve">Nov</w:t>
            </w:r>
          </w:p>
        </w:tc>
        <w:tc>
          <w:tcPr>
            <w:tcW w:type="dxa" w:w="4750"/>
            <w:shd w:fill="FFFFFF" w:color="auto" w:val="clear"/>
            <w:tcMar>
              <w:top w:type="dxa" w:w="70"/>
              <w:left w:type="dxa" w:w="120"/>
              <w:bottom w:type="dxa" w:w="70"/>
              <w:right w:type="dxa" w:w="120"/>
            </w:tcMar>
            <w:vAlign w:val="center"/>
          </w:tcPr>
          <w:p>
            <w:pPr>
              <w:jc w:val="center"/>
            </w:pPr>
            <w:r>
              <w:rPr>
                <w:sz w:val="20"/>
                <w:szCs w:val="20"/>
              </w:rPr>
              <w:t xml:space="preserve">$31,773.43</w:t>
            </w:r>
          </w:p>
        </w:tc>
      </w:tr>
      <w:tr>
        <w:tc>
          <w:tcPr>
            <w:tcW w:type="dxa" w:w="4750"/>
            <w:shd w:fill="EAF3E6" w:color="auto" w:val="clear"/>
            <w:tcMar>
              <w:top w:type="dxa" w:w="70"/>
              <w:left w:type="dxa" w:w="120"/>
              <w:bottom w:type="dxa" w:w="70"/>
              <w:right w:type="dxa" w:w="120"/>
            </w:tcMar>
            <w:vAlign w:val="center"/>
          </w:tcPr>
          <w:p>
            <w:pPr>
              <w:jc w:val="left"/>
            </w:pPr>
            <w:r>
              <w:rPr>
                <w:sz w:val="20"/>
                <w:szCs w:val="20"/>
              </w:rPr>
              <w:t xml:space="preserve">Dec</w:t>
            </w:r>
          </w:p>
        </w:tc>
        <w:tc>
          <w:tcPr>
            <w:tcW w:type="dxa" w:w="4750"/>
            <w:shd w:fill="EAF3E6" w:color="auto" w:val="clear"/>
            <w:tcMar>
              <w:top w:type="dxa" w:w="70"/>
              <w:left w:type="dxa" w:w="120"/>
              <w:bottom w:type="dxa" w:w="70"/>
              <w:right w:type="dxa" w:w="120"/>
            </w:tcMar>
            <w:vAlign w:val="center"/>
          </w:tcPr>
          <w:p>
            <w:pPr>
              <w:jc w:val="center"/>
            </w:pPr>
            <w:r>
              <w:rPr>
                <w:sz w:val="20"/>
                <w:szCs w:val="20"/>
              </w:rPr>
              <w:t xml:space="preserve">$66,642.78</w:t>
            </w:r>
          </w:p>
        </w:tc>
      </w:tr>
    </w:tbl>
    <w:p>
      <w:pPr>
        <w:spacing w:after="300" w:before="100"/>
        <w:jc w:val="center"/>
      </w:pPr>
      <w:r>
        <w:rPr>
          <w:i/>
          <w:iCs/>
          <w:color w:val="595959"/>
          <w:sz w:val="20"/>
          <w:szCs w:val="20"/>
        </w:rPr>
        <w:t xml:space="preserve">Table 5: Total revenue by month, showing June and December peaks</w:t>
      </w:r>
    </w:p>
    <w:p>
      <w:pPr>
        <w:spacing w:after="160" w:line="276"/>
        <w:jc w:val="both"/>
      </w:pPr>
      <w:r>
        <w:rPr>
          <w:color w:val="1A1A1A"/>
          <w:sz w:val="22"/>
          <w:szCs w:val="22"/>
        </w:rPr>
        <w:t xml:space="preserve">Appendix D: Transaction Size Distribution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900"/>
      </w:tblGrid>
      <w:tr>
        <w:trPr>
          <w:tblHeader/>
        </w:trPr>
        <w:tc>
          <w:tcPr>
            <w:tcW w:type="dxa" w:w="3400"/>
            <w:shd w:fill="1B3A1E" w:color="auto" w:val="clear"/>
            <w:tcMar>
              <w:top w:type="dxa" w:w="80"/>
              <w:left w:type="dxa" w:w="120"/>
              <w:bottom w:type="dxa" w:w="80"/>
              <w:right w:type="dxa" w:w="120"/>
            </w:tcMar>
            <w:vAlign w:val="center"/>
          </w:tcPr>
          <w:p>
            <w:pPr>
              <w:jc w:val="left"/>
            </w:pPr>
            <w:r>
              <w:rPr>
                <w:b/>
                <w:bCs/>
                <w:color w:val="FFFFFF"/>
                <w:sz w:val="20"/>
                <w:szCs w:val="20"/>
              </w:rPr>
              <w:t xml:space="preserve">Order value band</w:t>
            </w:r>
          </w:p>
        </w:tc>
        <w:tc>
          <w:tcPr>
            <w:tcW w:type="dxa" w:w="3200"/>
            <w:shd w:fill="1B3A1E" w:color="auto" w:val="clear"/>
            <w:tcMar>
              <w:top w:type="dxa" w:w="80"/>
              <w:left w:type="dxa" w:w="120"/>
              <w:bottom w:type="dxa" w:w="80"/>
              <w:right w:type="dxa" w:w="120"/>
            </w:tcMar>
            <w:vAlign w:val="center"/>
          </w:tcPr>
          <w:p>
            <w:pPr>
              <w:jc w:val="center"/>
            </w:pPr>
            <w:r>
              <w:rPr>
                <w:b/>
                <w:bCs/>
                <w:color w:val="FFFFFF"/>
                <w:sz w:val="20"/>
                <w:szCs w:val="20"/>
              </w:rPr>
              <w:t xml:space="preserve">Number of orders</w:t>
            </w:r>
          </w:p>
        </w:tc>
        <w:tc>
          <w:tcPr>
            <w:tcW w:type="dxa" w:w="2900"/>
            <w:shd w:fill="1B3A1E" w:color="auto" w:val="clear"/>
            <w:tcMar>
              <w:top w:type="dxa" w:w="80"/>
              <w:left w:type="dxa" w:w="120"/>
              <w:bottom w:type="dxa" w:w="80"/>
              <w:right w:type="dxa" w:w="120"/>
            </w:tcMar>
            <w:vAlign w:val="center"/>
          </w:tcPr>
          <w:p>
            <w:pPr>
              <w:jc w:val="center"/>
            </w:pPr>
            <w:r>
              <w:rPr>
                <w:b/>
                <w:bCs/>
                <w:color w:val="FFFFFF"/>
                <w:sz w:val="20"/>
                <w:szCs w:val="20"/>
              </w:rPr>
              <w:t xml:space="preserve">Share of orders</w:t>
            </w:r>
          </w:p>
        </w:tc>
      </w:tr>
      <w:tr>
        <w:tc>
          <w:tcPr>
            <w:tcW w:type="dxa" w:w="3400"/>
            <w:shd w:fill="FFFFFF" w:color="auto" w:val="clear"/>
            <w:tcMar>
              <w:top w:type="dxa" w:w="70"/>
              <w:left w:type="dxa" w:w="120"/>
              <w:bottom w:type="dxa" w:w="70"/>
              <w:right w:type="dxa" w:w="120"/>
            </w:tcMar>
            <w:vAlign w:val="center"/>
          </w:tcPr>
          <w:p>
            <w:pPr>
              <w:jc w:val="left"/>
            </w:pPr>
            <w:r>
              <w:rPr>
                <w:sz w:val="20"/>
                <w:szCs w:val="20"/>
              </w:rPr>
              <w:t xml:space="preserve">$10 to $1,010</w:t>
            </w:r>
          </w:p>
        </w:tc>
        <w:tc>
          <w:tcPr>
            <w:tcW w:type="dxa" w:w="3200"/>
            <w:shd w:fill="FFFFFF" w:color="auto" w:val="clear"/>
            <w:tcMar>
              <w:top w:type="dxa" w:w="70"/>
              <w:left w:type="dxa" w:w="120"/>
              <w:bottom w:type="dxa" w:w="70"/>
              <w:right w:type="dxa" w:w="120"/>
            </w:tcMar>
            <w:vAlign w:val="center"/>
          </w:tcPr>
          <w:p>
            <w:pPr>
              <w:jc w:val="center"/>
            </w:pPr>
            <w:r>
              <w:rPr>
                <w:sz w:val="20"/>
                <w:szCs w:val="20"/>
              </w:rPr>
              <w:t xml:space="preserve">221</w:t>
            </w:r>
          </w:p>
        </w:tc>
        <w:tc>
          <w:tcPr>
            <w:tcW w:type="dxa" w:w="2900"/>
            <w:shd w:fill="FFFFFF" w:color="auto" w:val="clear"/>
            <w:tcMar>
              <w:top w:type="dxa" w:w="70"/>
              <w:left w:type="dxa" w:w="120"/>
              <w:bottom w:type="dxa" w:w="70"/>
              <w:right w:type="dxa" w:w="120"/>
            </w:tcMar>
            <w:vAlign w:val="center"/>
          </w:tcPr>
          <w:p>
            <w:pPr>
              <w:jc w:val="center"/>
            </w:pPr>
            <w:r>
              <w:rPr>
                <w:sz w:val="20"/>
                <w:szCs w:val="20"/>
              </w:rPr>
              <w:t xml:space="preserve">59.9%</w:t>
            </w:r>
          </w:p>
        </w:tc>
      </w:tr>
      <w:tr>
        <w:tc>
          <w:tcPr>
            <w:tcW w:type="dxa" w:w="3400"/>
            <w:shd w:fill="EAF3E6" w:color="auto" w:val="clear"/>
            <w:tcMar>
              <w:top w:type="dxa" w:w="70"/>
              <w:left w:type="dxa" w:w="120"/>
              <w:bottom w:type="dxa" w:w="70"/>
              <w:right w:type="dxa" w:w="120"/>
            </w:tcMar>
            <w:vAlign w:val="center"/>
          </w:tcPr>
          <w:p>
            <w:pPr>
              <w:jc w:val="left"/>
            </w:pPr>
            <w:r>
              <w:rPr>
                <w:sz w:val="20"/>
                <w:szCs w:val="20"/>
              </w:rPr>
              <w:t xml:space="preserve">$1,010 to $2,010</w:t>
            </w:r>
          </w:p>
        </w:tc>
        <w:tc>
          <w:tcPr>
            <w:tcW w:type="dxa" w:w="3200"/>
            <w:shd w:fill="EAF3E6" w:color="auto" w:val="clear"/>
            <w:tcMar>
              <w:top w:type="dxa" w:w="70"/>
              <w:left w:type="dxa" w:w="120"/>
              <w:bottom w:type="dxa" w:w="70"/>
              <w:right w:type="dxa" w:w="120"/>
            </w:tcMar>
            <w:vAlign w:val="center"/>
          </w:tcPr>
          <w:p>
            <w:pPr>
              <w:jc w:val="center"/>
            </w:pPr>
            <w:r>
              <w:rPr>
                <w:sz w:val="20"/>
                <w:szCs w:val="20"/>
              </w:rPr>
              <w:t xml:space="preserve">82</w:t>
            </w:r>
          </w:p>
        </w:tc>
        <w:tc>
          <w:tcPr>
            <w:tcW w:type="dxa" w:w="2900"/>
            <w:shd w:fill="EAF3E6" w:color="auto" w:val="clear"/>
            <w:tcMar>
              <w:top w:type="dxa" w:w="70"/>
              <w:left w:type="dxa" w:w="120"/>
              <w:bottom w:type="dxa" w:w="70"/>
              <w:right w:type="dxa" w:w="120"/>
            </w:tcMar>
            <w:vAlign w:val="center"/>
          </w:tcPr>
          <w:p>
            <w:pPr>
              <w:jc w:val="center"/>
            </w:pPr>
            <w:r>
              <w:rPr>
                <w:sz w:val="20"/>
                <w:szCs w:val="20"/>
              </w:rPr>
              <w:t xml:space="preserve">22.2%</w:t>
            </w:r>
          </w:p>
        </w:tc>
      </w:tr>
      <w:tr>
        <w:tc>
          <w:tcPr>
            <w:tcW w:type="dxa" w:w="3400"/>
            <w:shd w:fill="FFFFFF" w:color="auto" w:val="clear"/>
            <w:tcMar>
              <w:top w:type="dxa" w:w="70"/>
              <w:left w:type="dxa" w:w="120"/>
              <w:bottom w:type="dxa" w:w="70"/>
              <w:right w:type="dxa" w:w="120"/>
            </w:tcMar>
            <w:vAlign w:val="center"/>
          </w:tcPr>
          <w:p>
            <w:pPr>
              <w:jc w:val="left"/>
            </w:pPr>
            <w:r>
              <w:rPr>
                <w:sz w:val="20"/>
                <w:szCs w:val="20"/>
              </w:rPr>
              <w:t xml:space="preserve">$2,010 to $3,010</w:t>
            </w:r>
          </w:p>
        </w:tc>
        <w:tc>
          <w:tcPr>
            <w:tcW w:type="dxa" w:w="3200"/>
            <w:shd w:fill="FFFFFF" w:color="auto" w:val="clear"/>
            <w:tcMar>
              <w:top w:type="dxa" w:w="70"/>
              <w:left w:type="dxa" w:w="120"/>
              <w:bottom w:type="dxa" w:w="70"/>
              <w:right w:type="dxa" w:w="120"/>
            </w:tcMar>
            <w:vAlign w:val="center"/>
          </w:tcPr>
          <w:p>
            <w:pPr>
              <w:jc w:val="center"/>
            </w:pPr>
            <w:r>
              <w:rPr>
                <w:sz w:val="20"/>
                <w:szCs w:val="20"/>
              </w:rPr>
              <w:t xml:space="preserve">32</w:t>
            </w:r>
          </w:p>
        </w:tc>
        <w:tc>
          <w:tcPr>
            <w:tcW w:type="dxa" w:w="2900"/>
            <w:shd w:fill="FFFFFF" w:color="auto" w:val="clear"/>
            <w:tcMar>
              <w:top w:type="dxa" w:w="70"/>
              <w:left w:type="dxa" w:w="120"/>
              <w:bottom w:type="dxa" w:w="70"/>
              <w:right w:type="dxa" w:w="120"/>
            </w:tcMar>
            <w:vAlign w:val="center"/>
          </w:tcPr>
          <w:p>
            <w:pPr>
              <w:jc w:val="center"/>
            </w:pPr>
            <w:r>
              <w:rPr>
                <w:sz w:val="20"/>
                <w:szCs w:val="20"/>
              </w:rPr>
              <w:t xml:space="preserve">8.7%</w:t>
            </w:r>
          </w:p>
        </w:tc>
      </w:tr>
      <w:tr>
        <w:tc>
          <w:tcPr>
            <w:tcW w:type="dxa" w:w="3400"/>
            <w:shd w:fill="EAF3E6" w:color="auto" w:val="clear"/>
            <w:tcMar>
              <w:top w:type="dxa" w:w="70"/>
              <w:left w:type="dxa" w:w="120"/>
              <w:bottom w:type="dxa" w:w="70"/>
              <w:right w:type="dxa" w:w="120"/>
            </w:tcMar>
            <w:vAlign w:val="center"/>
          </w:tcPr>
          <w:p>
            <w:pPr>
              <w:jc w:val="left"/>
            </w:pPr>
            <w:r>
              <w:rPr>
                <w:sz w:val="20"/>
                <w:szCs w:val="20"/>
              </w:rPr>
              <w:t xml:space="preserve">$3,010 to $4,010</w:t>
            </w:r>
          </w:p>
        </w:tc>
        <w:tc>
          <w:tcPr>
            <w:tcW w:type="dxa" w:w="3200"/>
            <w:shd w:fill="EAF3E6" w:color="auto" w:val="clear"/>
            <w:tcMar>
              <w:top w:type="dxa" w:w="70"/>
              <w:left w:type="dxa" w:w="120"/>
              <w:bottom w:type="dxa" w:w="70"/>
              <w:right w:type="dxa" w:w="120"/>
            </w:tcMar>
            <w:vAlign w:val="center"/>
          </w:tcPr>
          <w:p>
            <w:pPr>
              <w:jc w:val="center"/>
            </w:pPr>
            <w:r>
              <w:rPr>
                <w:sz w:val="20"/>
                <w:szCs w:val="20"/>
              </w:rPr>
              <w:t xml:space="preserve">23</w:t>
            </w:r>
          </w:p>
        </w:tc>
        <w:tc>
          <w:tcPr>
            <w:tcW w:type="dxa" w:w="2900"/>
            <w:shd w:fill="EAF3E6" w:color="auto" w:val="clear"/>
            <w:tcMar>
              <w:top w:type="dxa" w:w="70"/>
              <w:left w:type="dxa" w:w="120"/>
              <w:bottom w:type="dxa" w:w="70"/>
              <w:right w:type="dxa" w:w="120"/>
            </w:tcMar>
            <w:vAlign w:val="center"/>
          </w:tcPr>
          <w:p>
            <w:pPr>
              <w:jc w:val="center"/>
            </w:pPr>
            <w:r>
              <w:rPr>
                <w:sz w:val="20"/>
                <w:szCs w:val="20"/>
              </w:rPr>
              <w:t xml:space="preserve">6.2%</w:t>
            </w:r>
          </w:p>
        </w:tc>
      </w:tr>
      <w:tr>
        <w:tc>
          <w:tcPr>
            <w:tcW w:type="dxa" w:w="3400"/>
            <w:shd w:fill="FFFFFF" w:color="auto" w:val="clear"/>
            <w:tcMar>
              <w:top w:type="dxa" w:w="70"/>
              <w:left w:type="dxa" w:w="120"/>
              <w:bottom w:type="dxa" w:w="70"/>
              <w:right w:type="dxa" w:w="120"/>
            </w:tcMar>
            <w:vAlign w:val="center"/>
          </w:tcPr>
          <w:p>
            <w:pPr>
              <w:jc w:val="left"/>
            </w:pPr>
            <w:r>
              <w:rPr>
                <w:sz w:val="20"/>
                <w:szCs w:val="20"/>
              </w:rPr>
              <w:t xml:space="preserve">$4,010 to $5,010</w:t>
            </w:r>
          </w:p>
        </w:tc>
        <w:tc>
          <w:tcPr>
            <w:tcW w:type="dxa" w:w="3200"/>
            <w:shd w:fill="FFFFFF" w:color="auto" w:val="clear"/>
            <w:tcMar>
              <w:top w:type="dxa" w:w="70"/>
              <w:left w:type="dxa" w:w="120"/>
              <w:bottom w:type="dxa" w:w="70"/>
              <w:right w:type="dxa" w:w="120"/>
            </w:tcMar>
            <w:vAlign w:val="center"/>
          </w:tcPr>
          <w:p>
            <w:pPr>
              <w:jc w:val="center"/>
            </w:pPr>
            <w:r>
              <w:rPr>
                <w:sz w:val="20"/>
                <w:szCs w:val="20"/>
              </w:rPr>
              <w:t xml:space="preserve">8</w:t>
            </w:r>
          </w:p>
        </w:tc>
        <w:tc>
          <w:tcPr>
            <w:tcW w:type="dxa" w:w="2900"/>
            <w:shd w:fill="FFFFFF" w:color="auto" w:val="clear"/>
            <w:tcMar>
              <w:top w:type="dxa" w:w="70"/>
              <w:left w:type="dxa" w:w="120"/>
              <w:bottom w:type="dxa" w:w="70"/>
              <w:right w:type="dxa" w:w="120"/>
            </w:tcMar>
            <w:vAlign w:val="center"/>
          </w:tcPr>
          <w:p>
            <w:pPr>
              <w:jc w:val="center"/>
            </w:pPr>
            <w:r>
              <w:rPr>
                <w:sz w:val="20"/>
                <w:szCs w:val="20"/>
              </w:rPr>
              <w:t xml:space="preserve">2.2%</w:t>
            </w:r>
          </w:p>
        </w:tc>
      </w:tr>
      <w:tr>
        <w:tc>
          <w:tcPr>
            <w:tcW w:type="dxa" w:w="3400"/>
            <w:shd w:fill="EAF3E6" w:color="auto" w:val="clear"/>
            <w:tcMar>
              <w:top w:type="dxa" w:w="70"/>
              <w:left w:type="dxa" w:w="120"/>
              <w:bottom w:type="dxa" w:w="70"/>
              <w:right w:type="dxa" w:w="120"/>
            </w:tcMar>
            <w:vAlign w:val="center"/>
          </w:tcPr>
          <w:p>
            <w:pPr>
              <w:jc w:val="left"/>
            </w:pPr>
            <w:r>
              <w:rPr>
                <w:sz w:val="20"/>
                <w:szCs w:val="20"/>
              </w:rPr>
              <w:t xml:space="preserve">$6,010 to $7,010</w:t>
            </w:r>
          </w:p>
        </w:tc>
        <w:tc>
          <w:tcPr>
            <w:tcW w:type="dxa" w:w="3200"/>
            <w:shd w:fill="EAF3E6" w:color="auto" w:val="clear"/>
            <w:tcMar>
              <w:top w:type="dxa" w:w="70"/>
              <w:left w:type="dxa" w:w="120"/>
              <w:bottom w:type="dxa" w:w="70"/>
              <w:right w:type="dxa" w:w="120"/>
            </w:tcMar>
            <w:vAlign w:val="center"/>
          </w:tcPr>
          <w:p>
            <w:pPr>
              <w:jc w:val="center"/>
            </w:pPr>
            <w:r>
              <w:rPr>
                <w:sz w:val="20"/>
                <w:szCs w:val="20"/>
              </w:rPr>
              <w:t xml:space="preserve">2</w:t>
            </w:r>
          </w:p>
        </w:tc>
        <w:tc>
          <w:tcPr>
            <w:tcW w:type="dxa" w:w="2900"/>
            <w:shd w:fill="EAF3E6" w:color="auto" w:val="clear"/>
            <w:tcMar>
              <w:top w:type="dxa" w:w="70"/>
              <w:left w:type="dxa" w:w="120"/>
              <w:bottom w:type="dxa" w:w="70"/>
              <w:right w:type="dxa" w:w="120"/>
            </w:tcMar>
            <w:vAlign w:val="center"/>
          </w:tcPr>
          <w:p>
            <w:pPr>
              <w:jc w:val="center"/>
            </w:pPr>
            <w:r>
              <w:rPr>
                <w:sz w:val="20"/>
                <w:szCs w:val="20"/>
              </w:rPr>
              <w:t xml:space="preserve">0.5%</w:t>
            </w:r>
          </w:p>
        </w:tc>
      </w:tr>
      <w:tr>
        <w:tc>
          <w:tcPr>
            <w:tcW w:type="dxa" w:w="3400"/>
            <w:shd w:fill="FFFFFF" w:color="auto" w:val="clear"/>
            <w:tcMar>
              <w:top w:type="dxa" w:w="70"/>
              <w:left w:type="dxa" w:w="120"/>
              <w:bottom w:type="dxa" w:w="70"/>
              <w:right w:type="dxa" w:w="120"/>
            </w:tcMar>
            <w:vAlign w:val="center"/>
          </w:tcPr>
          <w:p>
            <w:pPr>
              <w:jc w:val="left"/>
            </w:pPr>
            <w:r>
              <w:rPr>
                <w:sz w:val="20"/>
                <w:szCs w:val="20"/>
              </w:rPr>
              <w:t xml:space="preserve">$7,010 to $8,010</w:t>
            </w:r>
          </w:p>
        </w:tc>
        <w:tc>
          <w:tcPr>
            <w:tcW w:type="dxa" w:w="3200"/>
            <w:shd w:fill="FFFFFF" w:color="auto" w:val="clear"/>
            <w:tcMar>
              <w:top w:type="dxa" w:w="70"/>
              <w:left w:type="dxa" w:w="120"/>
              <w:bottom w:type="dxa" w:w="70"/>
              <w:right w:type="dxa" w:w="120"/>
            </w:tcMar>
            <w:vAlign w:val="center"/>
          </w:tcPr>
          <w:p>
            <w:pPr>
              <w:jc w:val="center"/>
            </w:pPr>
            <w:r>
              <w:rPr>
                <w:sz w:val="20"/>
                <w:szCs w:val="20"/>
              </w:rPr>
              <w:t xml:space="preserve">1</w:t>
            </w:r>
          </w:p>
        </w:tc>
        <w:tc>
          <w:tcPr>
            <w:tcW w:type="dxa" w:w="2900"/>
            <w:shd w:fill="FFFFFF" w:color="auto" w:val="clear"/>
            <w:tcMar>
              <w:top w:type="dxa" w:w="70"/>
              <w:left w:type="dxa" w:w="120"/>
              <w:bottom w:type="dxa" w:w="70"/>
              <w:right w:type="dxa" w:w="120"/>
            </w:tcMar>
            <w:vAlign w:val="center"/>
          </w:tcPr>
          <w:p>
            <w:pPr>
              <w:jc w:val="center"/>
            </w:pPr>
            <w:r>
              <w:rPr>
                <w:sz w:val="20"/>
                <w:szCs w:val="20"/>
              </w:rPr>
              <w:t xml:space="preserve">0.3%</w:t>
            </w:r>
          </w:p>
        </w:tc>
      </w:tr>
    </w:tbl>
    <w:p>
      <w:pPr>
        <w:spacing w:after="300" w:before="100"/>
        <w:jc w:val="center"/>
      </w:pPr>
      <w:r>
        <w:rPr>
          <w:i/>
          <w:iCs/>
          <w:color w:val="595959"/>
          <w:sz w:val="20"/>
          <w:szCs w:val="20"/>
        </w:rPr>
        <w:t xml:space="preserve">Table 6: Distribution of order values across 369 transactions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SkyVille Supermart Profitability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89a4e4176f7ea4479edd0feb2d607c443d27b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2026-08-25T07:55:58.901Z</dcterms:created>
  <dcterms:modified xsi:type="dcterms:W3CDTF">2026-08-25T07:55:58.912Z</dcterms:modified>
</cp:coreProperties>
</file>

<file path=docProps/custom.xml><?xml version="1.0" encoding="utf-8"?>
<Properties xmlns="http://schemas.openxmlformats.org/officeDocument/2006/custom-properties" xmlns:vt="http://schemas.openxmlformats.org/officeDocument/2006/docPropsVTypes"/>
</file>