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Test Case: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Pass TC: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25400" l="25400" r="25400" t="254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 w="25400">
                      <a:solidFill>
                        <a:srgbClr val="FFFF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Fail TC: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 w="25400">
                      <a:solidFill>
                        <a:srgbClr val="FFFF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Test summary:</w:t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943600" cy="3022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