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5476D2" w14:textId="15501419" w:rsidR="00DF3A05" w:rsidRPr="009F41DB" w:rsidRDefault="00EB77C4" w:rsidP="00752846">
      <w:pPr>
        <w:pStyle w:val="Heading1"/>
        <w:rPr>
          <w:sz w:val="40"/>
          <w:szCs w:val="36"/>
        </w:rPr>
      </w:pPr>
      <w:r w:rsidRPr="009F41DB">
        <w:rPr>
          <w:sz w:val="40"/>
          <w:szCs w:val="36"/>
        </w:rPr>
        <w:t>BRAZILIAN E-COMMERCE</w:t>
      </w:r>
      <w:r w:rsidR="00752846" w:rsidRPr="009F41DB">
        <w:rPr>
          <w:sz w:val="40"/>
          <w:szCs w:val="36"/>
        </w:rPr>
        <w:t xml:space="preserve"> </w:t>
      </w:r>
      <w:r w:rsidRPr="009F41DB">
        <w:rPr>
          <w:sz w:val="40"/>
          <w:szCs w:val="36"/>
        </w:rPr>
        <w:t>DATA ANALYSIS</w:t>
      </w:r>
    </w:p>
    <w:p w14:paraId="135F19F4" w14:textId="77777777" w:rsidR="00DF3A05" w:rsidRPr="009F41DB" w:rsidRDefault="00EB77C4">
      <w:pPr>
        <w:jc w:val="center"/>
        <w:rPr>
          <w:rFonts w:ascii="Book Antiqua" w:hAnsi="Book Antiqua"/>
        </w:rPr>
      </w:pPr>
      <w:r w:rsidRPr="009F41DB">
        <w:rPr>
          <w:rFonts w:ascii="Book Antiqua" w:hAnsi="Book Antiqua"/>
          <w:i/>
          <w:sz w:val="24"/>
        </w:rPr>
        <w:t>Customer behaviour, revenue patterns, delivery performance and retention</w:t>
      </w:r>
    </w:p>
    <w:p w14:paraId="5E4E4425" w14:textId="77777777" w:rsidR="00DF3A05" w:rsidRPr="009F41DB" w:rsidRDefault="00EB77C4" w:rsidP="009F41DB">
      <w:pPr>
        <w:pStyle w:val="Heading2"/>
      </w:pPr>
      <w:r w:rsidRPr="009F41DB">
        <w:t>1. Executive Summary</w:t>
      </w:r>
    </w:p>
    <w:p w14:paraId="7B993839" w14:textId="77777777" w:rsidR="00DF3A05" w:rsidRPr="009F41DB" w:rsidRDefault="00EB77C4" w:rsidP="009F41DB">
      <w:pPr>
        <w:jc w:val="both"/>
        <w:rPr>
          <w:rFonts w:ascii="Book Antiqua" w:hAnsi="Book Antiqua"/>
        </w:rPr>
      </w:pPr>
      <w:r w:rsidRPr="009F41DB">
        <w:rPr>
          <w:rFonts w:ascii="Book Antiqua" w:hAnsi="Book Antiqua"/>
        </w:rPr>
        <w:t>This project explores the Brazilian Olist e-commerce dataset to understand customer purchasing patterns, revenue trends, product-category performance, payment preferences, delivery outcomes, customer segmentation, retention and review scores. The notebook combines order, customer, item, payment, product-category and review information, then uses descriptive analysis and visualisations to identify patterns that may inform marketing and operational decisions.</w:t>
      </w:r>
    </w:p>
    <w:p w14:paraId="400EDB6B" w14:textId="77777777" w:rsidR="00DF3A05" w:rsidRPr="009F41DB" w:rsidRDefault="00EB77C4" w:rsidP="009F41DB">
      <w:pPr>
        <w:jc w:val="both"/>
        <w:rPr>
          <w:rFonts w:ascii="Book Antiqua" w:hAnsi="Book Antiqua"/>
        </w:rPr>
      </w:pPr>
      <w:r w:rsidRPr="009F41DB">
        <w:rPr>
          <w:rFonts w:ascii="Book Antiqua" w:hAnsi="Book Antiqua"/>
        </w:rPr>
        <w:t>The clearest patterns in the current charts are that most customers place only one order; credit cards are the dominant payment method; a small group of product categories accounts for a large share of the displayed category revenue; and review scores are strongly associated with delivery timeliness. The chart reports an average review score of 4.20 for orders delivered on time or early, compared with 2.55 for late orders. The RFM chart also places approximately 32.9K customers in the 'At Risk' tier and 32.</w:t>
      </w:r>
      <w:r w:rsidRPr="009F41DB">
        <w:rPr>
          <w:rFonts w:ascii="Book Antiqua" w:hAnsi="Book Antiqua"/>
        </w:rPr>
        <w:t>1K in 'Loyal Customers' under the notebook's scoring rules.</w:t>
      </w:r>
    </w:p>
    <w:p w14:paraId="15046354" w14:textId="77777777" w:rsidR="00DF3A05" w:rsidRPr="009F41DB" w:rsidRDefault="00EB77C4" w:rsidP="009F41DB">
      <w:pPr>
        <w:jc w:val="both"/>
        <w:rPr>
          <w:rFonts w:ascii="Book Antiqua" w:hAnsi="Book Antiqua"/>
        </w:rPr>
      </w:pPr>
      <w:r w:rsidRPr="009F41DB">
        <w:rPr>
          <w:rFonts w:ascii="Book Antiqua" w:hAnsi="Book Antiqua"/>
        </w:rPr>
        <w:t>These results should be treated as exploratory rather than final business KPIs. The notebook joins order items and payment records at order level, which can repeat payment values when an order has multiple items or payment rows. Some calculations then aggregate payment_value or count rows from the merged table. Revenue, category revenue, state order counts and monetary RFM values should be recomputed at an appropriate grain before being used for business decisions. The cohort heatmap's colour scale also app</w:t>
      </w:r>
      <w:r w:rsidRPr="009F41DB">
        <w:rPr>
          <w:rFonts w:ascii="Book Antiqua" w:hAnsi="Book Antiqua"/>
        </w:rPr>
        <w:t>ears inconsistent with the 0–100% retention values, and the final months in the revenue chart drop to zero, which may indicate incomplete periods or a data-processing issue.</w:t>
      </w:r>
    </w:p>
    <w:p w14:paraId="64633D9E" w14:textId="77777777" w:rsidR="00DF3A05" w:rsidRPr="009F41DB" w:rsidRDefault="00EB77C4" w:rsidP="009F41DB">
      <w:pPr>
        <w:pStyle w:val="Heading2"/>
      </w:pPr>
      <w:r w:rsidRPr="009F41DB">
        <w:t>2. Project Objectives</w:t>
      </w:r>
    </w:p>
    <w:p w14:paraId="4E3FC7C4" w14:textId="77777777" w:rsidR="00DF3A05" w:rsidRPr="009F41DB" w:rsidRDefault="00EB77C4">
      <w:pPr>
        <w:pStyle w:val="ListBullet"/>
        <w:rPr>
          <w:rFonts w:ascii="Book Antiqua" w:hAnsi="Book Antiqua"/>
        </w:rPr>
      </w:pPr>
      <w:r w:rsidRPr="009F41DB">
        <w:rPr>
          <w:rFonts w:ascii="Book Antiqua" w:hAnsi="Book Antiqua"/>
        </w:rPr>
        <w:t>Describe how frequently customers purchase and how activity changes over time.</w:t>
      </w:r>
    </w:p>
    <w:p w14:paraId="7FDF7D38" w14:textId="77777777" w:rsidR="00DF3A05" w:rsidRPr="009F41DB" w:rsidRDefault="00EB77C4">
      <w:pPr>
        <w:pStyle w:val="ListBullet"/>
        <w:rPr>
          <w:rFonts w:ascii="Book Antiqua" w:hAnsi="Book Antiqua"/>
        </w:rPr>
      </w:pPr>
      <w:r w:rsidRPr="009F41DB">
        <w:rPr>
          <w:rFonts w:ascii="Book Antiqua" w:hAnsi="Book Antiqua"/>
        </w:rPr>
        <w:t>Explore revenue by month, product category and customer state.</w:t>
      </w:r>
    </w:p>
    <w:p w14:paraId="3BD3D770" w14:textId="77777777" w:rsidR="00DF3A05" w:rsidRPr="009F41DB" w:rsidRDefault="00EB77C4">
      <w:pPr>
        <w:pStyle w:val="ListBullet"/>
        <w:rPr>
          <w:rFonts w:ascii="Book Antiqua" w:hAnsi="Book Antiqua"/>
        </w:rPr>
      </w:pPr>
      <w:r w:rsidRPr="009F41DB">
        <w:rPr>
          <w:rFonts w:ascii="Book Antiqua" w:hAnsi="Book Antiqua"/>
        </w:rPr>
        <w:t>Understand the distribution of payment methods.</w:t>
      </w:r>
    </w:p>
    <w:p w14:paraId="48FCB489" w14:textId="77777777" w:rsidR="00DF3A05" w:rsidRPr="009F41DB" w:rsidRDefault="00EB77C4">
      <w:pPr>
        <w:pStyle w:val="ListBullet"/>
        <w:rPr>
          <w:rFonts w:ascii="Book Antiqua" w:hAnsi="Book Antiqua"/>
        </w:rPr>
      </w:pPr>
      <w:r w:rsidRPr="009F41DB">
        <w:rPr>
          <w:rFonts w:ascii="Book Antiqua" w:hAnsi="Book Antiqua"/>
        </w:rPr>
        <w:t>Segment customers using Recency, Frequency and Monetary (RFM) measures.</w:t>
      </w:r>
    </w:p>
    <w:p w14:paraId="21A6C53C" w14:textId="77777777" w:rsidR="00DF3A05" w:rsidRPr="009F41DB" w:rsidRDefault="00EB77C4">
      <w:pPr>
        <w:pStyle w:val="ListBullet"/>
        <w:rPr>
          <w:rFonts w:ascii="Book Antiqua" w:hAnsi="Book Antiqua"/>
        </w:rPr>
      </w:pPr>
      <w:r w:rsidRPr="009F41DB">
        <w:rPr>
          <w:rFonts w:ascii="Book Antiqua" w:hAnsi="Book Antiqua"/>
        </w:rPr>
        <w:t>Assess delivery timeliness and compare late-delivery rates across states.</w:t>
      </w:r>
    </w:p>
    <w:p w14:paraId="15E963FE" w14:textId="77777777" w:rsidR="00DF3A05" w:rsidRPr="009F41DB" w:rsidRDefault="00EB77C4">
      <w:pPr>
        <w:pStyle w:val="ListBullet"/>
        <w:rPr>
          <w:rFonts w:ascii="Book Antiqua" w:hAnsi="Book Antiqua"/>
        </w:rPr>
      </w:pPr>
      <w:r w:rsidRPr="009F41DB">
        <w:rPr>
          <w:rFonts w:ascii="Book Antiqua" w:hAnsi="Book Antiqua"/>
        </w:rPr>
        <w:t>Measure repeat-purchase retention by customer cohort.</w:t>
      </w:r>
    </w:p>
    <w:p w14:paraId="35ADCEE8" w14:textId="77777777" w:rsidR="00DF3A05" w:rsidRPr="009F41DB" w:rsidRDefault="00EB77C4">
      <w:pPr>
        <w:pStyle w:val="ListBullet"/>
        <w:rPr>
          <w:rFonts w:ascii="Book Antiqua" w:hAnsi="Book Antiqua"/>
        </w:rPr>
      </w:pPr>
      <w:r w:rsidRPr="009F41DB">
        <w:rPr>
          <w:rFonts w:ascii="Book Antiqua" w:hAnsi="Book Antiqua"/>
        </w:rPr>
        <w:t>Explore customer review scores and their relationship with delivery timeliness.</w:t>
      </w:r>
    </w:p>
    <w:p w14:paraId="67E766A2" w14:textId="77777777" w:rsidR="00DF3A05" w:rsidRPr="009F41DB" w:rsidRDefault="00EB77C4" w:rsidP="009F41DB">
      <w:pPr>
        <w:pStyle w:val="Heading2"/>
      </w:pPr>
      <w:r w:rsidRPr="009F41DB">
        <w:t>3. Data and Method</w:t>
      </w:r>
    </w:p>
    <w:p w14:paraId="33593237" w14:textId="2E8CE678" w:rsidR="00DF3A05" w:rsidRPr="009F41DB" w:rsidRDefault="00EB77C4" w:rsidP="009F41DB">
      <w:pPr>
        <w:jc w:val="both"/>
        <w:rPr>
          <w:rFonts w:ascii="Book Antiqua" w:hAnsi="Book Antiqua"/>
        </w:rPr>
      </w:pPr>
      <w:r w:rsidRPr="009F41DB">
        <w:rPr>
          <w:rFonts w:ascii="Book Antiqua" w:hAnsi="Book Antiqua"/>
        </w:rPr>
        <w:t xml:space="preserve">The </w:t>
      </w:r>
      <w:r w:rsidR="009F41DB" w:rsidRPr="009F41DB">
        <w:rPr>
          <w:rFonts w:ascii="Book Antiqua" w:hAnsi="Book Antiqua"/>
        </w:rPr>
        <w:t xml:space="preserve">study </w:t>
      </w:r>
      <w:r w:rsidRPr="009F41DB">
        <w:rPr>
          <w:rFonts w:ascii="Book Antiqua" w:hAnsi="Book Antiqua"/>
        </w:rPr>
        <w:t xml:space="preserve">uses the </w:t>
      </w:r>
      <w:proofErr w:type="spellStart"/>
      <w:r w:rsidRPr="009F41DB">
        <w:rPr>
          <w:rFonts w:ascii="Book Antiqua" w:hAnsi="Book Antiqua"/>
        </w:rPr>
        <w:t>Olist</w:t>
      </w:r>
      <w:proofErr w:type="spellEnd"/>
      <w:r w:rsidRPr="009F41DB">
        <w:rPr>
          <w:rFonts w:ascii="Book Antiqua" w:hAnsi="Book Antiqua"/>
        </w:rPr>
        <w:t xml:space="preserve"> Brazilian E-Commerce public dataset and loads tables covering customers, orders, order items, payments, products, English product-category translations, geolocation and reviews. </w:t>
      </w:r>
      <w:r w:rsidR="009F41DB" w:rsidRPr="009F41DB">
        <w:rPr>
          <w:rFonts w:ascii="Book Antiqua" w:hAnsi="Book Antiqua"/>
        </w:rPr>
        <w:t>Joining</w:t>
      </w:r>
      <w:r w:rsidRPr="009F41DB">
        <w:rPr>
          <w:rFonts w:ascii="Book Antiqua" w:hAnsi="Book Antiqua"/>
        </w:rPr>
        <w:t xml:space="preserve"> several tables into a working analysis table, converts relevant timestamps to datetime values, and selects fields for exploratory analysis.</w:t>
      </w:r>
    </w:p>
    <w:p w14:paraId="7FE827E4" w14:textId="77777777" w:rsidR="00DF3A05" w:rsidRPr="009F41DB" w:rsidRDefault="00EB77C4" w:rsidP="009F41DB">
      <w:pPr>
        <w:jc w:val="both"/>
        <w:rPr>
          <w:rFonts w:ascii="Book Antiqua" w:hAnsi="Book Antiqua"/>
        </w:rPr>
      </w:pPr>
      <w:r w:rsidRPr="009F41DB">
        <w:rPr>
          <w:rFonts w:ascii="Book Antiqua" w:hAnsi="Book Antiqua"/>
        </w:rPr>
        <w:t>Methods include customer-level order-frequency distributions, monthly payment-value aggregation, category and state comparisons, payment-method counts, quartile-based RFM scores, delivery-gap calculation, cohort retention matrices, and review-score comparisons by delivery status. The notebook uses Python with pandas, Matplotlib and Seaborn.</w:t>
      </w:r>
    </w:p>
    <w:p w14:paraId="084F53B6" w14:textId="77777777" w:rsidR="00DF3A05" w:rsidRPr="009F41DB" w:rsidRDefault="00EB77C4" w:rsidP="009F41DB">
      <w:pPr>
        <w:pStyle w:val="Heading2"/>
      </w:pPr>
      <w:r w:rsidRPr="009F41DB">
        <w:lastRenderedPageBreak/>
        <w:t>4. Findings from the Visualisations</w:t>
      </w:r>
    </w:p>
    <w:p w14:paraId="664B2696" w14:textId="77777777" w:rsidR="00DF3A05" w:rsidRPr="009F41DB" w:rsidRDefault="00EB77C4" w:rsidP="009F41DB">
      <w:pPr>
        <w:pStyle w:val="Heading3"/>
      </w:pPr>
      <w:r w:rsidRPr="009F41DB">
        <w:t>4.1 Customer order distribution</w:t>
      </w:r>
    </w:p>
    <w:p w14:paraId="6C142E8B" w14:textId="77777777" w:rsidR="00DF3A05" w:rsidRPr="009F41DB" w:rsidRDefault="00EB77C4" w:rsidP="009F41DB">
      <w:pPr>
        <w:jc w:val="both"/>
        <w:rPr>
          <w:rFonts w:ascii="Book Antiqua" w:hAnsi="Book Antiqua"/>
        </w:rPr>
      </w:pPr>
      <w:r w:rsidRPr="009F41DB">
        <w:rPr>
          <w:rFonts w:ascii="Book Antiqua" w:hAnsi="Book Antiqua"/>
        </w:rPr>
        <w:t>The distribution is heavily concentrated at one order per customer, with customer counts declining sharply as order frequency increases. This suggests that repeat purchasing is limited in the analysed data and may be a useful focus for retention initiatives.</w:t>
      </w:r>
    </w:p>
    <w:p w14:paraId="5D4A7378" w14:textId="77777777" w:rsidR="00DF3A05" w:rsidRPr="009F41DB" w:rsidRDefault="00EB77C4" w:rsidP="009F41DB">
      <w:pPr>
        <w:pStyle w:val="Heading3"/>
      </w:pPr>
      <w:r w:rsidRPr="009F41DB">
        <w:t>4.2 Monthly revenue</w:t>
      </w:r>
    </w:p>
    <w:p w14:paraId="0C3CAEDE" w14:textId="77777777" w:rsidR="00DF3A05" w:rsidRPr="009F41DB" w:rsidRDefault="00EB77C4" w:rsidP="009F41DB">
      <w:pPr>
        <w:jc w:val="both"/>
        <w:rPr>
          <w:rFonts w:ascii="Book Antiqua" w:hAnsi="Book Antiqua"/>
        </w:rPr>
      </w:pPr>
      <w:r w:rsidRPr="009F41DB">
        <w:rPr>
          <w:rFonts w:ascii="Book Antiqua" w:hAnsi="Book Antiqua"/>
        </w:rPr>
        <w:t>The displayed monthly series rises overall through much of the observed period, with noticeable fluctuations and a peak around late 2017. The last plotted months fall to zero. Before interpreting this as a genuine collapse in sales, verify data coverage, date filtering and whether the final months are incomplete.</w:t>
      </w:r>
    </w:p>
    <w:p w14:paraId="0F0D402F" w14:textId="77777777" w:rsidR="00DF3A05" w:rsidRPr="009F41DB" w:rsidRDefault="00EB77C4" w:rsidP="009F41DB">
      <w:pPr>
        <w:pStyle w:val="Heading3"/>
      </w:pPr>
      <w:r w:rsidRPr="009F41DB">
        <w:t>4.3 Product categories by revenue</w:t>
      </w:r>
    </w:p>
    <w:p w14:paraId="0A641422" w14:textId="77777777" w:rsidR="00DF3A05" w:rsidRPr="009F41DB" w:rsidRDefault="00EB77C4" w:rsidP="009F41DB">
      <w:pPr>
        <w:jc w:val="both"/>
        <w:rPr>
          <w:rFonts w:ascii="Book Antiqua" w:hAnsi="Book Antiqua"/>
        </w:rPr>
      </w:pPr>
      <w:r w:rsidRPr="009F41DB">
        <w:rPr>
          <w:rFonts w:ascii="Book Antiqua" w:hAnsi="Book Antiqua"/>
        </w:rPr>
        <w:t>The chart ranks bed, bath and table; health and beauty; computers and accessories; furniture decor; watches and gifts; and sports and leisure among the highest displayed categories. Because payment values are summed after joining payment and item tables, these category totals may be inflated where orders contain multiple items or payment records.</w:t>
      </w:r>
    </w:p>
    <w:p w14:paraId="3C6513A6" w14:textId="77777777" w:rsidR="00DF3A05" w:rsidRPr="009F41DB" w:rsidRDefault="00EB77C4" w:rsidP="009F41DB">
      <w:pPr>
        <w:pStyle w:val="Heading3"/>
      </w:pPr>
      <w:r w:rsidRPr="009F41DB">
        <w:t>4.4 Orders by customer state</w:t>
      </w:r>
    </w:p>
    <w:p w14:paraId="0CAFA318" w14:textId="77777777" w:rsidR="00DF3A05" w:rsidRPr="009F41DB" w:rsidRDefault="00EB77C4" w:rsidP="009F41DB">
      <w:pPr>
        <w:jc w:val="both"/>
        <w:rPr>
          <w:rFonts w:ascii="Book Antiqua" w:hAnsi="Book Antiqua"/>
        </w:rPr>
      </w:pPr>
      <w:r w:rsidRPr="009F41DB">
        <w:rPr>
          <w:rFonts w:ascii="Book Antiqua" w:hAnsi="Book Antiqua"/>
        </w:rPr>
        <w:t>São Paulo (SP) is the most prominent state in the chart, followed by a substantial gap to the next states. However, the current code uses value_counts() on the merged table rather than counting distinct order IDs. The chart therefore represents merged rows, not necessarily unique orders by state.</w:t>
      </w:r>
    </w:p>
    <w:p w14:paraId="491096C0" w14:textId="77777777" w:rsidR="00DF3A05" w:rsidRPr="009F41DB" w:rsidRDefault="00EB77C4" w:rsidP="009F41DB">
      <w:pPr>
        <w:pStyle w:val="Heading3"/>
      </w:pPr>
      <w:r w:rsidRPr="009F41DB">
        <w:t>4.5 Payment methods</w:t>
      </w:r>
    </w:p>
    <w:p w14:paraId="1C742516" w14:textId="77777777" w:rsidR="00DF3A05" w:rsidRPr="009F41DB" w:rsidRDefault="00EB77C4" w:rsidP="009F41DB">
      <w:pPr>
        <w:jc w:val="both"/>
        <w:rPr>
          <w:rFonts w:ascii="Book Antiqua" w:hAnsi="Book Antiqua"/>
        </w:rPr>
      </w:pPr>
      <w:r w:rsidRPr="009F41DB">
        <w:rPr>
          <w:rFonts w:ascii="Book Antiqua" w:hAnsi="Book Antiqua"/>
        </w:rPr>
        <w:t>Credit card is the most common payment method in the chart at approximately 87.3K records, followed by boleto at 23.0K, voucher at 6.4K and debit card at 1.7K. These are record counts from the merged table and should not automatically be interpreted as unique orders.</w:t>
      </w:r>
    </w:p>
    <w:p w14:paraId="2EBF6E99" w14:textId="77777777" w:rsidR="00DF3A05" w:rsidRPr="009F41DB" w:rsidRDefault="00EB77C4" w:rsidP="009F41DB">
      <w:pPr>
        <w:pStyle w:val="Heading3"/>
      </w:pPr>
      <w:r w:rsidRPr="009F41DB">
        <w:t>4.6 RFM customer tiers</w:t>
      </w:r>
    </w:p>
    <w:p w14:paraId="0102A081" w14:textId="77777777" w:rsidR="00DF3A05" w:rsidRPr="009F41DB" w:rsidRDefault="00EB77C4" w:rsidP="009F41DB">
      <w:pPr>
        <w:jc w:val="both"/>
        <w:rPr>
          <w:rFonts w:ascii="Book Antiqua" w:hAnsi="Book Antiqua"/>
        </w:rPr>
      </w:pPr>
      <w:r w:rsidRPr="009F41DB">
        <w:rPr>
          <w:rFonts w:ascii="Book Antiqua" w:hAnsi="Book Antiqua"/>
        </w:rPr>
        <w:t>The RFM chart shows about 32.9K customers as At Risk, 32.1K as Loyal Customers, 15.6K as Champions and 15.5K as Lost/Low Value. The tiers depend on the notebook's quartile scoring and custom score thresholds. Monetary values should be recalculated at customer/order grain to avoid join-related duplication.</w:t>
      </w:r>
    </w:p>
    <w:p w14:paraId="5CD41BD3" w14:textId="77777777" w:rsidR="00DF3A05" w:rsidRPr="009F41DB" w:rsidRDefault="00EB77C4" w:rsidP="009F41DB">
      <w:pPr>
        <w:pStyle w:val="Heading3"/>
      </w:pPr>
      <w:r w:rsidRPr="009F41DB">
        <w:t>4.7 Delivery gaps and late delivery by state</w:t>
      </w:r>
    </w:p>
    <w:p w14:paraId="503C58E0" w14:textId="77777777" w:rsidR="00DF3A05" w:rsidRPr="009F41DB" w:rsidRDefault="00EB77C4" w:rsidP="009F41DB">
      <w:pPr>
        <w:jc w:val="both"/>
        <w:rPr>
          <w:rFonts w:ascii="Book Antiqua" w:hAnsi="Book Antiqua"/>
        </w:rPr>
      </w:pPr>
      <w:r w:rsidRPr="009F41DB">
        <w:rPr>
          <w:rFonts w:ascii="Book Antiqua" w:hAnsi="Book Antiqua"/>
        </w:rPr>
        <w:t>The delivery-gap distribution is concentrated on positive values, meaning many delivered orders arrived before the estimated date. The state chart shows variation in late-delivery percentages, with the highest displayed rate around 27% and the lowest around 4%. Small state-level sample sizes and the exact delivered-order denominator should be checked before prioritising interventions.</w:t>
      </w:r>
    </w:p>
    <w:p w14:paraId="362A6BE8" w14:textId="77777777" w:rsidR="00DF3A05" w:rsidRPr="009F41DB" w:rsidRDefault="00EB77C4" w:rsidP="009F41DB">
      <w:pPr>
        <w:pStyle w:val="Heading3"/>
      </w:pPr>
      <w:r w:rsidRPr="009F41DB">
        <w:t>4.8 Customer retention cohorts</w:t>
      </w:r>
    </w:p>
    <w:p w14:paraId="147A77A7" w14:textId="77777777" w:rsidR="00DF3A05" w:rsidRPr="009F41DB" w:rsidRDefault="00EB77C4" w:rsidP="009F41DB">
      <w:pPr>
        <w:jc w:val="both"/>
        <w:rPr>
          <w:rFonts w:ascii="Book Antiqua" w:hAnsi="Book Antiqua"/>
        </w:rPr>
      </w:pPr>
      <w:r w:rsidRPr="009F41DB">
        <w:rPr>
          <w:rFonts w:ascii="Book Antiqua" w:hAnsi="Book Antiqua"/>
        </w:rPr>
        <w:t>The cohort heatmap compares each customer's first purchase month with subsequent purchase activity. The chart suggests low repeat-purchase retention after the initial month, consistent with the order-frequency distribution. The heatmap currently caps its colour scale at 1.0 while retention is calculated as a percentage, so the colour encoding is misleading. Use 0–100 or convert retention to proportions before plotting.</w:t>
      </w:r>
    </w:p>
    <w:p w14:paraId="394D0960" w14:textId="77777777" w:rsidR="00DF3A05" w:rsidRPr="009F41DB" w:rsidRDefault="00EB77C4" w:rsidP="009F41DB">
      <w:pPr>
        <w:pStyle w:val="Heading3"/>
      </w:pPr>
      <w:r w:rsidRPr="009F41DB">
        <w:t>4.9 Review scores</w:t>
      </w:r>
    </w:p>
    <w:p w14:paraId="5B6D7B32" w14:textId="77777777" w:rsidR="00DF3A05" w:rsidRPr="009F41DB" w:rsidRDefault="00EB77C4" w:rsidP="009F41DB">
      <w:pPr>
        <w:jc w:val="both"/>
        <w:rPr>
          <w:rFonts w:ascii="Book Antiqua" w:hAnsi="Book Antiqua"/>
        </w:rPr>
      </w:pPr>
      <w:r w:rsidRPr="009F41DB">
        <w:rPr>
          <w:rFonts w:ascii="Book Antiqua" w:hAnsi="Book Antiqua"/>
        </w:rPr>
        <w:t>Five-star reviews dominate the displayed review distribution at approximately 68.3K, followed by four-star reviews at 22.9K. One-star reviews are around 13.8K, while two- and three-star reviews are lower. The distribution is skewed towards positive ratings, but negative reviews remain operationally relevant.</w:t>
      </w:r>
    </w:p>
    <w:p w14:paraId="121C0668" w14:textId="77777777" w:rsidR="00DF3A05" w:rsidRPr="009F41DB" w:rsidRDefault="00EB77C4" w:rsidP="009F41DB">
      <w:pPr>
        <w:pStyle w:val="Heading3"/>
      </w:pPr>
      <w:r w:rsidRPr="009F41DB">
        <w:lastRenderedPageBreak/>
        <w:t>4.10 Review scores by delivery status</w:t>
      </w:r>
    </w:p>
    <w:p w14:paraId="582E8412" w14:textId="77777777" w:rsidR="00DF3A05" w:rsidRPr="009F41DB" w:rsidRDefault="00EB77C4" w:rsidP="009F41DB">
      <w:pPr>
        <w:jc w:val="both"/>
        <w:rPr>
          <w:rFonts w:ascii="Book Antiqua" w:hAnsi="Book Antiqua"/>
        </w:rPr>
      </w:pPr>
      <w:r w:rsidRPr="009F41DB">
        <w:rPr>
          <w:rFonts w:ascii="Book Antiqua" w:hAnsi="Book Antiqua"/>
        </w:rPr>
        <w:t>The chart reports an average score of 4.20 for on-time/early deliveries and 2.55 for late deliveries. This is a large descriptive difference and supports investigating delivery experience as a contributor to satisfaction. It does not establish causation, and the comparison should be validated after checking joins, duplicate review rows and sample sizes.</w:t>
      </w:r>
    </w:p>
    <w:p w14:paraId="0B8D7A8A" w14:textId="77777777" w:rsidR="00DF3A05" w:rsidRPr="009F41DB" w:rsidRDefault="00EB77C4" w:rsidP="009F41DB">
      <w:pPr>
        <w:pStyle w:val="Heading2"/>
      </w:pPr>
      <w:r w:rsidRPr="009F41DB">
        <w:t>5. Recommended Improvements Before Publication</w:t>
      </w:r>
    </w:p>
    <w:p w14:paraId="4DA2A4FF" w14:textId="77777777" w:rsidR="00DF3A05" w:rsidRPr="009F41DB" w:rsidRDefault="00EB77C4" w:rsidP="009F41DB">
      <w:pPr>
        <w:pStyle w:val="ListBullet"/>
        <w:jc w:val="both"/>
        <w:rPr>
          <w:rFonts w:ascii="Book Antiqua" w:hAnsi="Book Antiqua"/>
        </w:rPr>
      </w:pPr>
      <w:r w:rsidRPr="009F41DB">
        <w:rPr>
          <w:rFonts w:ascii="Book Antiqua" w:hAnsi="Book Antiqua"/>
        </w:rPr>
        <w:t>Define the grain of each analysis explicitly: one row per order, order item, payment, customer or review.</w:t>
      </w:r>
    </w:p>
    <w:p w14:paraId="73A0B28F" w14:textId="77777777" w:rsidR="00DF3A05" w:rsidRPr="009F41DB" w:rsidRDefault="00EB77C4" w:rsidP="009F41DB">
      <w:pPr>
        <w:pStyle w:val="ListBullet"/>
        <w:jc w:val="both"/>
        <w:rPr>
          <w:rFonts w:ascii="Book Antiqua" w:hAnsi="Book Antiqua"/>
        </w:rPr>
      </w:pPr>
      <w:r w:rsidRPr="009F41DB">
        <w:rPr>
          <w:rFonts w:ascii="Book Antiqua" w:hAnsi="Book Antiqua"/>
        </w:rPr>
        <w:t>For order-level metrics, aggregate item and payment tables separately before joining, or deduplicate to the required grain. Do not sum repeated payment_value across item rows.</w:t>
      </w:r>
    </w:p>
    <w:p w14:paraId="76EF15AD" w14:textId="77777777" w:rsidR="00DF3A05" w:rsidRPr="009F41DB" w:rsidRDefault="00EB77C4" w:rsidP="009F41DB">
      <w:pPr>
        <w:pStyle w:val="ListBullet"/>
        <w:jc w:val="both"/>
        <w:rPr>
          <w:rFonts w:ascii="Book Antiqua" w:hAnsi="Book Antiqua"/>
        </w:rPr>
      </w:pPr>
      <w:r w:rsidRPr="009F41DB">
        <w:rPr>
          <w:rFonts w:ascii="Book Antiqua" w:hAnsi="Book Antiqua"/>
        </w:rPr>
        <w:t>Count distinct order_id values for state-level order comparisons.</w:t>
      </w:r>
    </w:p>
    <w:p w14:paraId="4D1F8642" w14:textId="77777777" w:rsidR="00DF3A05" w:rsidRPr="009F41DB" w:rsidRDefault="00EB77C4" w:rsidP="009F41DB">
      <w:pPr>
        <w:pStyle w:val="ListBullet"/>
        <w:jc w:val="both"/>
        <w:rPr>
          <w:rFonts w:ascii="Book Antiqua" w:hAnsi="Book Antiqua"/>
        </w:rPr>
      </w:pPr>
      <w:r w:rsidRPr="009F41DB">
        <w:rPr>
          <w:rFonts w:ascii="Book Antiqua" w:hAnsi="Book Antiqua"/>
        </w:rPr>
        <w:t>Validate revenue totals against an order-level payment table and document treatment of cancelled, unavailable and undelivered orders.</w:t>
      </w:r>
    </w:p>
    <w:p w14:paraId="4D6E67EB" w14:textId="77777777" w:rsidR="00DF3A05" w:rsidRPr="009F41DB" w:rsidRDefault="00EB77C4" w:rsidP="009F41DB">
      <w:pPr>
        <w:pStyle w:val="ListBullet"/>
        <w:jc w:val="both"/>
        <w:rPr>
          <w:rFonts w:ascii="Book Antiqua" w:hAnsi="Book Antiqua"/>
        </w:rPr>
      </w:pPr>
      <w:r w:rsidRPr="009F41DB">
        <w:rPr>
          <w:rFonts w:ascii="Book Antiqua" w:hAnsi="Book Antiqua"/>
        </w:rPr>
        <w:t>Investigate the zero-valued final months in the monthly revenue chart and state the actual data coverage period.</w:t>
      </w:r>
    </w:p>
    <w:p w14:paraId="1F958953" w14:textId="77777777" w:rsidR="00DF3A05" w:rsidRPr="009F41DB" w:rsidRDefault="00EB77C4" w:rsidP="009F41DB">
      <w:pPr>
        <w:pStyle w:val="ListBullet"/>
        <w:jc w:val="both"/>
        <w:rPr>
          <w:rFonts w:ascii="Book Antiqua" w:hAnsi="Book Antiqua"/>
        </w:rPr>
      </w:pPr>
      <w:r w:rsidRPr="009F41DB">
        <w:rPr>
          <w:rFonts w:ascii="Book Antiqua" w:hAnsi="Book Antiqua"/>
        </w:rPr>
        <w:t>Fix the retention heatmap scale: either plot percentages with vmin=0 and vmax=100, or plot proportions with values between 0 and 1 and label the colour bar accordingly.</w:t>
      </w:r>
    </w:p>
    <w:p w14:paraId="46C1FEA8" w14:textId="77777777" w:rsidR="00DF3A05" w:rsidRPr="009F41DB" w:rsidRDefault="00EB77C4" w:rsidP="009F41DB">
      <w:pPr>
        <w:pStyle w:val="ListBullet"/>
        <w:jc w:val="both"/>
        <w:rPr>
          <w:rFonts w:ascii="Book Antiqua" w:hAnsi="Book Antiqua"/>
        </w:rPr>
      </w:pPr>
      <w:r w:rsidRPr="009F41DB">
        <w:rPr>
          <w:rFonts w:ascii="Book Antiqua" w:hAnsi="Book Antiqua"/>
        </w:rPr>
        <w:t>Review RFM frequency and monetary calculations after correcting the merged-table grain; document the reference date and scoring thresholds.</w:t>
      </w:r>
    </w:p>
    <w:p w14:paraId="1B535424" w14:textId="77777777" w:rsidR="00DF3A05" w:rsidRPr="009F41DB" w:rsidRDefault="00EB77C4" w:rsidP="009F41DB">
      <w:pPr>
        <w:pStyle w:val="ListBullet"/>
        <w:jc w:val="both"/>
        <w:rPr>
          <w:rFonts w:ascii="Book Antiqua" w:hAnsi="Book Antiqua"/>
        </w:rPr>
      </w:pPr>
      <w:r w:rsidRPr="009F41DB">
        <w:rPr>
          <w:rFonts w:ascii="Book Antiqua" w:hAnsi="Book Antiqua"/>
        </w:rPr>
        <w:t>Add sample sizes and denominators to delivery-by-state and review comparisons.</w:t>
      </w:r>
    </w:p>
    <w:p w14:paraId="66CFAC23" w14:textId="77777777" w:rsidR="00DF3A05" w:rsidRPr="009F41DB" w:rsidRDefault="00EB77C4" w:rsidP="009F41DB">
      <w:pPr>
        <w:pStyle w:val="Heading2"/>
      </w:pPr>
      <w:r w:rsidRPr="009F41DB">
        <w:t>6. Conclusion</w:t>
      </w:r>
    </w:p>
    <w:p w14:paraId="480BAA5C" w14:textId="44F02983" w:rsidR="00DF3A05" w:rsidRPr="009F41DB" w:rsidRDefault="00EB77C4" w:rsidP="009F41DB">
      <w:pPr>
        <w:jc w:val="both"/>
        <w:rPr>
          <w:rFonts w:ascii="Book Antiqua" w:hAnsi="Book Antiqua"/>
        </w:rPr>
      </w:pPr>
      <w:r w:rsidRPr="009F41DB">
        <w:rPr>
          <w:rFonts w:ascii="Book Antiqua" w:hAnsi="Book Antiqua"/>
        </w:rPr>
        <w:t xml:space="preserve">The </w:t>
      </w:r>
      <w:r w:rsidR="009F41DB" w:rsidRPr="009F41DB">
        <w:rPr>
          <w:rFonts w:ascii="Book Antiqua" w:hAnsi="Book Antiqua"/>
        </w:rPr>
        <w:t>study</w:t>
      </w:r>
      <w:r w:rsidRPr="009F41DB">
        <w:rPr>
          <w:rFonts w:ascii="Book Antiqua" w:hAnsi="Book Antiqua"/>
        </w:rPr>
        <w:t xml:space="preserve"> provides a useful exploratory view of customer behaviour and fulfilment experience in the Olist dataset. Its most actionable initial signal is the difference in average review scores between late and on-time/early deliveries, alongside the concentration of customers at one purchase. The next iteration should prioritise data-grain validation and chart corrections, then recalculate the key metrics before presenting them as definitive commercial findings.</w:t>
      </w:r>
    </w:p>
    <w:p w14:paraId="029357A1" w14:textId="77777777" w:rsidR="00DF3A05" w:rsidRPr="009F41DB" w:rsidRDefault="00EB77C4" w:rsidP="009F41DB">
      <w:pPr>
        <w:pStyle w:val="Heading2"/>
      </w:pPr>
      <w:r w:rsidRPr="009F41DB">
        <w:t>Appendix: Charts</w:t>
      </w:r>
    </w:p>
    <w:p w14:paraId="6995648C" w14:textId="77777777" w:rsidR="00DF3A05" w:rsidRPr="009F41DB" w:rsidRDefault="00EB77C4">
      <w:pPr>
        <w:rPr>
          <w:rFonts w:ascii="Book Antiqua" w:hAnsi="Book Antiqua"/>
        </w:rPr>
      </w:pPr>
      <w:r w:rsidRPr="009F41DB">
        <w:rPr>
          <w:rFonts w:ascii="Book Antiqua" w:hAnsi="Book Antiqua"/>
        </w:rPr>
        <w:t>Figure 1. Distribution of orders per customer.</w:t>
      </w:r>
    </w:p>
    <w:p w14:paraId="233F3D62" w14:textId="77777777" w:rsidR="00DF3A05" w:rsidRPr="009F41DB" w:rsidRDefault="00EB77C4">
      <w:pPr>
        <w:jc w:val="center"/>
        <w:rPr>
          <w:rFonts w:ascii="Book Antiqua" w:hAnsi="Book Antiqua"/>
        </w:rPr>
      </w:pPr>
      <w:r w:rsidRPr="009F41DB">
        <w:rPr>
          <w:rFonts w:ascii="Book Antiqua" w:hAnsi="Book Antiqua"/>
          <w:noProof/>
        </w:rPr>
        <w:lastRenderedPageBreak/>
        <w:drawing>
          <wp:inline distT="0" distB="0" distL="0" distR="0" wp14:anchorId="3C1FBA01" wp14:editId="282F97AD">
            <wp:extent cx="5669280" cy="33646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order_distribution.png"/>
                    <pic:cNvPicPr/>
                  </pic:nvPicPr>
                  <pic:blipFill>
                    <a:blip r:embed="rId6"/>
                    <a:stretch>
                      <a:fillRect/>
                    </a:stretch>
                  </pic:blipFill>
                  <pic:spPr>
                    <a:xfrm>
                      <a:off x="0" y="0"/>
                      <a:ext cx="5669280" cy="3364695"/>
                    </a:xfrm>
                    <a:prstGeom prst="rect">
                      <a:avLst/>
                    </a:prstGeom>
                  </pic:spPr>
                </pic:pic>
              </a:graphicData>
            </a:graphic>
          </wp:inline>
        </w:drawing>
      </w:r>
    </w:p>
    <w:p w14:paraId="4C22A002" w14:textId="77777777" w:rsidR="00DF3A05" w:rsidRPr="009F41DB" w:rsidRDefault="00EB77C4">
      <w:pPr>
        <w:rPr>
          <w:rFonts w:ascii="Book Antiqua" w:hAnsi="Book Antiqua"/>
        </w:rPr>
      </w:pPr>
      <w:r w:rsidRPr="009F41DB">
        <w:rPr>
          <w:rFonts w:ascii="Book Antiqua" w:hAnsi="Book Antiqua"/>
        </w:rPr>
        <w:t>Figure 2. Total monthly payment value shown as revenue in the notebook.</w:t>
      </w:r>
    </w:p>
    <w:p w14:paraId="67614A89" w14:textId="77777777" w:rsidR="00DF3A05" w:rsidRPr="009F41DB" w:rsidRDefault="00EB77C4">
      <w:pPr>
        <w:jc w:val="center"/>
        <w:rPr>
          <w:rFonts w:ascii="Book Antiqua" w:hAnsi="Book Antiqua"/>
        </w:rPr>
      </w:pPr>
      <w:r w:rsidRPr="009F41DB">
        <w:rPr>
          <w:rFonts w:ascii="Book Antiqua" w:hAnsi="Book Antiqua"/>
          <w:noProof/>
        </w:rPr>
        <w:drawing>
          <wp:inline distT="0" distB="0" distL="0" distR="0" wp14:anchorId="44DA7D1F" wp14:editId="0CFEEDB9">
            <wp:extent cx="5669280" cy="2392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hly_revenue.png"/>
                    <pic:cNvPicPr/>
                  </pic:nvPicPr>
                  <pic:blipFill>
                    <a:blip r:embed="rId7"/>
                    <a:stretch>
                      <a:fillRect/>
                    </a:stretch>
                  </pic:blipFill>
                  <pic:spPr>
                    <a:xfrm>
                      <a:off x="0" y="0"/>
                      <a:ext cx="5669280" cy="2392240"/>
                    </a:xfrm>
                    <a:prstGeom prst="rect">
                      <a:avLst/>
                    </a:prstGeom>
                  </pic:spPr>
                </pic:pic>
              </a:graphicData>
            </a:graphic>
          </wp:inline>
        </w:drawing>
      </w:r>
    </w:p>
    <w:p w14:paraId="1A75537F" w14:textId="77777777" w:rsidR="00DF3A05" w:rsidRPr="009F41DB" w:rsidRDefault="00EB77C4">
      <w:pPr>
        <w:rPr>
          <w:rFonts w:ascii="Book Antiqua" w:hAnsi="Book Antiqua"/>
        </w:rPr>
      </w:pPr>
      <w:r w:rsidRPr="009F41DB">
        <w:rPr>
          <w:rFonts w:ascii="Book Antiqua" w:hAnsi="Book Antiqua"/>
        </w:rPr>
        <w:t>Figure 3. Top ten product categories by displayed payment value.</w:t>
      </w:r>
    </w:p>
    <w:p w14:paraId="2210EDEE" w14:textId="77777777" w:rsidR="00DF3A05" w:rsidRPr="009F41DB" w:rsidRDefault="00EB77C4">
      <w:pPr>
        <w:jc w:val="center"/>
        <w:rPr>
          <w:rFonts w:ascii="Book Antiqua" w:hAnsi="Book Antiqua"/>
        </w:rPr>
      </w:pPr>
      <w:r w:rsidRPr="009F41DB">
        <w:rPr>
          <w:rFonts w:ascii="Book Antiqua" w:hAnsi="Book Antiqua"/>
          <w:noProof/>
        </w:rPr>
        <w:lastRenderedPageBreak/>
        <w:drawing>
          <wp:inline distT="0" distB="0" distL="0" distR="0" wp14:anchorId="2AF2956B" wp14:editId="375B0117">
            <wp:extent cx="5669280" cy="27963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categories_revenue.png"/>
                    <pic:cNvPicPr/>
                  </pic:nvPicPr>
                  <pic:blipFill>
                    <a:blip r:embed="rId8"/>
                    <a:stretch>
                      <a:fillRect/>
                    </a:stretch>
                  </pic:blipFill>
                  <pic:spPr>
                    <a:xfrm>
                      <a:off x="0" y="0"/>
                      <a:ext cx="5669280" cy="2796334"/>
                    </a:xfrm>
                    <a:prstGeom prst="rect">
                      <a:avLst/>
                    </a:prstGeom>
                  </pic:spPr>
                </pic:pic>
              </a:graphicData>
            </a:graphic>
          </wp:inline>
        </w:drawing>
      </w:r>
    </w:p>
    <w:p w14:paraId="7E847F2D" w14:textId="77777777" w:rsidR="00DF3A05" w:rsidRPr="009F41DB" w:rsidRDefault="00EB77C4">
      <w:pPr>
        <w:rPr>
          <w:rFonts w:ascii="Book Antiqua" w:hAnsi="Book Antiqua"/>
        </w:rPr>
      </w:pPr>
      <w:r w:rsidRPr="009F41DB">
        <w:rPr>
          <w:rFonts w:ascii="Book Antiqua" w:hAnsi="Book Antiqua"/>
        </w:rPr>
        <w:t>Figure 4. Merged-table row counts by customer state, not validated distinct orders.</w:t>
      </w:r>
    </w:p>
    <w:p w14:paraId="3C0FD8A2" w14:textId="77777777" w:rsidR="00DF3A05" w:rsidRPr="009F41DB" w:rsidRDefault="00EB77C4">
      <w:pPr>
        <w:jc w:val="center"/>
        <w:rPr>
          <w:rFonts w:ascii="Book Antiqua" w:hAnsi="Book Antiqua"/>
        </w:rPr>
      </w:pPr>
      <w:r w:rsidRPr="009F41DB">
        <w:rPr>
          <w:rFonts w:ascii="Book Antiqua" w:hAnsi="Book Antiqua"/>
          <w:noProof/>
        </w:rPr>
        <w:drawing>
          <wp:inline distT="0" distB="0" distL="0" distR="0" wp14:anchorId="39459351" wp14:editId="3D315A99">
            <wp:extent cx="5669280" cy="2392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ders_by_state.png"/>
                    <pic:cNvPicPr/>
                  </pic:nvPicPr>
                  <pic:blipFill>
                    <a:blip r:embed="rId9"/>
                    <a:stretch>
                      <a:fillRect/>
                    </a:stretch>
                  </pic:blipFill>
                  <pic:spPr>
                    <a:xfrm>
                      <a:off x="0" y="0"/>
                      <a:ext cx="5669280" cy="2392240"/>
                    </a:xfrm>
                    <a:prstGeom prst="rect">
                      <a:avLst/>
                    </a:prstGeom>
                  </pic:spPr>
                </pic:pic>
              </a:graphicData>
            </a:graphic>
          </wp:inline>
        </w:drawing>
      </w:r>
    </w:p>
    <w:p w14:paraId="46F69F49" w14:textId="77777777" w:rsidR="00DF3A05" w:rsidRPr="009F41DB" w:rsidRDefault="00EB77C4">
      <w:pPr>
        <w:rPr>
          <w:rFonts w:ascii="Book Antiqua" w:hAnsi="Book Antiqua"/>
        </w:rPr>
      </w:pPr>
      <w:r w:rsidRPr="009F41DB">
        <w:rPr>
          <w:rFonts w:ascii="Book Antiqua" w:hAnsi="Book Antiqua"/>
        </w:rPr>
        <w:t>Figure 5. Distribution of payment-method records.</w:t>
      </w:r>
    </w:p>
    <w:p w14:paraId="7E498497" w14:textId="77777777" w:rsidR="00DF3A05" w:rsidRPr="009F41DB" w:rsidRDefault="00EB77C4">
      <w:pPr>
        <w:jc w:val="center"/>
        <w:rPr>
          <w:rFonts w:ascii="Book Antiqua" w:hAnsi="Book Antiqua"/>
        </w:rPr>
      </w:pPr>
      <w:r w:rsidRPr="009F41DB">
        <w:rPr>
          <w:rFonts w:ascii="Book Antiqua" w:hAnsi="Book Antiqua"/>
          <w:noProof/>
        </w:rPr>
        <w:lastRenderedPageBreak/>
        <w:drawing>
          <wp:inline distT="0" distB="0" distL="0" distR="0" wp14:anchorId="296D870F" wp14:editId="69E31E5E">
            <wp:extent cx="5669280" cy="33646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yment_methods.png"/>
                    <pic:cNvPicPr/>
                  </pic:nvPicPr>
                  <pic:blipFill>
                    <a:blip r:embed="rId10"/>
                    <a:stretch>
                      <a:fillRect/>
                    </a:stretch>
                  </pic:blipFill>
                  <pic:spPr>
                    <a:xfrm>
                      <a:off x="0" y="0"/>
                      <a:ext cx="5669280" cy="3364695"/>
                    </a:xfrm>
                    <a:prstGeom prst="rect">
                      <a:avLst/>
                    </a:prstGeom>
                  </pic:spPr>
                </pic:pic>
              </a:graphicData>
            </a:graphic>
          </wp:inline>
        </w:drawing>
      </w:r>
    </w:p>
    <w:p w14:paraId="65708339" w14:textId="77777777" w:rsidR="00DF3A05" w:rsidRPr="009F41DB" w:rsidRDefault="00EB77C4">
      <w:pPr>
        <w:rPr>
          <w:rFonts w:ascii="Book Antiqua" w:hAnsi="Book Antiqua"/>
        </w:rPr>
      </w:pPr>
      <w:r w:rsidRPr="009F41DB">
        <w:rPr>
          <w:rFonts w:ascii="Book Antiqua" w:hAnsi="Book Antiqua"/>
        </w:rPr>
        <w:t>Figure 6. Customer tiers from the notebook's RFM scoring rules.</w:t>
      </w:r>
    </w:p>
    <w:p w14:paraId="286710FA" w14:textId="77777777" w:rsidR="00DF3A05" w:rsidRPr="009F41DB" w:rsidRDefault="00EB77C4">
      <w:pPr>
        <w:jc w:val="center"/>
        <w:rPr>
          <w:rFonts w:ascii="Book Antiqua" w:hAnsi="Book Antiqua"/>
        </w:rPr>
      </w:pPr>
      <w:r w:rsidRPr="009F41DB">
        <w:rPr>
          <w:rFonts w:ascii="Book Antiqua" w:hAnsi="Book Antiqua"/>
          <w:noProof/>
        </w:rPr>
        <w:drawing>
          <wp:inline distT="0" distB="0" distL="0" distR="0" wp14:anchorId="4910E6C5" wp14:editId="2871FF9D">
            <wp:extent cx="5669280" cy="33646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m_customer_tiers.png"/>
                    <pic:cNvPicPr/>
                  </pic:nvPicPr>
                  <pic:blipFill>
                    <a:blip r:embed="rId11"/>
                    <a:stretch>
                      <a:fillRect/>
                    </a:stretch>
                  </pic:blipFill>
                  <pic:spPr>
                    <a:xfrm>
                      <a:off x="0" y="0"/>
                      <a:ext cx="5669280" cy="3364695"/>
                    </a:xfrm>
                    <a:prstGeom prst="rect">
                      <a:avLst/>
                    </a:prstGeom>
                  </pic:spPr>
                </pic:pic>
              </a:graphicData>
            </a:graphic>
          </wp:inline>
        </w:drawing>
      </w:r>
    </w:p>
    <w:p w14:paraId="1503168C" w14:textId="77777777" w:rsidR="00DF3A05" w:rsidRPr="009F41DB" w:rsidRDefault="00EB77C4">
      <w:pPr>
        <w:rPr>
          <w:rFonts w:ascii="Book Antiqua" w:hAnsi="Book Antiqua"/>
        </w:rPr>
      </w:pPr>
      <w:r w:rsidRPr="009F41DB">
        <w:rPr>
          <w:rFonts w:ascii="Book Antiqua" w:hAnsi="Book Antiqua"/>
        </w:rPr>
        <w:t>Figure 7. Difference between estimated and actual delivery dates.</w:t>
      </w:r>
    </w:p>
    <w:p w14:paraId="3284B687" w14:textId="77777777" w:rsidR="00DF3A05" w:rsidRPr="009F41DB" w:rsidRDefault="00EB77C4">
      <w:pPr>
        <w:jc w:val="center"/>
        <w:rPr>
          <w:rFonts w:ascii="Book Antiqua" w:hAnsi="Book Antiqua"/>
        </w:rPr>
      </w:pPr>
      <w:r w:rsidRPr="009F41DB">
        <w:rPr>
          <w:rFonts w:ascii="Book Antiqua" w:hAnsi="Book Antiqua"/>
          <w:noProof/>
        </w:rPr>
        <w:lastRenderedPageBreak/>
        <w:drawing>
          <wp:inline distT="0" distB="0" distL="0" distR="0" wp14:anchorId="38680107" wp14:editId="08FC3EF7">
            <wp:extent cx="5669280" cy="33681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ivery_gap_distribution.png"/>
                    <pic:cNvPicPr/>
                  </pic:nvPicPr>
                  <pic:blipFill>
                    <a:blip r:embed="rId12"/>
                    <a:stretch>
                      <a:fillRect/>
                    </a:stretch>
                  </pic:blipFill>
                  <pic:spPr>
                    <a:xfrm>
                      <a:off x="0" y="0"/>
                      <a:ext cx="5669280" cy="3368118"/>
                    </a:xfrm>
                    <a:prstGeom prst="rect">
                      <a:avLst/>
                    </a:prstGeom>
                  </pic:spPr>
                </pic:pic>
              </a:graphicData>
            </a:graphic>
          </wp:inline>
        </w:drawing>
      </w:r>
    </w:p>
    <w:p w14:paraId="285B1F54" w14:textId="77777777" w:rsidR="00DF3A05" w:rsidRPr="009F41DB" w:rsidRDefault="00EB77C4">
      <w:pPr>
        <w:rPr>
          <w:rFonts w:ascii="Book Antiqua" w:hAnsi="Book Antiqua"/>
        </w:rPr>
      </w:pPr>
      <w:r w:rsidRPr="009F41DB">
        <w:rPr>
          <w:rFonts w:ascii="Book Antiqua" w:hAnsi="Book Antiqua"/>
        </w:rPr>
        <w:t>Figure 8. Late-delivery percentage by customer state.</w:t>
      </w:r>
    </w:p>
    <w:p w14:paraId="4ACD9B87" w14:textId="77777777" w:rsidR="00DF3A05" w:rsidRPr="009F41DB" w:rsidRDefault="00EB77C4">
      <w:pPr>
        <w:jc w:val="center"/>
        <w:rPr>
          <w:rFonts w:ascii="Book Antiqua" w:hAnsi="Book Antiqua"/>
        </w:rPr>
      </w:pPr>
      <w:r w:rsidRPr="009F41DB">
        <w:rPr>
          <w:rFonts w:ascii="Book Antiqua" w:hAnsi="Book Antiqua"/>
          <w:noProof/>
        </w:rPr>
        <w:drawing>
          <wp:inline distT="0" distB="0" distL="0" distR="0" wp14:anchorId="50083FE7" wp14:editId="67886745">
            <wp:extent cx="5669280" cy="23922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_delivery_by_state.png"/>
                    <pic:cNvPicPr/>
                  </pic:nvPicPr>
                  <pic:blipFill>
                    <a:blip r:embed="rId13"/>
                    <a:stretch>
                      <a:fillRect/>
                    </a:stretch>
                  </pic:blipFill>
                  <pic:spPr>
                    <a:xfrm>
                      <a:off x="0" y="0"/>
                      <a:ext cx="5669280" cy="2392240"/>
                    </a:xfrm>
                    <a:prstGeom prst="rect">
                      <a:avLst/>
                    </a:prstGeom>
                  </pic:spPr>
                </pic:pic>
              </a:graphicData>
            </a:graphic>
          </wp:inline>
        </w:drawing>
      </w:r>
    </w:p>
    <w:p w14:paraId="4CD464DB" w14:textId="77777777" w:rsidR="00DF3A05" w:rsidRPr="009F41DB" w:rsidRDefault="00EB77C4">
      <w:pPr>
        <w:rPr>
          <w:rFonts w:ascii="Book Antiqua" w:hAnsi="Book Antiqua"/>
        </w:rPr>
      </w:pPr>
      <w:r w:rsidRPr="009F41DB">
        <w:rPr>
          <w:rFonts w:ascii="Book Antiqua" w:hAnsi="Book Antiqua"/>
        </w:rPr>
        <w:t>Figure 9. Cohort retention heatmap. Colour scale requires correction.</w:t>
      </w:r>
    </w:p>
    <w:p w14:paraId="0B2E0519" w14:textId="77777777" w:rsidR="00DF3A05" w:rsidRPr="009F41DB" w:rsidRDefault="00EB77C4">
      <w:pPr>
        <w:jc w:val="center"/>
        <w:rPr>
          <w:rFonts w:ascii="Book Antiqua" w:hAnsi="Book Antiqua"/>
        </w:rPr>
      </w:pPr>
      <w:r w:rsidRPr="009F41DB">
        <w:rPr>
          <w:rFonts w:ascii="Book Antiqua" w:hAnsi="Book Antiqua"/>
          <w:noProof/>
        </w:rPr>
        <w:lastRenderedPageBreak/>
        <w:drawing>
          <wp:inline distT="0" distB="0" distL="0" distR="0" wp14:anchorId="76EEA08C" wp14:editId="3B921CEF">
            <wp:extent cx="5669280" cy="37735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hort_retention_heatmap.png"/>
                    <pic:cNvPicPr/>
                  </pic:nvPicPr>
                  <pic:blipFill>
                    <a:blip r:embed="rId14"/>
                    <a:stretch>
                      <a:fillRect/>
                    </a:stretch>
                  </pic:blipFill>
                  <pic:spPr>
                    <a:xfrm>
                      <a:off x="0" y="0"/>
                      <a:ext cx="5669280" cy="3773587"/>
                    </a:xfrm>
                    <a:prstGeom prst="rect">
                      <a:avLst/>
                    </a:prstGeom>
                  </pic:spPr>
                </pic:pic>
              </a:graphicData>
            </a:graphic>
          </wp:inline>
        </w:drawing>
      </w:r>
    </w:p>
    <w:p w14:paraId="7F8633E5" w14:textId="77777777" w:rsidR="00DF3A05" w:rsidRPr="009F41DB" w:rsidRDefault="00EB77C4">
      <w:pPr>
        <w:rPr>
          <w:rFonts w:ascii="Book Antiqua" w:hAnsi="Book Antiqua"/>
        </w:rPr>
      </w:pPr>
      <w:r w:rsidRPr="009F41DB">
        <w:rPr>
          <w:rFonts w:ascii="Book Antiqua" w:hAnsi="Book Antiqua"/>
        </w:rPr>
        <w:t>Figure 10. Distribution of review scores.</w:t>
      </w:r>
    </w:p>
    <w:p w14:paraId="5A81D1A6" w14:textId="77777777" w:rsidR="00DF3A05" w:rsidRPr="009F41DB" w:rsidRDefault="00EB77C4">
      <w:pPr>
        <w:jc w:val="center"/>
        <w:rPr>
          <w:rFonts w:ascii="Book Antiqua" w:hAnsi="Book Antiqua"/>
        </w:rPr>
      </w:pPr>
      <w:r w:rsidRPr="009F41DB">
        <w:rPr>
          <w:rFonts w:ascii="Book Antiqua" w:hAnsi="Book Antiqua"/>
          <w:noProof/>
        </w:rPr>
        <w:drawing>
          <wp:inline distT="0" distB="0" distL="0" distR="0" wp14:anchorId="6F6CE340" wp14:editId="3F56F3B4">
            <wp:extent cx="5669280" cy="422303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score_distribution.png"/>
                    <pic:cNvPicPr/>
                  </pic:nvPicPr>
                  <pic:blipFill>
                    <a:blip r:embed="rId15"/>
                    <a:stretch>
                      <a:fillRect/>
                    </a:stretch>
                  </pic:blipFill>
                  <pic:spPr>
                    <a:xfrm>
                      <a:off x="0" y="0"/>
                      <a:ext cx="5669280" cy="4223035"/>
                    </a:xfrm>
                    <a:prstGeom prst="rect">
                      <a:avLst/>
                    </a:prstGeom>
                  </pic:spPr>
                </pic:pic>
              </a:graphicData>
            </a:graphic>
          </wp:inline>
        </w:drawing>
      </w:r>
    </w:p>
    <w:p w14:paraId="4154B814" w14:textId="77777777" w:rsidR="00DF3A05" w:rsidRPr="009F41DB" w:rsidRDefault="00EB77C4">
      <w:pPr>
        <w:rPr>
          <w:rFonts w:ascii="Book Antiqua" w:hAnsi="Book Antiqua"/>
        </w:rPr>
      </w:pPr>
      <w:r w:rsidRPr="009F41DB">
        <w:rPr>
          <w:rFonts w:ascii="Book Antiqua" w:hAnsi="Book Antiqua"/>
        </w:rPr>
        <w:t>Figure 11. Average review score by delivery status.</w:t>
      </w:r>
    </w:p>
    <w:p w14:paraId="6A26AAE2" w14:textId="77777777" w:rsidR="00DF3A05" w:rsidRPr="009F41DB" w:rsidRDefault="00EB77C4">
      <w:pPr>
        <w:jc w:val="center"/>
        <w:rPr>
          <w:rFonts w:ascii="Book Antiqua" w:hAnsi="Book Antiqua"/>
        </w:rPr>
      </w:pPr>
      <w:r w:rsidRPr="009F41DB">
        <w:rPr>
          <w:rFonts w:ascii="Book Antiqua" w:hAnsi="Book Antiqua"/>
          <w:noProof/>
        </w:rPr>
        <w:lastRenderedPageBreak/>
        <w:drawing>
          <wp:inline distT="0" distB="0" distL="0" distR="0" wp14:anchorId="05D01823" wp14:editId="1B3A9EBB">
            <wp:extent cx="5669280" cy="42230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iew_by_delivery_status.png"/>
                    <pic:cNvPicPr/>
                  </pic:nvPicPr>
                  <pic:blipFill>
                    <a:blip r:embed="rId16"/>
                    <a:stretch>
                      <a:fillRect/>
                    </a:stretch>
                  </pic:blipFill>
                  <pic:spPr>
                    <a:xfrm>
                      <a:off x="0" y="0"/>
                      <a:ext cx="5669280" cy="4223035"/>
                    </a:xfrm>
                    <a:prstGeom prst="rect">
                      <a:avLst/>
                    </a:prstGeom>
                  </pic:spPr>
                </pic:pic>
              </a:graphicData>
            </a:graphic>
          </wp:inline>
        </w:drawing>
      </w:r>
    </w:p>
    <w:sectPr w:rsidR="00DF3A05" w:rsidRPr="009F41DB"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1331020">
    <w:abstractNumId w:val="8"/>
  </w:num>
  <w:num w:numId="2" w16cid:durableId="128403988">
    <w:abstractNumId w:val="6"/>
  </w:num>
  <w:num w:numId="3" w16cid:durableId="1883904423">
    <w:abstractNumId w:val="5"/>
  </w:num>
  <w:num w:numId="4" w16cid:durableId="433791752">
    <w:abstractNumId w:val="4"/>
  </w:num>
  <w:num w:numId="5" w16cid:durableId="1849711791">
    <w:abstractNumId w:val="7"/>
  </w:num>
  <w:num w:numId="6" w16cid:durableId="1010333094">
    <w:abstractNumId w:val="3"/>
  </w:num>
  <w:num w:numId="7" w16cid:durableId="577979838">
    <w:abstractNumId w:val="2"/>
  </w:num>
  <w:num w:numId="8" w16cid:durableId="1987706897">
    <w:abstractNumId w:val="1"/>
  </w:num>
  <w:num w:numId="9" w16cid:durableId="1957744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2846"/>
    <w:rsid w:val="009F41DB"/>
    <w:rsid w:val="00AA1D8D"/>
    <w:rsid w:val="00B47730"/>
    <w:rsid w:val="00C0191C"/>
    <w:rsid w:val="00CB0664"/>
    <w:rsid w:val="00DF3A05"/>
    <w:rsid w:val="00EB77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9344ECE-CC00-41CF-9105-67D11CBEE4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752846"/>
    <w:pPr>
      <w:keepNext/>
      <w:keepLines/>
      <w:spacing w:before="480" w:after="0"/>
      <w:jc w:val="center"/>
      <w:outlineLvl w:val="0"/>
    </w:pPr>
    <w:rPr>
      <w:rFonts w:ascii="Book Antiqua" w:eastAsiaTheme="majorEastAsia" w:hAnsi="Book Antiqua" w:cstheme="majorBidi"/>
      <w:b/>
      <w:bCs/>
      <w:color w:val="0D0D0D" w:themeColor="text1" w:themeTint="F2"/>
      <w:sz w:val="32"/>
      <w:szCs w:val="28"/>
    </w:rPr>
  </w:style>
  <w:style w:type="paragraph" w:styleId="Heading2">
    <w:name w:val="heading 2"/>
    <w:basedOn w:val="Normal"/>
    <w:next w:val="Normal"/>
    <w:link w:val="Heading2Char"/>
    <w:uiPriority w:val="9"/>
    <w:unhideWhenUsed/>
    <w:qFormat/>
    <w:rsid w:val="009F41DB"/>
    <w:pPr>
      <w:keepNext/>
      <w:keepLines/>
      <w:spacing w:before="200" w:after="0"/>
      <w:outlineLvl w:val="1"/>
    </w:pPr>
    <w:rPr>
      <w:rFonts w:ascii="Book Antiqua" w:eastAsiaTheme="majorEastAsia" w:hAnsi="Book Antiqua" w:cstheme="majorBidi"/>
      <w:b/>
      <w:bCs/>
      <w:color w:val="000000" w:themeColor="text1"/>
      <w:sz w:val="28"/>
      <w:szCs w:val="26"/>
    </w:rPr>
  </w:style>
  <w:style w:type="paragraph" w:styleId="Heading3">
    <w:name w:val="heading 3"/>
    <w:basedOn w:val="Normal"/>
    <w:next w:val="Normal"/>
    <w:link w:val="Heading3Char"/>
    <w:uiPriority w:val="9"/>
    <w:unhideWhenUsed/>
    <w:qFormat/>
    <w:rsid w:val="009F41DB"/>
    <w:pPr>
      <w:keepNext/>
      <w:keepLines/>
      <w:spacing w:before="200" w:after="0"/>
      <w:outlineLvl w:val="2"/>
    </w:pPr>
    <w:rPr>
      <w:rFonts w:ascii="Book Antiqua" w:eastAsiaTheme="majorEastAsia" w:hAnsi="Book Antiqua" w:cstheme="majorBidi"/>
      <w:b/>
      <w:bCs/>
      <w:color w:val="000000" w:themeColor="tex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52846"/>
    <w:rPr>
      <w:rFonts w:ascii="Book Antiqua" w:eastAsiaTheme="majorEastAsia" w:hAnsi="Book Antiqua" w:cstheme="majorBidi"/>
      <w:b/>
      <w:bCs/>
      <w:color w:val="0D0D0D" w:themeColor="text1" w:themeTint="F2"/>
      <w:sz w:val="32"/>
      <w:szCs w:val="28"/>
    </w:rPr>
  </w:style>
  <w:style w:type="character" w:customStyle="1" w:styleId="Heading2Char">
    <w:name w:val="Heading 2 Char"/>
    <w:basedOn w:val="DefaultParagraphFont"/>
    <w:link w:val="Heading2"/>
    <w:uiPriority w:val="9"/>
    <w:rsid w:val="009F41DB"/>
    <w:rPr>
      <w:rFonts w:ascii="Book Antiqua" w:eastAsiaTheme="majorEastAsia" w:hAnsi="Book Antiqua" w:cstheme="majorBidi"/>
      <w:b/>
      <w:bCs/>
      <w:color w:val="000000" w:themeColor="text1"/>
      <w:sz w:val="28"/>
      <w:szCs w:val="26"/>
    </w:rPr>
  </w:style>
  <w:style w:type="character" w:customStyle="1" w:styleId="Heading3Char">
    <w:name w:val="Heading 3 Char"/>
    <w:basedOn w:val="DefaultParagraphFont"/>
    <w:link w:val="Heading3"/>
    <w:uiPriority w:val="9"/>
    <w:rsid w:val="009F41DB"/>
    <w:rPr>
      <w:rFonts w:ascii="Book Antiqua" w:eastAsiaTheme="majorEastAsia" w:hAnsi="Book Antiqua" w:cstheme="majorBidi"/>
      <w:b/>
      <w:bCs/>
      <w:color w:val="000000" w:themeColor="tex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9</Pages>
  <Words>1323</Words>
  <Characters>7546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alexander Dape</cp:lastModifiedBy>
  <cp:revision>3</cp:revision>
  <dcterms:created xsi:type="dcterms:W3CDTF">2013-12-23T23:15:00Z</dcterms:created>
  <dcterms:modified xsi:type="dcterms:W3CDTF">2026-10-23T13:23:00Z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7dd48438-6997-4aae-9319-c109262b058f</vt:lpwstr>
  </property>
</Properties>
</file>