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WithEffects.xml" ContentType="application/vnd.ms-word.stylesWithEffect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rPr>
          <w:color w:val="000000" w:themeColor="dk1"/>
        </w:rPr>
      </w:pPr>
    </w:p>
    <w:p w14:paraId="00000002">
      <w:pPr>
        <w:jc w:val="center"/>
        <w:rPr>
          <w:color w:val="000000" w:themeColor="dk1"/>
        </w:rPr>
      </w:pPr>
      <w:r>
        <w:rPr>
          <w:rFonts w:ascii="Times New Roman" w:hAnsi="Times New Roman"/>
          <w:b/>
          <w:color w:val="000000" w:themeColor="dk1"/>
          <w:sz w:val="52"/>
        </w:rPr>
        <w:t>ПЛАН ПРОЕКТА</w:t>
      </w:r>
    </w:p>
    <w:p w14:paraId="00000003">
      <w:pPr>
        <w:jc w:val="center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40"/>
        </w:rPr>
        <w:t>Классификатор обращений граждан Омской области</w:t>
      </w:r>
    </w:p>
    <w:p w14:paraId="00000004">
      <w:pPr>
        <w:jc w:val="center"/>
        <w:rPr>
          <w:color w:val="000000" w:themeColor="dk1"/>
        </w:rPr>
      </w:pPr>
    </w:p>
    <w:p w14:paraId="00000005">
      <w:pPr>
        <w:rPr>
          <w:color w:val="000000" w:themeColor="dk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835"/>
        <w:gridCol w:w="6236"/>
      </w:tblGrid>
      <w:tr>
        <w:trPr>
          <w:cnfStyle w:val="100000000000"/>
        </w:trPr>
        <w:tc>
          <w:tcPr>
            <w:cnfStyle w:val="10100000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Команда</w:t>
            </w:r>
          </w:p>
        </w:tc>
        <w:tc>
          <w:tcPr>
            <w:cnfStyle w:val="10000000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SuperBeavers</w:t>
            </w: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Участники</w:t>
            </w:r>
          </w:p>
        </w:tc>
        <w:tc>
          <w:tcPr>
            <w:cnfStyle w:val="00000010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9">
            <w:pPr>
              <w:rPr>
                <w:rFonts w:ascii="Times New Roman" w:hAnsi="Times New Roman"/>
                <w:b w:val="off"/>
                <w:color w:val="000000" w:themeColor="dk1"/>
                <w:sz w:val="22"/>
              </w:rPr>
            </w:pPr>
          </w:p>
          <w:p w14:paraId="0000000A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Зубкова Анастасия Сергеевна; Горбунова Анна Анатольевна; Манохин Ярослав Алексеевич</w:t>
            </w:r>
          </w:p>
          <w:p w14:paraId="0000000B">
            <w:pPr>
              <w:rPr>
                <w:color w:val="000000" w:themeColor="dk1"/>
              </w:rPr>
            </w:pPr>
          </w:p>
        </w:tc>
      </w:tr>
      <w:tr>
        <w:trPr>
          <w:cnfStyle w:val="000000010000"/>
        </w:trPr>
        <w:tc>
          <w:tcPr>
            <w:cnfStyle w:val="00100001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C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Стек</w:t>
            </w:r>
          </w:p>
        </w:tc>
        <w:tc>
          <w:tcPr>
            <w:cnfStyle w:val="00000001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0D">
            <w:pPr>
              <w:rPr>
                <w:rFonts w:ascii="Times New Roman" w:hAnsi="Times New Roman"/>
                <w:b w:val="off"/>
                <w:color w:val="000000" w:themeColor="dk1"/>
                <w:sz w:val="22"/>
              </w:rPr>
            </w:pPr>
          </w:p>
          <w:p w14:paraId="0000000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FastAPI + React/Vite + PostgreSQL + Ollama + sentence-transformers</w:t>
            </w:r>
          </w:p>
          <w:p w14:paraId="0000000F">
            <w:pPr>
              <w:rPr>
                <w:color w:val="000000" w:themeColor="dk1"/>
              </w:rPr>
            </w:pP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Модель</w:t>
            </w:r>
          </w:p>
        </w:tc>
        <w:tc>
          <w:tcPr>
            <w:cnfStyle w:val="00000010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 для LLM-задач, bge-m3 для эмбеддингов</w:t>
            </w:r>
          </w:p>
        </w:tc>
      </w:tr>
      <w:tr>
        <w:trPr>
          <w:cnfStyle w:val="000000010000"/>
        </w:trPr>
        <w:tc>
          <w:tcPr>
            <w:cnfStyle w:val="00100001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2">
            <w:pPr>
              <w:rPr>
                <w:color w:val="000000" w:themeColor="dk1"/>
              </w:rPr>
            </w:pPr>
            <w:r>
              <w:rPr>
                <w:b/>
                <w:bCs/>
                <w:color w:val="000000" w:themeColor="dk1"/>
              </w:rPr>
              <w:t xml:space="preserve">Github </w:t>
            </w:r>
            <w:r>
              <w:rPr>
                <w:b/>
                <w:bCs/>
                <w:color w:val="000000" w:themeColor="dk1"/>
                <w:lang w:val="ru-RU"/>
              </w:rPr>
              <w:t>проекта</w:t>
            </w:r>
          </w:p>
        </w:tc>
        <w:tc>
          <w:tcPr>
            <w:cnfStyle w:val="00000001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3">
            <w:pPr>
              <w:pStyle w:val="ListNumber"/>
              <w:numPr>
                <w:ilvl w:val="0"/>
                <w:numId w:val="0"/>
              </w:numPr>
              <w:spacing w:after="60"/>
              <w:ind w:left="0" w:right="0" w:firstLine="0"/>
              <w:rPr>
                <w:rFonts w:ascii="Times New Roman" w:hAnsi="Times New Roman"/>
                <w:b/>
                <w:bCs/>
                <w:color w:val="000000" w:themeColor="dk1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 w:themeColor="dk1"/>
                <w:sz w:val="28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off"/>
                <w:bCs w:val="off"/>
                <w:color w:val="000000" w:themeColor="dk1"/>
                <w:sz w:val="22"/>
                <w:szCs w:val="20"/>
                <w:lang w:val="ru-RU"/>
              </w:rPr>
              <w:t>https://github.com/Anzerone/SuperBeavers-DigitalHack/tree/master</w:t>
            </w:r>
          </w:p>
          <w:p w14:paraId="00000014">
            <w:pPr>
              <w:rPr>
                <w:color w:val="000000" w:themeColor="dk1"/>
              </w:rPr>
            </w:pP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5">
            <w:pPr>
              <w:rPr>
                <w:color w:val="000000" w:themeColor="dk1"/>
              </w:rPr>
            </w:pPr>
          </w:p>
        </w:tc>
        <w:tc>
          <w:tcPr>
            <w:cnfStyle w:val="00000010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6">
            <w:pPr>
              <w:rPr>
                <w:color w:val="000000" w:themeColor="dk1"/>
              </w:rPr>
            </w:pPr>
          </w:p>
        </w:tc>
      </w:tr>
      <w:tr>
        <w:trPr>
          <w:cnfStyle w:val="000000010000"/>
        </w:trPr>
        <w:tc>
          <w:tcPr>
            <w:cnfStyle w:val="00100001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7">
            <w:pPr>
              <w:rPr>
                <w:color w:val="000000" w:themeColor="dk1"/>
              </w:rPr>
            </w:pPr>
          </w:p>
        </w:tc>
        <w:tc>
          <w:tcPr>
            <w:cnfStyle w:val="00000001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8">
            <w:pPr>
              <w:rPr>
                <w:color w:val="000000" w:themeColor="dk1"/>
              </w:rPr>
            </w:pP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9">
            <w:pPr>
              <w:rPr>
                <w:color w:val="000000" w:themeColor="dk1"/>
              </w:rPr>
            </w:pPr>
          </w:p>
        </w:tc>
        <w:tc>
          <w:tcPr>
            <w:cnfStyle w:val="000000100000"/>
            <w:tcW w:w="6236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center"/>
          </w:tcPr>
          <w:p w14:paraId="0000001A">
            <w:pPr>
              <w:rPr>
                <w:color w:val="000000" w:themeColor="dk1"/>
              </w:rPr>
            </w:pPr>
          </w:p>
        </w:tc>
      </w:tr>
    </w:tbl>
    <w:p w14:paraId="0000001B">
      <w:pPr>
        <w:rPr>
          <w:color w:val="000000" w:themeColor="dk1"/>
        </w:rPr>
      </w:pPr>
    </w:p>
    <w:p w14:paraId="0000001C">
      <w:pPr>
        <w:rPr>
          <w:color w:val="000000" w:themeColor="dk1"/>
        </w:rPr>
      </w:pPr>
    </w:p>
    <w:p w14:paraId="0000001D">
      <w:pPr>
        <w:rPr>
          <w:color w:val="000000" w:themeColor="dk1"/>
        </w:rPr>
      </w:pPr>
    </w:p>
    <w:p w14:paraId="0000001E">
      <w:pPr>
        <w:rPr>
          <w:color w:val="000000" w:themeColor="dk1"/>
        </w:rPr>
      </w:pPr>
    </w:p>
    <w:p w14:paraId="0000001F">
      <w:pPr>
        <w:rPr>
          <w:color w:val="000000" w:themeColor="dk1"/>
        </w:rPr>
      </w:pPr>
    </w:p>
    <w:p w14:paraId="00000020">
      <w:pPr>
        <w:rPr>
          <w:color w:val="000000" w:themeColor="dk1"/>
        </w:rPr>
      </w:pPr>
    </w:p>
    <w:p w14:paraId="00000021">
      <w:pPr>
        <w:rPr>
          <w:color w:val="000000" w:themeColor="dk1"/>
        </w:rPr>
      </w:pPr>
    </w:p>
    <w:p w14:paraId="00000022">
      <w:pPr>
        <w:rPr>
          <w:color w:val="000000" w:themeColor="dk1"/>
        </w:rPr>
      </w:pPr>
    </w:p>
    <w:p w14:paraId="00000023">
      <w:pPr>
        <w:rPr>
          <w:color w:val="000000" w:themeColor="dk1"/>
        </w:rPr>
      </w:pPr>
    </w:p>
    <w:p w14:paraId="00000024">
      <w:pPr>
        <w:rPr>
          <w:color w:val="000000" w:themeColor="dk1"/>
        </w:rPr>
      </w:pPr>
    </w:p>
    <w:p w14:paraId="00000025">
      <w:pPr>
        <w:rPr>
          <w:color w:val="000000" w:themeColor="dk1"/>
        </w:rPr>
      </w:pPr>
    </w:p>
    <w:p w14:paraId="00000026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1. Контекст проекта</w:t>
      </w:r>
    </w:p>
    <w:p w14:paraId="00000027">
      <w:pPr>
        <w:spacing w:after="120"/>
        <w:rPr>
          <w:rFonts w:ascii="Times New Roman" w:hAnsi="Times New Roman"/>
          <w:b w:val="off"/>
          <w:i w:val="off"/>
          <w:color w:val="000000" w:themeColor="dk1"/>
          <w:sz w:val="24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Проект решает задачу автоматического анализа примерно 400 000 обращений граждан Омской области. </w:t>
      </w:r>
    </w:p>
    <w:p w14:paraId="00000028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  <w:u w:val="single"/>
        </w:rPr>
        <w:t>Целевая аудитория: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 руководство органов власти и аналитики, которым нужно быстро видеть проблемные районы, повторяющиеся темы, тяжесть обращений и готовые выгрузки для дальнейшей работы.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u w:val="single"/>
          <w:rtl w:val="off"/>
          <w:lang w:val="en-US"/>
        </w:rPr>
        <w:t>Практический сценарий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>: аналитик загружает Excel, через дашборд получает топ проблемных районов, распределение по тяжести и категориям, затем выгружает отчёт для руководства. Вместо ручного просмотра десятков тысяч обращений система сразу показывает, где концентрируются проблемы.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</w:rPr>
      </w:pPr>
    </w:p>
    <w:p w14:paraId="0000002B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</w:rPr>
        <w:t>Решение: веб-приложение FastAPI + React/Vite. Пользователь загружает Excel, запускает обработку, получает классификацию обращений, кластеры проблем по муниципалитетам, интерактивные графики, таблицы, экспорт в XLSX и чатбота для вопросов к данным.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u w:val="single"/>
          <w:rtl w:val="off"/>
          <w:lang w:val="en-US"/>
        </w:rPr>
        <w:t>Ядро MVP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 xml:space="preserve">: загрузка Excel, фильтрация входных данных, классификация “проблема / не проблема”, определение тяжести, топ районов, таблица обращений и экспорт отчёта. Чатбот и drill-down - дополнительный слой, который усиливает демо, но не является критичным для работоспособного MVP.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  <w:t xml:space="preserve">На 09.06 все основные кейсы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 xml:space="preserve">MVP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  <w:t xml:space="preserve">будут реализованы на продуктовом уровне, все остальные кейсы будут реализованы на уровне дополнительного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>MVP.</w:t>
      </w:r>
    </w:p>
    <w:p w14:paraId="0000002D">
      <w:pPr>
        <w:spacing w:after="120"/>
        <w:rPr>
          <w:color w:val="000000" w:themeColor="dk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835"/>
        <w:gridCol w:w="6236"/>
      </w:tblGrid>
      <w:tr>
        <w:trPr>
          <w:cnfStyle w:val="100000000000"/>
        </w:trPr>
        <w:tc>
          <w:tcPr>
            <w:cnfStyle w:val="101000000000"/>
            <w:tcW w:w="2835" w:type="dxa"/>
            <w:vAlign w:val="center"/>
          </w:tcPr>
          <w:p w14:paraId="0000002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Разработка</w:t>
            </w:r>
          </w:p>
        </w:tc>
        <w:tc>
          <w:tcPr>
            <w:cnfStyle w:val="100000000000"/>
            <w:tcW w:w="6236" w:type="dxa"/>
            <w:vAlign w:val="center"/>
          </w:tcPr>
          <w:p w14:paraId="0000002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Windows 11, RTX 5090 24GB VRAM, Ollama</w:t>
            </w: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vAlign w:val="center"/>
          </w:tcPr>
          <w:p w14:paraId="0000003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Деплой</w:t>
            </w:r>
          </w:p>
        </w:tc>
        <w:tc>
          <w:tcPr>
            <w:cnfStyle w:val="000000100000"/>
            <w:tcW w:w="6236" w:type="dxa"/>
            <w:vAlign w:val="center"/>
          </w:tcPr>
          <w:p w14:paraId="0000003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Linux / Astra Linux, 8+ ядер CPU</w:t>
            </w:r>
          </w:p>
        </w:tc>
      </w:tr>
      <w:tr>
        <w:trPr>
          <w:cnfStyle w:val="000000010000"/>
        </w:trPr>
        <w:tc>
          <w:tcPr>
            <w:cnfStyle w:val="001000010000"/>
            <w:tcW w:w="2835" w:type="dxa"/>
            <w:vAlign w:val="center"/>
          </w:tcPr>
          <w:p w14:paraId="0000003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База данных</w:t>
            </w:r>
          </w:p>
        </w:tc>
        <w:tc>
          <w:tcPr>
            <w:cnfStyle w:val="000000010000"/>
            <w:tcW w:w="6236" w:type="dxa"/>
            <w:vAlign w:val="center"/>
          </w:tcPr>
          <w:p w14:paraId="0000003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PostgreSQL, SQLAlchemy ORM</w:t>
            </w:r>
          </w:p>
        </w:tc>
      </w:tr>
      <w:tr>
        <w:trPr>
          <w:cnfStyle w:val="000000100000"/>
        </w:trPr>
        <w:tc>
          <w:tcPr>
            <w:cnfStyle w:val="001000100000"/>
            <w:tcW w:w="2835" w:type="dxa"/>
            <w:vAlign w:val="center"/>
          </w:tcPr>
          <w:p w14:paraId="0000003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LLM</w:t>
            </w:r>
          </w:p>
        </w:tc>
        <w:tc>
          <w:tcPr>
            <w:cnfStyle w:val="000000100000"/>
            <w:tcW w:w="6236" w:type="dxa"/>
            <w:vAlign w:val="center"/>
          </w:tcPr>
          <w:p w14:paraId="0000003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 - одна модель для bootstrap-разметки, верификации, отчетов и чатбота</w:t>
            </w:r>
          </w:p>
        </w:tc>
      </w:tr>
      <w:tr>
        <w:trPr>
          <w:cnfStyle w:val="000000010000"/>
        </w:trPr>
        <w:tc>
          <w:tcPr>
            <w:cnfStyle w:val="001000010000"/>
            <w:tcW w:w="2835" w:type="dxa"/>
            <w:vAlign w:val="center"/>
          </w:tcPr>
          <w:p w14:paraId="0000003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Эмбеддинги</w:t>
            </w:r>
          </w:p>
        </w:tc>
        <w:tc>
          <w:tcPr>
            <w:cnfStyle w:val="000000010000"/>
            <w:tcW w:w="6236" w:type="dxa"/>
            <w:vAlign w:val="center"/>
          </w:tcPr>
          <w:p w14:paraId="0000003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bge-m3 через sentence-transformers, GPU batch</w:t>
            </w:r>
          </w:p>
        </w:tc>
      </w:tr>
    </w:tbl>
    <w:p w14:paraId="00000038">
      <w:pPr>
        <w:rPr>
          <w:color w:val="000000" w:themeColor="dk1"/>
        </w:rPr>
      </w:pPr>
    </w:p>
    <w:p w14:paraId="00000039">
      <w:pPr>
        <w:rPr>
          <w:b/>
          <w:bCs/>
          <w:color w:val="000000" w:themeColor="dk1"/>
          <w:sz w:val="28"/>
          <w:szCs w:val="26"/>
        </w:rPr>
      </w:pPr>
      <w:r>
        <w:rPr>
          <w:b/>
          <w:bCs/>
          <w:color w:val="000000" w:themeColor="dk1"/>
          <w:sz w:val="28"/>
          <w:szCs w:val="26"/>
          <w:lang w:val="ru-RU"/>
        </w:rPr>
        <w:t>Предполагаемое время обработки</w:t>
      </w:r>
    </w:p>
    <w:p w14:paraId="0000003A">
      <w:pPr>
        <w:rPr>
          <w:color w:val="000000" w:themeColor="dk1"/>
        </w:rPr>
      </w:pPr>
      <w:r>
        <w:rPr>
          <w:color w:val="000000" w:themeColor="dk1"/>
          <w:lang w:val="ru-RU"/>
        </w:rPr>
        <w:t xml:space="preserve">На характеристиках нашего оборудования время работы на </w:t>
      </w:r>
      <w:r>
        <w:rPr>
          <w:color w:val="000000" w:themeColor="dk1"/>
          <w:lang w:val="en-US"/>
        </w:rPr>
        <w:t xml:space="preserve">GPU </w:t>
      </w:r>
      <w:r>
        <w:rPr>
          <w:color w:val="000000" w:themeColor="dk1"/>
          <w:lang w:val="ru-RU"/>
        </w:rPr>
        <w:t>на</w:t>
      </w:r>
      <w:r>
        <w:rPr>
          <w:color w:val="000000" w:themeColor="dk1"/>
          <w:lang w:val="ru-RU"/>
        </w:rPr>
        <w:t xml:space="preserve"> малом датасете составляет ~4 минуты, н</w:t>
      </w:r>
      <w:r>
        <w:rPr>
          <w:color w:val="000000" w:themeColor="dk1"/>
          <w:lang w:val="ru-RU"/>
        </w:rPr>
        <w:t xml:space="preserve">а большом датасете  ~8 минут без предобучения модели( первый прогон), на последующих загрузках модель справляется быстрее. На </w:t>
      </w:r>
      <w:r>
        <w:rPr>
          <w:color w:val="000000" w:themeColor="dk1"/>
          <w:lang w:val="en-US"/>
        </w:rPr>
        <w:t xml:space="preserve">CPU </w:t>
      </w:r>
      <w:r>
        <w:rPr>
          <w:color w:val="000000" w:themeColor="dk1"/>
          <w:lang w:val="ru-RU"/>
        </w:rPr>
        <w:t>ожидаемое время обработки большого датасета (400 тыс. записей) составит примерно 75-80 без оптимизации и с оптимизацией( использование малых моделей) составит 35-45 минут.</w:t>
      </w:r>
      <w:r>
        <w:rPr>
          <w:color w:val="000000" w:themeColor="dk1"/>
          <w:lang w:val="ru-RU"/>
        </w:rPr>
        <w:t xml:space="preserve"> </w:t>
      </w:r>
    </w:p>
    <w:p w14:paraId="0000003B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2. Выбор подхода</w:t>
      </w:r>
    </w:p>
    <w:p w14:paraId="0000003C">
      <w:pPr>
        <w:pStyle w:val="Heading2"/>
        <w:rPr>
          <w:rFonts w:ascii="Times New Roman" w:hAnsi="Times New Roman"/>
          <w:color w:val="000000" w:themeColor="dk1"/>
          <w:lang w:val="en-US"/>
        </w:rPr>
      </w:pPr>
      <w:r>
        <w:rPr>
          <w:rFonts w:ascii="Times New Roman" w:hAnsi="Times New Roman"/>
          <w:color w:val="000000" w:themeColor="dk1"/>
          <w:lang w:val="ru-RU"/>
        </w:rPr>
        <w:t xml:space="preserve">Почему не </w:t>
      </w:r>
      <w:r>
        <w:rPr>
          <w:rFonts w:ascii="Times New Roman" w:hAnsi="Times New Roman"/>
          <w:color w:val="000000" w:themeColor="dk1"/>
          <w:lang w:val="en-US"/>
        </w:rPr>
        <w:t>regex?</w:t>
      </w:r>
    </w:p>
    <w:p w14:paraId="0000003D">
      <w:pPr>
        <w:pStyle w:val="Heading2"/>
        <w:rPr>
          <w:color w:val="000000" w:themeColor="dk1"/>
        </w:rPr>
      </w:pPr>
      <w:r>
        <w:rPr>
          <w:rFonts w:ascii="Times New Roman" w:hAnsi="Times New Roman"/>
          <w:b w:val="off"/>
          <w:bCs w:val="off"/>
          <w:color w:val="000000" w:themeColor="dk1"/>
          <w:sz w:val="24"/>
        </w:rPr>
        <w:t xml:space="preserve">Жители пишут по-разному, </w:t>
      </w:r>
      <w:r>
        <w:rPr>
          <w:rFonts w:ascii="Times New Roman" w:hAnsi="Times New Roman"/>
          <w:b w:val="off"/>
          <w:bCs w:val="off"/>
          <w:color w:val="000000" w:themeColor="dk1"/>
          <w:sz w:val="24"/>
          <w:lang w:val="ru-RU"/>
        </w:rPr>
        <w:t>поэтому если искать только по ключевым словам, то есть вероятность пропустить главную суть обращения.</w:t>
      </w:r>
    </w:p>
    <w:p w14:paraId="0000003E">
      <w:pPr>
        <w:pStyle w:val="ListBullet"/>
        <w:numPr>
          <w:ilvl w:val="0"/>
          <w:numId w:val="10"/>
        </w:numPr>
        <w:spacing w:after="60"/>
        <w:rPr>
          <w:rFonts w:ascii="Times New Roman" w:hAnsi="Times New Roman"/>
          <w:color w:val="000000" w:themeColor="dk1"/>
          <w:sz w:val="24"/>
        </w:rPr>
      </w:pPr>
      <w:r>
        <w:rPr>
          <w:rFonts w:ascii="Times New Roman" w:hAnsi="Times New Roman"/>
          <w:color w:val="000000" w:themeColor="dk1"/>
          <w:sz w:val="24"/>
        </w:rPr>
        <w:t>"</w:t>
      </w:r>
      <w:r>
        <w:rPr>
          <w:rFonts w:ascii="Times New Roman" w:hAnsi="Times New Roman"/>
          <w:i/>
          <w:iCs/>
          <w:color w:val="000000" w:themeColor="dk1"/>
          <w:sz w:val="24"/>
        </w:rPr>
        <w:t>Спасибо что приехали, но яма так и осталась</w:t>
      </w:r>
      <w:r>
        <w:rPr>
          <w:rFonts w:ascii="Times New Roman" w:hAnsi="Times New Roman"/>
          <w:color w:val="000000" w:themeColor="dk1"/>
          <w:sz w:val="24"/>
        </w:rPr>
        <w:t xml:space="preserve">" - regex видит позитивное слово и пропускает проблему. </w:t>
      </w:r>
    </w:p>
    <w:p w14:paraId="0000003F">
      <w:pPr>
        <w:pStyle w:val="ListBullet"/>
        <w:numPr>
          <w:ilvl w:val="0"/>
          <w:numId w:val="10"/>
        </w:numPr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"</w:t>
      </w:r>
      <w:r>
        <w:rPr>
          <w:rFonts w:ascii="Times New Roman" w:hAnsi="Times New Roman"/>
          <w:i/>
          <w:iCs/>
          <w:color w:val="000000" w:themeColor="dk1"/>
          <w:sz w:val="24"/>
        </w:rPr>
        <w:t>Когда починят крышу?</w:t>
      </w:r>
      <w:r>
        <w:rPr>
          <w:rFonts w:ascii="Times New Roman" w:hAnsi="Times New Roman"/>
          <w:color w:val="000000" w:themeColor="dk1"/>
          <w:sz w:val="24"/>
        </w:rPr>
        <w:t>" - проблема выражена без очевидного набора ключевых слов.</w:t>
      </w:r>
    </w:p>
    <w:p w14:paraId="00000040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Почему не чистый LLM на все 400 000 записей</w:t>
      </w:r>
    </w:p>
    <w:p w14:paraId="00000041">
      <w:pPr>
        <w:pStyle w:val="ListBullet"/>
        <w:numPr>
          <w:ilvl w:val="0"/>
          <w:numId w:val="0"/>
        </w:numPr>
        <w:spacing w:after="60"/>
        <w:ind w:right="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 xml:space="preserve">Извлечение сути для сотен тысяч записей через LLM занимает часы, даже при батчинге. Ollama удобен для локального запуска, но не подходит как единственный массовый классификатор. </w:t>
      </w:r>
      <w:r>
        <w:rPr>
          <w:rFonts w:ascii="Times New Roman" w:hAnsi="Times New Roman"/>
          <w:color w:val="000000" w:themeColor="dk1"/>
          <w:sz w:val="24"/>
          <w:lang w:val="ru-RU"/>
        </w:rPr>
        <w:t xml:space="preserve">В нашем случае </w:t>
      </w:r>
      <w:r>
        <w:rPr>
          <w:rFonts w:ascii="Times New Roman" w:hAnsi="Times New Roman"/>
          <w:color w:val="000000" w:themeColor="dk1"/>
          <w:sz w:val="24"/>
        </w:rPr>
        <w:t xml:space="preserve">LLM </w:t>
      </w:r>
      <w:r>
        <w:rPr>
          <w:rFonts w:ascii="Times New Roman" w:hAnsi="Times New Roman"/>
          <w:color w:val="000000" w:themeColor="dk1"/>
          <w:sz w:val="24"/>
          <w:lang w:val="ru-RU"/>
        </w:rPr>
        <w:t>обрабатывает</w:t>
      </w:r>
      <w:r>
        <w:rPr>
          <w:rFonts w:ascii="Times New Roman" w:hAnsi="Times New Roman"/>
          <w:color w:val="000000" w:themeColor="dk1"/>
          <w:sz w:val="24"/>
        </w:rPr>
        <w:t xml:space="preserve"> сложные случаи, названия кластеров, справки, чат.</w:t>
      </w:r>
    </w:p>
    <w:p w14:paraId="00000042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Оптимальный подход</w:t>
      </w:r>
    </w:p>
    <w:p w14:paraId="00000043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</w:rPr>
        <w:t>Принцип: эмбеддинги и LogReg выполняют массовые операции, LLM подключается точечно.</w:t>
      </w:r>
    </w:p>
    <w:tbl>
      <w:tblPr>
        <w:tblStyle w:val="TableGrid"/>
        <w:tblW w:w="0" w:type="auto"/>
        <w:jc w:val="center"/>
        <w:tblLook w:val="04A0"/>
      </w:tblPr>
      <w:tblGrid>
        <w:gridCol w:w="2268"/>
        <w:gridCol w:w="3402"/>
        <w:gridCol w:w="1701"/>
      </w:tblGrid>
      <w:tr>
        <w:trPr>
          <w:cnfStyle w:val="100000000000"/>
        </w:trPr>
        <w:tc>
          <w:tcPr>
            <w:cnfStyle w:val="101000000000"/>
            <w:tcW w:w="2268" w:type="dxa"/>
            <w:vAlign w:val="center"/>
          </w:tcPr>
          <w:p w14:paraId="0000004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Шаг</w:t>
            </w:r>
          </w:p>
        </w:tc>
        <w:tc>
          <w:tcPr>
            <w:cnfStyle w:val="100000000000"/>
            <w:tcW w:w="3402" w:type="dxa"/>
            <w:vAlign w:val="center"/>
          </w:tcPr>
          <w:p w14:paraId="0000004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Метод</w:t>
            </w:r>
          </w:p>
        </w:tc>
        <w:tc>
          <w:tcPr>
            <w:cnfStyle w:val="100000000000"/>
            <w:tcW w:w="1701" w:type="dxa"/>
            <w:vAlign w:val="center"/>
          </w:tcPr>
          <w:p w14:paraId="0000004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Записей</w:t>
            </w:r>
          </w:p>
        </w:tc>
      </w:tr>
      <w:tr>
        <w:trPr>
          <w:cnfStyle w:val="000000100000"/>
        </w:trPr>
        <w:tc>
          <w:tcPr>
            <w:cnfStyle w:val="001000100000"/>
            <w:tcW w:w="2268" w:type="dxa"/>
            <w:vAlign w:val="center"/>
          </w:tcPr>
          <w:p w14:paraId="0000004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Эмбеддинг</w:t>
            </w:r>
          </w:p>
        </w:tc>
        <w:tc>
          <w:tcPr>
            <w:cnfStyle w:val="000000100000"/>
            <w:tcW w:w="3402" w:type="dxa"/>
            <w:vAlign w:val="center"/>
          </w:tcPr>
          <w:p w14:paraId="0000004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bge-m3, sentence-transformers</w:t>
            </w:r>
          </w:p>
        </w:tc>
        <w:tc>
          <w:tcPr>
            <w:cnfStyle w:val="000000100000"/>
            <w:tcW w:w="1701" w:type="dxa"/>
            <w:vAlign w:val="center"/>
          </w:tcPr>
          <w:p w14:paraId="00000049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400к</w:t>
            </w:r>
          </w:p>
        </w:tc>
      </w:tr>
      <w:tr>
        <w:trPr>
          <w:cnfStyle w:val="000000010000"/>
        </w:trPr>
        <w:tc>
          <w:tcPr>
            <w:cnfStyle w:val="001000010000"/>
            <w:tcW w:w="2268" w:type="dxa"/>
            <w:vAlign w:val="center"/>
          </w:tcPr>
          <w:p w14:paraId="0000004A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Bootstrap-разметка</w:t>
            </w:r>
          </w:p>
        </w:tc>
        <w:tc>
          <w:tcPr>
            <w:cnfStyle w:val="000000010000"/>
            <w:tcW w:w="3402" w:type="dxa"/>
            <w:vAlign w:val="center"/>
          </w:tcPr>
          <w:p w14:paraId="0000004B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 через Ollama</w:t>
            </w:r>
          </w:p>
        </w:tc>
        <w:tc>
          <w:tcPr>
            <w:cnfStyle w:val="000000010000"/>
            <w:tcW w:w="1701" w:type="dxa"/>
            <w:vAlign w:val="center"/>
          </w:tcPr>
          <w:p w14:paraId="0000004C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1500-2000</w:t>
            </w:r>
          </w:p>
        </w:tc>
      </w:tr>
      <w:tr>
        <w:trPr>
          <w:cnfStyle w:val="000000100000"/>
        </w:trPr>
        <w:tc>
          <w:tcPr>
            <w:cnfStyle w:val="001000100000"/>
            <w:tcW w:w="2268" w:type="dxa"/>
            <w:vAlign w:val="center"/>
          </w:tcPr>
          <w:p w14:paraId="0000004D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Обучение LogReg</w:t>
            </w:r>
          </w:p>
        </w:tc>
        <w:tc>
          <w:tcPr>
            <w:cnfStyle w:val="000000100000"/>
            <w:tcW w:w="3402" w:type="dxa"/>
            <w:vAlign w:val="center"/>
          </w:tcPr>
          <w:p w14:paraId="0000004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LogReg на эмбеддингах</w:t>
            </w:r>
          </w:p>
        </w:tc>
        <w:tc>
          <w:tcPr>
            <w:cnfStyle w:val="000000100000"/>
            <w:tcW w:w="1701" w:type="dxa"/>
            <w:vAlign w:val="center"/>
          </w:tcPr>
          <w:p w14:paraId="0000004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1500-2000</w:t>
            </w:r>
          </w:p>
        </w:tc>
      </w:tr>
      <w:tr>
        <w:trPr>
          <w:cnfStyle w:val="000000010000"/>
        </w:trPr>
        <w:tc>
          <w:tcPr>
            <w:cnfStyle w:val="001000010000"/>
            <w:tcW w:w="2268" w:type="dxa"/>
            <w:vAlign w:val="center"/>
          </w:tcPr>
          <w:p w14:paraId="0000005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Классификация</w:t>
            </w:r>
          </w:p>
        </w:tc>
        <w:tc>
          <w:tcPr>
            <w:cnfStyle w:val="000000010000"/>
            <w:tcW w:w="3402" w:type="dxa"/>
            <w:vAlign w:val="center"/>
          </w:tcPr>
          <w:p w14:paraId="0000005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LogReg predict</w:t>
            </w:r>
          </w:p>
        </w:tc>
        <w:tc>
          <w:tcPr>
            <w:cnfStyle w:val="000000010000"/>
            <w:tcW w:w="1701" w:type="dxa"/>
            <w:vAlign w:val="center"/>
          </w:tcPr>
          <w:p w14:paraId="0000005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400к</w:t>
            </w:r>
          </w:p>
        </w:tc>
      </w:tr>
      <w:tr>
        <w:trPr>
          <w:cnfStyle w:val="000000100000"/>
        </w:trPr>
        <w:tc>
          <w:tcPr>
            <w:cnfStyle w:val="001000100000"/>
            <w:tcW w:w="2268" w:type="dxa"/>
            <w:vAlign w:val="center"/>
          </w:tcPr>
          <w:p w14:paraId="0000005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LLM-верификация</w:t>
            </w:r>
          </w:p>
        </w:tc>
        <w:tc>
          <w:tcPr>
            <w:cnfStyle w:val="000000100000"/>
            <w:tcW w:w="3402" w:type="dxa"/>
            <w:vAlign w:val="center"/>
          </w:tcPr>
          <w:p w14:paraId="0000005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qwen3:8b, low-confidence</w:t>
            </w:r>
          </w:p>
        </w:tc>
        <w:tc>
          <w:tcPr>
            <w:cnfStyle w:val="000000100000"/>
            <w:tcW w:w="1701" w:type="dxa"/>
            <w:vAlign w:val="center"/>
          </w:tcPr>
          <w:p w14:paraId="0000005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~20-40к</w:t>
            </w:r>
          </w:p>
        </w:tc>
      </w:tr>
      <w:tr>
        <w:trPr>
          <w:cnfStyle w:val="000000010000"/>
        </w:trPr>
        <w:tc>
          <w:tcPr>
            <w:cnfStyle w:val="001000010000"/>
            <w:tcW w:w="2268" w:type="dxa"/>
            <w:vAlign w:val="center"/>
          </w:tcPr>
          <w:p w14:paraId="0000005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Кластеризация</w:t>
            </w:r>
          </w:p>
        </w:tc>
        <w:tc>
          <w:tcPr>
            <w:cnfStyle w:val="000000010000"/>
            <w:tcW w:w="3402" w:type="dxa"/>
            <w:vAlign w:val="center"/>
          </w:tcPr>
          <w:p w14:paraId="0000005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DBSCAN отдельно по районам</w:t>
            </w:r>
          </w:p>
        </w:tc>
        <w:tc>
          <w:tcPr>
            <w:cnfStyle w:val="000000010000"/>
            <w:tcW w:w="1701" w:type="dxa"/>
            <w:vAlign w:val="center"/>
          </w:tcPr>
          <w:p w14:paraId="0000005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~250к</w:t>
            </w:r>
          </w:p>
        </w:tc>
      </w:tr>
      <w:tr>
        <w:trPr>
          <w:cnfStyle w:val="000000100000"/>
        </w:trPr>
        <w:tc>
          <w:tcPr>
            <w:cnfStyle w:val="001000100000"/>
            <w:tcW w:w="2268" w:type="dxa"/>
            <w:vAlign w:val="center"/>
          </w:tcPr>
          <w:p w14:paraId="00000059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Именование кластеров</w:t>
            </w:r>
          </w:p>
        </w:tc>
        <w:tc>
          <w:tcPr>
            <w:cnfStyle w:val="000000100000"/>
            <w:tcW w:w="3402" w:type="dxa"/>
            <w:vAlign w:val="center"/>
          </w:tcPr>
          <w:p w14:paraId="0000005A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 по 3-5 примерам</w:t>
            </w:r>
          </w:p>
        </w:tc>
        <w:tc>
          <w:tcPr>
            <w:cnfStyle w:val="000000100000"/>
            <w:tcW w:w="1701" w:type="dxa"/>
            <w:vAlign w:val="center"/>
          </w:tcPr>
          <w:p w14:paraId="0000005B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~500-2000</w:t>
            </w:r>
          </w:p>
        </w:tc>
      </w:tr>
      <w:tr>
        <w:trPr>
          <w:cnfStyle w:val="000000010000"/>
        </w:trPr>
        <w:tc>
          <w:tcPr>
            <w:cnfStyle w:val="001000010000"/>
            <w:tcW w:w="2268" w:type="dxa"/>
            <w:vAlign w:val="center"/>
          </w:tcPr>
          <w:p w14:paraId="0000005C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Отчет</w:t>
            </w:r>
          </w:p>
        </w:tc>
        <w:tc>
          <w:tcPr>
            <w:cnfStyle w:val="000000010000"/>
            <w:tcW w:w="3402" w:type="dxa"/>
            <w:vAlign w:val="center"/>
          </w:tcPr>
          <w:p w14:paraId="0000005D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qwen3:8b для топ-примеров</w:t>
            </w:r>
          </w:p>
        </w:tc>
        <w:tc>
          <w:tcPr>
            <w:cnfStyle w:val="000000010000"/>
            <w:tcW w:w="1701" w:type="dxa"/>
            <w:vAlign w:val="center"/>
          </w:tcPr>
          <w:p w14:paraId="0000005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~200-500</w:t>
            </w:r>
          </w:p>
        </w:tc>
      </w:tr>
    </w:tbl>
    <w:p w14:paraId="0000005F">
      <w:pPr>
        <w:pStyle w:val="Heading2"/>
        <w:rPr>
          <w:rFonts w:ascii="Times New Roman" w:cs="Times New Roman" w:hAnsi="Times New Roman"/>
          <w:color w:val="000000" w:themeColor="dk1"/>
          <w:sz w:val="28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8"/>
          <w:szCs w:val="26"/>
          <w:lang w:val="ru-RU"/>
        </w:rPr>
        <w:t>Фильтрация входных данных</w:t>
      </w:r>
    </w:p>
    <w:p w14:paraId="00000060">
      <w:pPr>
        <w:pStyle w:val="Heading2"/>
        <w:rPr>
          <w:rFonts w:ascii="Times New Roman" w:cs="Times New Roman" w:hAnsi="Times New Roman"/>
          <w:color w:val="000000" w:themeColor="dk1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t>Предоставленная база данных содержит как решенные обращения( нерелевантные ) так и нерешенные, отложенные, пустые. Эти данные надо было отфильтровать оставив только релевантные.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br w:type="textWrapping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t>Также нерешаемые задачи не попали в выборку, так как изначально не представляют интереса</w:t>
      </w:r>
      <w:r>
        <w:rPr>
          <w:rFonts w:ascii="Times New Roman" w:cs="Times New Roman" w:hAnsi="Times New Roman"/>
          <w:color w:val="000000" w:themeColor="dk1"/>
          <w:sz w:val="24"/>
          <w:szCs w:val="24"/>
          <w:lang w:val="ru-RU"/>
        </w:rPr>
        <w:t xml:space="preserve"> </w:t>
      </w:r>
    </w:p>
    <w:p w14:paraId="00000061">
      <w:pPr>
        <w:pStyle w:val="Heading1"/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t>Итого в выборку основных необходимых данных для актуальной аналитической сводки попали данные</w:t>
      </w:r>
      <w:r>
        <w:rPr>
          <w:rFonts w:ascii="Times New Roman" w:cs="Times New Roman" w:hAnsi="Times New Roman" w:hint="eastAsia"/>
          <w:b w:val="off"/>
          <w:bCs w:val="off"/>
          <w:color w:val="000000" w:themeColor="dk1"/>
          <w:sz w:val="24"/>
          <w:szCs w:val="24"/>
          <w:lang w:val="ru-RU"/>
        </w:rPr>
        <w:t>：</w:t>
      </w:r>
      <w:r>
        <w:rPr>
          <w:rFonts w:ascii="Times New Roman" w:cs="Times New Roman" w:hAnsi="Times New Roman" w:hint="eastAsia"/>
          <w:b w:val="off"/>
          <w:bCs w:val="off"/>
          <w:color w:val="000000" w:themeColor="dk1"/>
          <w:sz w:val="24"/>
          <w:szCs w:val="24"/>
          <w:lang w:val="ru-RU"/>
        </w:rPr>
        <w:br w:type="textWrapping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</w:rPr>
        <w:t>1</w:t>
      </w:r>
      <w:r>
        <w:rPr>
          <w:rFonts w:ascii="Times New Roman" w:cs="Times New Roman" w:hAnsi="Times New Roman" w:hint="eastAsia"/>
          <w:b w:val="off"/>
          <w:bCs w:val="off"/>
          <w:color w:val="000000" w:themeColor="dk1"/>
          <w:sz w:val="24"/>
          <w:szCs w:val="24"/>
        </w:rPr>
        <w:t>）</w:t>
      </w:r>
      <w:r>
        <w:rPr>
          <w:rFonts w:ascii="Times New Roman" w:cs="Times New Roman" w:hAnsi="Times New Roman" w:hint="default"/>
          <w:b w:val="off"/>
          <w:bCs w:val="off"/>
          <w:color w:val="000000" w:themeColor="dk1"/>
          <w:sz w:val="24"/>
          <w:szCs w:val="24"/>
          <w:lang w:val="ru-RU"/>
        </w:rPr>
        <w:t xml:space="preserve">по </w:t>
      </w:r>
      <w:r>
        <w:rPr>
          <w:rFonts w:ascii="Times New Roman" w:cs="Times New Roman" w:hAnsi="Times New Roman" w:hint="default"/>
          <w:b w:val="off"/>
          <w:bCs w:val="off"/>
          <w:color w:val="000000" w:themeColor="dk1"/>
          <w:sz w:val="24"/>
          <w:szCs w:val="24"/>
          <w:lang w:val="ru-RU"/>
        </w:rPr>
        <w:t>итогу</w:t>
      </w:r>
      <w:r>
        <w:rPr>
          <w:rFonts w:ascii="Times New Roman" w:cs="Times New Roman" w:hAnsi="Times New Roman" w:hint="default"/>
          <w:b w:val="off"/>
          <w:bCs w:val="off"/>
          <w:color w:val="000000" w:themeColor="dk1"/>
          <w:sz w:val="24"/>
          <w:szCs w:val="24"/>
          <w:lang w:val="ru-RU"/>
        </w:rPr>
        <w:t xml:space="preserve"> - 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t>нерешенные, отложенные или пустые</w:t>
      </w:r>
    </w:p>
    <w:p w14:paraId="00000062">
      <w:pPr>
        <w:pStyle w:val="Normal"/>
        <w:rPr>
          <w:color w:val="000000" w:themeColor="dk1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</w:rPr>
        <w:t xml:space="preserve">2)   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4"/>
          <w:szCs w:val="24"/>
          <w:lang w:val="ru-RU"/>
        </w:rPr>
        <w:t>по типу инцедента - информационные, предложение/инициатива, решаемый, сбор вопросов/ прямая линия</w:t>
      </w:r>
    </w:p>
    <w:p w14:paraId="00000063">
      <w:pPr>
        <w:pStyle w:val="Normal"/>
        <w:rPr>
          <w:color w:val="000000" w:themeColor="dk1"/>
        </w:rPr>
      </w:pPr>
    </w:p>
    <w:p w14:paraId="00000064">
      <w:pPr>
        <w:pStyle w:val="Normal"/>
        <w:rPr>
          <w:rFonts w:ascii="Times New Roman" w:cs="Times New Roman" w:hAnsi="Times New Roman"/>
          <w:b/>
          <w:bCs/>
          <w:color w:val="000000" w:themeColor="dk1"/>
          <w:sz w:val="28"/>
          <w:szCs w:val="26"/>
        </w:rPr>
      </w:pPr>
      <w:r>
        <w:rPr>
          <w:rFonts w:ascii="Times New Roman" w:cs="Times New Roman" w:hAnsi="Times New Roman"/>
          <w:b/>
          <w:bCs/>
          <w:color w:val="000000" w:themeColor="dk1"/>
          <w:sz w:val="28"/>
          <w:szCs w:val="26"/>
          <w:lang w:val="ru-RU"/>
        </w:rPr>
        <w:t>Метрики выбранного подхода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Качество классификации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>было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прове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>ренно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на размеченной вручную выборке из 130 обращений, метрика - F1 по классу “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 xml:space="preserve">проблема” с результатом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F1 = 0.898, Precision = 0.899, Recal = 0.940, Accuracy = 0.817 .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>Эт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 xml:space="preserve">о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>показывает, что модель хорошо находит проблемные обращения, но требует усиления проверки класса «не проблема», так как в текущей выборке таких примеров мало.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</w:t>
      </w:r>
    </w:p>
    <w:p w14:paraId="00000066">
      <w:pPr>
        <w:pStyle w:val="Normal"/>
        <w:rPr>
          <w:color w:val="000000" w:themeColor="dk1"/>
        </w:rPr>
      </w:pPr>
    </w:p>
    <w:p w14:paraId="00000067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3. Ключевые технологии</w:t>
      </w:r>
    </w:p>
    <w:p w14:paraId="00000068">
      <w:pPr>
        <w:pStyle w:val="Heading2"/>
        <w:rPr>
          <w:color w:val="000000" w:themeColor="dk1"/>
        </w:rPr>
      </w:pPr>
      <w:r>
        <w:rPr>
          <w:rFonts w:ascii="Times New Roman" w:hAnsi="Times New Roman"/>
          <w:b w:val="off"/>
          <w:bCs w:val="off"/>
          <w:color w:val="000000" w:themeColor="dk1"/>
          <w:sz w:val="24"/>
          <w:szCs w:val="22"/>
        </w:rPr>
        <w:t>Эмбеддинги bge-m3</w:t>
      </w:r>
      <w:r>
        <w:rPr>
          <w:rFonts w:ascii="Times New Roman" w:hAnsi="Times New Roman"/>
          <w:color w:val="000000" w:themeColor="dk1"/>
        </w:rPr>
        <w:t xml:space="preserve"> 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>Два обращения про одну проблему получают близкие векторы. sentence-transformers позволяет считать эмбеддинги батчами на GPU и работает быстрее HTTP-вызовов Ollama.</w:t>
      </w:r>
    </w:p>
    <w:p w14:paraId="00000069">
      <w:pPr>
        <w:pStyle w:val="Heading2"/>
        <w:rPr>
          <w:color w:val="000000" w:themeColor="dk1"/>
        </w:rPr>
      </w:pPr>
      <w:r>
        <w:rPr>
          <w:rFonts w:ascii="Times New Roman" w:hAnsi="Times New Roman"/>
          <w:b w:val="off"/>
          <w:bCs w:val="off"/>
          <w:color w:val="000000" w:themeColor="dk1"/>
          <w:sz w:val="24"/>
          <w:szCs w:val="22"/>
        </w:rPr>
        <w:t>LogReg -</w:t>
      </w:r>
      <w:r>
        <w:rPr>
          <w:rFonts w:ascii="Times New Roman" w:hAnsi="Times New Roman"/>
          <w:color w:val="000000" w:themeColor="dk1"/>
        </w:rPr>
        <w:t xml:space="preserve"> 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>LogReg обучается на bootstrap-разметке LLM и затем мгновенно классифицирует основную массу обращений: проблема/не проблема, тяжесть, категория. Записи с низкой уверенностью отправляются на LLM-верификацию.</w:t>
      </w:r>
    </w:p>
    <w:p w14:paraId="0000006A">
      <w:pPr>
        <w:pStyle w:val="Heading2"/>
        <w:rPr>
          <w:color w:val="000000" w:themeColor="dk1"/>
        </w:rPr>
      </w:pPr>
      <w:r>
        <w:rPr>
          <w:rFonts w:ascii="Times New Roman" w:hAnsi="Times New Roman"/>
          <w:b w:val="off"/>
          <w:bCs w:val="off"/>
          <w:color w:val="000000" w:themeColor="dk1"/>
          <w:sz w:val="24"/>
          <w:szCs w:val="22"/>
        </w:rPr>
        <w:t>DBSCAN по муниципалитетам -</w:t>
      </w:r>
      <w:r>
        <w:rPr>
          <w:rFonts w:ascii="Times New Roman" w:hAnsi="Times New Roman"/>
          <w:color w:val="000000" w:themeColor="dk1"/>
        </w:rPr>
        <w:t xml:space="preserve"> 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Кластеризация выполняется отдельно внутри каждого муниципалитета. Похожие жалобы в разных районах остаются разными проблемами. </w:t>
      </w:r>
      <w:r>
        <w:rPr>
          <w:rFonts w:ascii="Times New Roman" w:hAnsi="Times New Roman"/>
          <w:b w:val="off"/>
          <w:i w:val="off"/>
          <w:color w:val="000000" w:themeColor="dk1"/>
          <w:sz w:val="24"/>
          <w:highlight w:val="none"/>
        </w:rPr>
        <w:t>Одиночные жалобы не выбрасываютс</w:t>
      </w:r>
      <w:r>
        <w:rPr>
          <w:rFonts w:ascii="Times New Roman" w:hAnsi="Times New Roman"/>
          <w:b w:val="off"/>
          <w:i w:val="off"/>
          <w:color w:val="000000" w:themeColor="dk1"/>
          <w:sz w:val="24"/>
          <w:highlight w:val="none"/>
          <w:lang w:val="ru-RU"/>
        </w:rPr>
        <w:t>я, но привязываются к ближайшей проблеме.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 xml:space="preserve"> </w:t>
      </w:r>
    </w:p>
    <w:p w14:paraId="0000006B">
      <w:pPr>
        <w:pStyle w:val="Heading2"/>
        <w:rPr>
          <w:rFonts w:ascii="Times New Roman" w:hAnsi="Times New Roman"/>
          <w:b w:val="off"/>
          <w:bCs w:val="off"/>
          <w:color w:val="000000" w:themeColor="dk1"/>
          <w:sz w:val="24"/>
          <w:szCs w:val="24"/>
        </w:rPr>
      </w:pPr>
      <w:r>
        <w:rPr>
          <w:rFonts w:ascii="Times New Roman" w:hAnsi="Times New Roman"/>
          <w:b w:val="off"/>
          <w:bCs w:val="off"/>
          <w:color w:val="000000" w:themeColor="dk1"/>
          <w:sz w:val="26"/>
          <w:szCs w:val="24"/>
        </w:rPr>
        <w:t>qwen3:8b как единая LLM</w:t>
      </w:r>
      <w:r>
        <w:rPr>
          <w:rFonts w:ascii="Times New Roman" w:hAnsi="Times New Roman"/>
          <w:color w:val="000000" w:themeColor="dk1"/>
        </w:rPr>
        <w:t xml:space="preserve"> </w:t>
      </w:r>
      <w:r>
        <w:rPr>
          <w:rFonts w:ascii="Times New Roman" w:hAnsi="Times New Roman"/>
          <w:b w:val="off"/>
          <w:bCs w:val="off"/>
          <w:color w:val="000000" w:themeColor="dk1"/>
          <w:sz w:val="24"/>
          <w:szCs w:val="24"/>
        </w:rPr>
        <w:t xml:space="preserve">- Одна модель упрощает архитектуру и исключает переключение между разными LLM. </w:t>
      </w:r>
    </w:p>
    <w:p w14:paraId="0000006C">
      <w:pPr>
        <w:pStyle w:val="Heading2"/>
        <w:rPr>
          <w:color w:val="000000" w:themeColor="dk1"/>
        </w:rPr>
      </w:pPr>
      <w:r>
        <w:rPr>
          <w:rFonts w:ascii="Times New Roman" w:hAnsi="Times New Roman"/>
          <w:b w:val="off"/>
          <w:bCs w:val="off"/>
          <w:color w:val="000000" w:themeColor="dk1"/>
          <w:sz w:val="24"/>
          <w:lang w:val="ru-RU"/>
        </w:rPr>
        <w:t>На будущее: с</w:t>
      </w:r>
      <w:r>
        <w:rPr>
          <w:rFonts w:ascii="Times New Roman" w:hAnsi="Times New Roman"/>
          <w:b w:val="off"/>
          <w:bCs w:val="off"/>
          <w:color w:val="000000" w:themeColor="dk1"/>
          <w:sz w:val="24"/>
        </w:rPr>
        <w:t>ложные low-confidence кейсы лучше проверять более сильной моделью. Экономия от модели меньшего размера не покрывает риск потери качества.</w:t>
      </w:r>
    </w:p>
    <w:p w14:paraId="0000006D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4. Классификация</w:t>
      </w:r>
    </w:p>
    <w:p w14:paraId="0000006E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Тяжесть</w:t>
      </w:r>
    </w:p>
    <w:tbl>
      <w:tblPr>
        <w:tblStyle w:val="TableGrid"/>
        <w:tblW w:w="0" w:type="auto"/>
        <w:jc w:val="center"/>
        <w:tblLook w:val="04A0"/>
      </w:tblPr>
      <w:tblGrid>
        <w:gridCol w:w="2268"/>
        <w:gridCol w:w="6803"/>
      </w:tblGrid>
      <w:tr>
        <w:trPr/>
        <w:tc>
          <w:tcPr>
            <w:cnfStyle w:val="101000000000"/>
            <w:tcW w:w="2268" w:type="dxa"/>
            <w:vAlign w:val="center"/>
          </w:tcPr>
          <w:p w14:paraId="0000006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Уровень</w:t>
            </w:r>
          </w:p>
        </w:tc>
        <w:tc>
          <w:tcPr>
            <w:cnfStyle w:val="100000000000"/>
            <w:tcW w:w="6803" w:type="dxa"/>
            <w:vAlign w:val="center"/>
          </w:tcPr>
          <w:p w14:paraId="0000007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Критерии</w:t>
            </w:r>
          </w:p>
        </w:tc>
      </w:tr>
      <w:tr>
        <w:trPr/>
        <w:tc>
          <w:tcPr>
            <w:cnfStyle w:val="001000100000"/>
            <w:tcW w:w="2268" w:type="dxa"/>
            <w:vAlign w:val="center"/>
          </w:tcPr>
          <w:p w14:paraId="0000007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Критическая</w:t>
            </w:r>
          </w:p>
        </w:tc>
        <w:tc>
          <w:tcPr>
            <w:cnfStyle w:val="000000100000"/>
            <w:tcW w:w="6803" w:type="dxa"/>
            <w:vAlign w:val="center"/>
          </w:tcPr>
          <w:p w14:paraId="0000007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Угроза жизни, здоровью, авария, обрушение</w:t>
            </w:r>
          </w:p>
        </w:tc>
      </w:tr>
      <w:tr>
        <w:trPr/>
        <w:tc>
          <w:tcPr>
            <w:cnfStyle w:val="001000010000"/>
            <w:tcW w:w="2268" w:type="dxa"/>
            <w:vAlign w:val="center"/>
          </w:tcPr>
          <w:p w14:paraId="0000007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Высокая</w:t>
            </w:r>
          </w:p>
        </w:tc>
        <w:tc>
          <w:tcPr>
            <w:cnfStyle w:val="000000010000"/>
            <w:tcW w:w="6803" w:type="dxa"/>
            <w:vAlign w:val="center"/>
          </w:tcPr>
          <w:p w14:paraId="0000007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Нет отопления или воды, разрушение инфраструктуры</w:t>
            </w:r>
          </w:p>
        </w:tc>
      </w:tr>
      <w:tr>
        <w:trPr/>
        <w:tc>
          <w:tcPr>
            <w:cnfStyle w:val="001000100000"/>
            <w:tcW w:w="2268" w:type="dxa"/>
            <w:vAlign w:val="center"/>
          </w:tcPr>
          <w:p w14:paraId="0000007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Средняя</w:t>
            </w:r>
          </w:p>
        </w:tc>
        <w:tc>
          <w:tcPr>
            <w:cnfStyle w:val="000000100000"/>
            <w:tcW w:w="6803" w:type="dxa"/>
            <w:vAlign w:val="center"/>
          </w:tcPr>
          <w:p w14:paraId="0000007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Благоустройство, дороги, мусор, регулярные бытовые проблемы</w:t>
            </w:r>
          </w:p>
        </w:tc>
      </w:tr>
      <w:tr>
        <w:trPr/>
        <w:tc>
          <w:tcPr>
            <w:cnfStyle w:val="001000010000"/>
            <w:tcW w:w="2268" w:type="dxa"/>
            <w:tcBorders>
              <w:bottom w:val="single" w:color="auto" w:sz="4" w:space="0"/>
            </w:tcBorders>
            <w:vAlign w:val="center"/>
          </w:tcPr>
          <w:p w14:paraId="0000007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Низкая</w:t>
            </w:r>
          </w:p>
        </w:tc>
        <w:tc>
          <w:tcPr>
            <w:cnfStyle w:val="000000010000"/>
            <w:tcW w:w="6803" w:type="dxa"/>
            <w:tcBorders>
              <w:bottom w:val="single" w:color="auto" w:sz="4" w:space="0"/>
            </w:tcBorders>
            <w:vAlign w:val="center"/>
          </w:tcPr>
          <w:p w14:paraId="0000007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Косметические проблемы, предложения, единичные неаварийные случаи</w:t>
            </w:r>
          </w:p>
        </w:tc>
      </w:tr>
    </w:tbl>
    <w:p w14:paraId="00000079">
      <w:pPr>
        <w:rPr>
          <w:color w:val="000000" w:themeColor="dk1"/>
        </w:rPr>
      </w:pPr>
    </w:p>
    <w:p w14:paraId="0000007A">
      <w:pPr>
        <w:pStyle w:val="Heading2"/>
        <w:rPr>
          <w:rFonts w:ascii="Times New Roman" w:hAnsi="Times New Roman"/>
          <w:color w:val="000000" w:themeColor="dk1"/>
          <w:highlight w:val="none"/>
        </w:rPr>
      </w:pPr>
    </w:p>
    <w:p w14:paraId="0000007B">
      <w:pPr>
        <w:pStyle w:val="Heading2"/>
        <w:rPr>
          <w:color w:val="000000" w:themeColor="dk1"/>
          <w:highlight w:val="none"/>
        </w:rPr>
      </w:pPr>
      <w:r>
        <w:rPr>
          <w:rFonts w:ascii="Times New Roman" w:hAnsi="Times New Roman"/>
          <w:color w:val="000000" w:themeColor="dk1"/>
          <w:highlight w:val="none"/>
        </w:rPr>
        <w:t xml:space="preserve">Категории </w:t>
      </w:r>
      <w:r>
        <w:rPr>
          <w:rFonts w:ascii="Times New Roman" w:hAnsi="Times New Roman"/>
          <w:color w:val="000000" w:themeColor="dk1"/>
          <w:highlight w:val="none"/>
          <w:lang w:val="ru-RU"/>
        </w:rPr>
        <w:t>из датасета</w:t>
      </w:r>
    </w:p>
    <w:p w14:paraId="0000007C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1)</w:t>
      </w:r>
      <w:r>
        <w:rPr>
          <w:color w:val="000000" w:themeColor="dk1"/>
          <w:highlight w:val="none"/>
          <w:lang w:val="ru-RU"/>
        </w:rPr>
        <w:t>Безопасность и правопорядок</w:t>
      </w:r>
    </w:p>
    <w:p w14:paraId="0000007D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2)</w:t>
      </w:r>
      <w:r>
        <w:rPr>
          <w:color w:val="000000" w:themeColor="dk1"/>
          <w:highlight w:val="none"/>
          <w:lang w:val="ru-RU"/>
        </w:rPr>
        <w:t>Благоустройство</w:t>
      </w:r>
    </w:p>
    <w:p w14:paraId="0000007E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3)</w:t>
      </w:r>
      <w:r>
        <w:rPr>
          <w:color w:val="000000" w:themeColor="dk1"/>
          <w:highlight w:val="none"/>
          <w:lang w:val="ru-RU"/>
        </w:rPr>
        <w:t>Внутренняя политика</w:t>
      </w:r>
    </w:p>
    <w:p w14:paraId="0000007F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 xml:space="preserve">4) </w:t>
      </w:r>
      <w:r>
        <w:rPr>
          <w:color w:val="000000" w:themeColor="dk1"/>
          <w:highlight w:val="none"/>
          <w:lang w:val="ru-RU"/>
        </w:rPr>
        <w:t>Военная Служба</w:t>
      </w:r>
    </w:p>
    <w:p w14:paraId="00000080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5)</w:t>
      </w:r>
      <w:r>
        <w:rPr>
          <w:color w:val="000000" w:themeColor="dk1"/>
          <w:highlight w:val="none"/>
          <w:lang w:val="ru-RU"/>
        </w:rPr>
        <w:t>Дороги</w:t>
      </w:r>
    </w:p>
    <w:p w14:paraId="00000081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6)</w:t>
      </w:r>
      <w:r>
        <w:rPr>
          <w:color w:val="000000" w:themeColor="dk1"/>
          <w:highlight w:val="none"/>
          <w:lang w:val="ru-RU"/>
        </w:rPr>
        <w:t>ЖКХ</w:t>
      </w:r>
    </w:p>
    <w:p w14:paraId="00000082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7)</w:t>
      </w:r>
      <w:r>
        <w:rPr>
          <w:color w:val="000000" w:themeColor="dk1"/>
          <w:highlight w:val="none"/>
          <w:lang w:val="ru-RU"/>
        </w:rPr>
        <w:t>Здравоохранение</w:t>
      </w:r>
    </w:p>
    <w:p w14:paraId="00000083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8)</w:t>
      </w:r>
      <w:r>
        <w:rPr>
          <w:color w:val="000000" w:themeColor="dk1"/>
          <w:highlight w:val="none"/>
          <w:lang w:val="ru-RU"/>
        </w:rPr>
        <w:t>Имущественные и земельные отношения</w:t>
      </w:r>
    </w:p>
    <w:p w14:paraId="00000084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9)</w:t>
      </w:r>
      <w:r>
        <w:rPr>
          <w:color w:val="000000" w:themeColor="dk1"/>
          <w:highlight w:val="none"/>
          <w:lang w:val="ru-RU"/>
        </w:rPr>
        <w:t>Культура</w:t>
      </w:r>
    </w:p>
    <w:p w14:paraId="00000085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10)</w:t>
      </w:r>
      <w:r>
        <w:rPr>
          <w:color w:val="000000" w:themeColor="dk1"/>
          <w:highlight w:val="none"/>
          <w:lang w:val="ru-RU"/>
        </w:rPr>
        <w:t>Межнациональные отношения</w:t>
      </w:r>
    </w:p>
    <w:p w14:paraId="00000086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11)</w:t>
      </w:r>
      <w:r>
        <w:rPr>
          <w:color w:val="000000" w:themeColor="dk1"/>
          <w:highlight w:val="none"/>
          <w:lang w:val="ru-RU"/>
        </w:rPr>
        <w:t>Молодежная политика</w:t>
      </w:r>
    </w:p>
    <w:p w14:paraId="00000087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12)</w:t>
      </w:r>
      <w:r>
        <w:rPr>
          <w:color w:val="000000" w:themeColor="dk1"/>
          <w:highlight w:val="none"/>
          <w:lang w:val="ru-RU"/>
        </w:rPr>
        <w:t>Образование</w:t>
      </w:r>
    </w:p>
    <w:p w14:paraId="00000088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13)</w:t>
      </w:r>
      <w:r>
        <w:rPr>
          <w:color w:val="000000" w:themeColor="dk1"/>
          <w:highlight w:val="none"/>
          <w:lang w:val="ru-RU"/>
        </w:rPr>
        <w:t>Обращение с отходами</w:t>
      </w:r>
    </w:p>
    <w:p w14:paraId="00000089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14)</w:t>
      </w:r>
      <w:r>
        <w:rPr>
          <w:color w:val="000000" w:themeColor="dk1"/>
          <w:highlight w:val="none"/>
          <w:lang w:val="ru-RU"/>
        </w:rPr>
        <w:t>Общественный транспортом</w:t>
      </w:r>
    </w:p>
    <w:p w14:paraId="0000008A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15)</w:t>
      </w:r>
      <w:r>
        <w:rPr>
          <w:color w:val="000000" w:themeColor="dk1"/>
          <w:highlight w:val="none"/>
          <w:lang w:val="ru-RU"/>
        </w:rPr>
        <w:t>Орган власти и подведомственных учреждений</w:t>
      </w:r>
    </w:p>
    <w:p w14:paraId="0000008B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16)</w:t>
      </w:r>
      <w:r>
        <w:rPr>
          <w:color w:val="000000" w:themeColor="dk1"/>
          <w:highlight w:val="none"/>
          <w:lang w:val="ru-RU"/>
        </w:rPr>
        <w:t>Связь и телевидение</w:t>
      </w:r>
    </w:p>
    <w:p w14:paraId="0000008C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17)</w:t>
      </w:r>
      <w:r>
        <w:rPr>
          <w:color w:val="000000" w:themeColor="dk1"/>
          <w:highlight w:val="none"/>
          <w:lang w:val="ru-RU"/>
        </w:rPr>
        <w:t>Сельское хозяйство и охота</w:t>
      </w:r>
    </w:p>
    <w:p w14:paraId="0000008D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18)</w:t>
      </w:r>
      <w:r>
        <w:rPr>
          <w:color w:val="000000" w:themeColor="dk1"/>
          <w:highlight w:val="none"/>
          <w:lang w:val="ru-RU"/>
        </w:rPr>
        <w:t>Социальное обслуживание и защита</w:t>
      </w:r>
    </w:p>
    <w:p w14:paraId="0000008E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19)</w:t>
      </w:r>
      <w:r>
        <w:rPr>
          <w:color w:val="000000" w:themeColor="dk1"/>
          <w:highlight w:val="none"/>
          <w:lang w:val="ru-RU"/>
        </w:rPr>
        <w:t>Строительство и архитектура</w:t>
      </w:r>
    </w:p>
    <w:p w14:paraId="0000008F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20)</w:t>
      </w:r>
      <w:r>
        <w:rPr>
          <w:color w:val="000000" w:themeColor="dk1"/>
          <w:highlight w:val="none"/>
          <w:lang w:val="ru-RU"/>
        </w:rPr>
        <w:t>Труд и занятость</w:t>
      </w:r>
    </w:p>
    <w:p w14:paraId="00000090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21)</w:t>
      </w:r>
      <w:r>
        <w:rPr>
          <w:color w:val="000000" w:themeColor="dk1"/>
          <w:highlight w:val="none"/>
          <w:lang w:val="ru-RU"/>
        </w:rPr>
        <w:t>Туризм</w:t>
      </w:r>
    </w:p>
    <w:p w14:paraId="00000091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22)</w:t>
      </w:r>
      <w:r>
        <w:rPr>
          <w:color w:val="000000" w:themeColor="dk1"/>
          <w:highlight w:val="none"/>
          <w:lang w:val="ru-RU"/>
        </w:rPr>
        <w:t>Физическая культура и спорт</w:t>
      </w:r>
    </w:p>
    <w:p w14:paraId="00000092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23)</w:t>
      </w:r>
      <w:r>
        <w:rPr>
          <w:color w:val="000000" w:themeColor="dk1"/>
          <w:highlight w:val="none"/>
          <w:lang w:val="ru-RU"/>
        </w:rPr>
        <w:t>ЦУР</w:t>
      </w:r>
    </w:p>
    <w:p w14:paraId="00000093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24)</w:t>
      </w:r>
      <w:r>
        <w:rPr>
          <w:color w:val="000000" w:themeColor="dk1"/>
          <w:highlight w:val="none"/>
          <w:lang w:val="ru-RU"/>
        </w:rPr>
        <w:t>Экология</w:t>
      </w:r>
    </w:p>
    <w:p w14:paraId="00000094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25)</w:t>
      </w:r>
      <w:r>
        <w:rPr>
          <w:color w:val="000000" w:themeColor="dk1"/>
          <w:highlight w:val="none"/>
          <w:lang w:val="ru-RU"/>
        </w:rPr>
        <w:t>Экономика и бизнес</w:t>
      </w:r>
    </w:p>
    <w:p w14:paraId="00000095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>26)</w:t>
      </w:r>
      <w:r>
        <w:rPr>
          <w:color w:val="000000" w:themeColor="dk1"/>
          <w:highlight w:val="none"/>
          <w:lang w:val="ru-RU"/>
        </w:rPr>
        <w:t>Энергетика</w:t>
      </w:r>
    </w:p>
    <w:p w14:paraId="00000096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  <w:highlight w:val="none"/>
        </w:rPr>
      </w:pPr>
      <w:r>
        <w:rPr>
          <w:color w:val="000000" w:themeColor="dk1"/>
          <w:highlight w:val="none"/>
        </w:rPr>
        <w:t xml:space="preserve">27) </w:t>
      </w:r>
      <w:r>
        <w:rPr>
          <w:color w:val="000000" w:themeColor="dk1"/>
          <w:highlight w:val="none"/>
          <w:lang w:val="ru-RU"/>
        </w:rPr>
        <w:t>Пустое( тема не определена)</w:t>
      </w:r>
    </w:p>
    <w:p w14:paraId="00000097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  <w:highlight w:val="none"/>
        </w:rPr>
        <w:t>5. Кластеры проблем</w:t>
      </w:r>
    </w:p>
    <w:p w14:paraId="00000098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>Табл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ица problem_clusters хранит предвычисленные проблемные группы для быстрых графиков, отчетов и чатбота 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>на сайт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>. LLM генерирует название и описание только для кластеров, а не для каждой из 400 000 записей.</w:t>
      </w:r>
    </w:p>
    <w:p w14:paraId="00000099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Кластеры считаются отдельно по каждому муниципалитету.</w:t>
      </w:r>
    </w:p>
    <w:p w14:paraId="0000009A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Чатбот работает по problem_clusters и summaries, поэтому ответы формируются быстро.</w:t>
      </w:r>
    </w:p>
    <w:p w14:paraId="0000009B">
      <w:pPr>
        <w:pStyle w:val="Heading2"/>
        <w:rPr>
          <w:rFonts w:ascii="Times New Roman" w:hAnsi="Times New Roman"/>
          <w:color w:val="000000" w:themeColor="dk1"/>
        </w:rPr>
      </w:pPr>
    </w:p>
    <w:p w14:paraId="0000009C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Пример кластера</w:t>
      </w:r>
    </w:p>
    <w:tbl>
      <w:tblPr>
        <w:tblStyle w:val="TableGrid"/>
        <w:tblW w:w="0" w:type="auto"/>
        <w:jc w:val="center"/>
        <w:tblLook w:val="04A0"/>
      </w:tblPr>
      <w:tblGrid>
        <w:gridCol w:w="2835"/>
        <w:gridCol w:w="6236"/>
      </w:tblGrid>
      <w:tr>
        <w:trPr/>
        <w:tc>
          <w:tcPr>
            <w:cnfStyle w:val="101000000000"/>
            <w:tcW w:w="2835" w:type="dxa"/>
            <w:vAlign w:val="center"/>
          </w:tcPr>
          <w:p w14:paraId="0000009D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Название</w:t>
            </w:r>
          </w:p>
        </w:tc>
        <w:tc>
          <w:tcPr>
            <w:cnfStyle w:val="100000000000"/>
            <w:tcW w:w="6236" w:type="dxa"/>
            <w:vAlign w:val="center"/>
          </w:tcPr>
          <w:p w14:paraId="0000009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Аварийное состояние дороги по ул. Ленина</w:t>
            </w:r>
          </w:p>
        </w:tc>
      </w:tr>
      <w:tr>
        <w:trPr/>
        <w:tc>
          <w:tcPr>
            <w:cnfStyle w:val="001000100000"/>
            <w:tcW w:w="2835" w:type="dxa"/>
            <w:vAlign w:val="center"/>
          </w:tcPr>
          <w:p w14:paraId="0000009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Район</w:t>
            </w:r>
          </w:p>
        </w:tc>
        <w:tc>
          <w:tcPr>
            <w:cnfStyle w:val="000000100000"/>
            <w:tcW w:w="6236" w:type="dxa"/>
            <w:vAlign w:val="center"/>
          </w:tcPr>
          <w:p w14:paraId="000000A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Калачинский</w:t>
            </w:r>
          </w:p>
        </w:tc>
      </w:tr>
      <w:tr>
        <w:trPr/>
        <w:tc>
          <w:tcPr>
            <w:cnfStyle w:val="001000010000"/>
            <w:tcW w:w="2835" w:type="dxa"/>
            <w:vAlign w:val="center"/>
          </w:tcPr>
          <w:p w14:paraId="000000A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Категория</w:t>
            </w:r>
          </w:p>
        </w:tc>
        <w:tc>
          <w:tcPr>
            <w:cnfStyle w:val="000000010000"/>
            <w:tcW w:w="6236" w:type="dxa"/>
            <w:vAlign w:val="center"/>
          </w:tcPr>
          <w:p w14:paraId="000000A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Дороги и транспорт</w:t>
            </w:r>
          </w:p>
        </w:tc>
      </w:tr>
      <w:tr>
        <w:trPr/>
        <w:tc>
          <w:tcPr>
            <w:cnfStyle w:val="001000100000"/>
            <w:tcW w:w="2835" w:type="dxa"/>
            <w:vAlign w:val="center"/>
          </w:tcPr>
          <w:p w14:paraId="000000A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Тяжесть</w:t>
            </w:r>
          </w:p>
        </w:tc>
        <w:tc>
          <w:tcPr>
            <w:cnfStyle w:val="000000100000"/>
            <w:tcW w:w="6236" w:type="dxa"/>
            <w:vAlign w:val="center"/>
          </w:tcPr>
          <w:p w14:paraId="000000A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Высокая</w:t>
            </w:r>
          </w:p>
        </w:tc>
      </w:tr>
      <w:tr>
        <w:trPr/>
        <w:tc>
          <w:tcPr>
            <w:cnfStyle w:val="001000010000"/>
            <w:tcW w:w="2835" w:type="dxa"/>
            <w:vAlign w:val="center"/>
          </w:tcPr>
          <w:p w14:paraId="000000A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Обращений</w:t>
            </w:r>
          </w:p>
        </w:tc>
        <w:tc>
          <w:tcPr>
            <w:cnfStyle w:val="000000010000"/>
            <w:tcW w:w="6236" w:type="dxa"/>
            <w:vAlign w:val="center"/>
          </w:tcPr>
          <w:p w14:paraId="000000A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47</w:t>
            </w:r>
          </w:p>
        </w:tc>
      </w:tr>
      <w:tr>
        <w:trPr/>
        <w:tc>
          <w:tcPr>
            <w:cnfStyle w:val="001000100000"/>
            <w:tcW w:w="2835" w:type="dxa"/>
            <w:vAlign w:val="center"/>
          </w:tcPr>
          <w:p w14:paraId="000000A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Описание</w:t>
            </w:r>
          </w:p>
        </w:tc>
        <w:tc>
          <w:tcPr>
            <w:cnfStyle w:val="000000100000"/>
            <w:tcW w:w="6236" w:type="dxa"/>
            <w:vAlign w:val="center"/>
          </w:tcPr>
          <w:p w14:paraId="000000A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Жители жалуются на крупные ямы и разрушенное покрытие. Проблема повторяется более 6 месяцев.</w:t>
            </w:r>
          </w:p>
        </w:tc>
      </w:tr>
    </w:tbl>
    <w:p w14:paraId="000000A9">
      <w:pPr>
        <w:rPr>
          <w:color w:val="000000" w:themeColor="dk1"/>
        </w:rPr>
      </w:pPr>
    </w:p>
    <w:p w14:paraId="000000AA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6. База данных</w:t>
      </w:r>
    </w:p>
    <w:p w14:paraId="000000AB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Многопользовательская логика</w:t>
      </w:r>
    </w:p>
    <w:p w14:paraId="000000AC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</w:rPr>
        <w:t>В базе есть users и user_id в processing_runs. Каждый пользователь видит только свои загрузки. На MVP может быть один пользователь по умолчанию, но структура готова к расширению.</w:t>
      </w:r>
    </w:p>
    <w:p w14:paraId="000000AD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7. API эндпоинты</w:t>
      </w:r>
    </w:p>
    <w:tbl>
      <w:tblPr>
        <w:tblStyle w:val="TableGrid"/>
        <w:tblW w:w="0" w:type="auto"/>
        <w:jc w:val="center"/>
        <w:tblLook w:val="04A0"/>
      </w:tblPr>
      <w:tblGrid>
        <w:gridCol w:w="1134"/>
        <w:gridCol w:w="3969"/>
        <w:gridCol w:w="3969"/>
      </w:tblGrid>
      <w:tr>
        <w:trPr/>
        <w:tc>
          <w:tcPr>
            <w:cnfStyle w:val="101000000000"/>
            <w:tcW w:w="1134" w:type="dxa"/>
            <w:vAlign w:val="center"/>
          </w:tcPr>
          <w:p w14:paraId="000000A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Метод</w:t>
            </w:r>
          </w:p>
        </w:tc>
        <w:tc>
          <w:tcPr>
            <w:cnfStyle w:val="100000000000"/>
            <w:tcW w:w="3969" w:type="dxa"/>
            <w:vAlign w:val="center"/>
          </w:tcPr>
          <w:p w14:paraId="000000A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URL</w:t>
            </w:r>
          </w:p>
        </w:tc>
        <w:tc>
          <w:tcPr>
            <w:cnfStyle w:val="100000000000"/>
            <w:tcW w:w="3969" w:type="dxa"/>
            <w:vAlign w:val="center"/>
          </w:tcPr>
          <w:p w14:paraId="000000B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/>
                <w:color w:val="000000" w:themeColor="dk1"/>
                <w:sz w:val="22"/>
              </w:rPr>
              <w:t>Описание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B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POST</w:t>
            </w:r>
          </w:p>
        </w:tc>
        <w:tc>
          <w:tcPr>
            <w:cnfStyle w:val="000000100000"/>
            <w:tcW w:w="3969" w:type="dxa"/>
            <w:vAlign w:val="center"/>
          </w:tcPr>
          <w:p w14:paraId="000000B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/api/upload</w:t>
            </w:r>
          </w:p>
        </w:tc>
        <w:tc>
          <w:tcPr>
            <w:cnfStyle w:val="000000100000"/>
            <w:tcW w:w="3969" w:type="dxa"/>
            <w:vAlign w:val="center"/>
          </w:tcPr>
          <w:p w14:paraId="000000B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Загрузка Excel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B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POST</w:t>
            </w:r>
          </w:p>
        </w:tc>
        <w:tc>
          <w:tcPr>
            <w:cnfStyle w:val="000000010000"/>
            <w:tcW w:w="3969" w:type="dxa"/>
            <w:vAlign w:val="center"/>
          </w:tcPr>
          <w:p w14:paraId="000000B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/api/process/{upload_id}</w:t>
            </w:r>
          </w:p>
        </w:tc>
        <w:tc>
          <w:tcPr>
            <w:cnfStyle w:val="000000010000"/>
            <w:tcW w:w="3969" w:type="dxa"/>
            <w:vAlign w:val="center"/>
          </w:tcPr>
          <w:p w14:paraId="000000B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Запуск обработки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B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100000"/>
            <w:tcW w:w="3969" w:type="dxa"/>
            <w:vAlign w:val="center"/>
          </w:tcPr>
          <w:p w14:paraId="000000B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/api/processing/{run_id}/status</w:t>
            </w:r>
          </w:p>
        </w:tc>
        <w:tc>
          <w:tcPr>
            <w:cnfStyle w:val="000000100000"/>
            <w:tcW w:w="3969" w:type="dxa"/>
            <w:vAlign w:val="center"/>
          </w:tcPr>
          <w:p w14:paraId="000000B9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Статус и прогресс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BA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010000"/>
            <w:tcW w:w="3969" w:type="dxa"/>
            <w:vAlign w:val="center"/>
          </w:tcPr>
          <w:p w14:paraId="000000BB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/api/dashboard/stats/{run_id}</w:t>
            </w:r>
          </w:p>
        </w:tc>
        <w:tc>
          <w:tcPr>
            <w:cnfStyle w:val="000000010000"/>
            <w:tcW w:w="3969" w:type="dxa"/>
            <w:vAlign w:val="center"/>
          </w:tcPr>
          <w:p w14:paraId="000000BC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Метрики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BD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100000"/>
            <w:tcW w:w="3969" w:type="dxa"/>
            <w:vAlign w:val="center"/>
          </w:tcPr>
          <w:p w14:paraId="000000B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/api/dashboard/top/{run_id}?n=10</w:t>
            </w:r>
          </w:p>
        </w:tc>
        <w:tc>
          <w:tcPr>
            <w:cnfStyle w:val="000000100000"/>
            <w:tcW w:w="3969" w:type="dxa"/>
            <w:vAlign w:val="center"/>
          </w:tcPr>
          <w:p w14:paraId="000000B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Топ-N районов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C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010000"/>
            <w:tcW w:w="3969" w:type="dxa"/>
            <w:vAlign w:val="center"/>
          </w:tcPr>
          <w:p w14:paraId="000000C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/api/dashboard/charts/{run_id}</w:t>
            </w:r>
          </w:p>
        </w:tc>
        <w:tc>
          <w:tcPr>
            <w:cnfStyle w:val="000000010000"/>
            <w:tcW w:w="3969" w:type="dxa"/>
            <w:vAlign w:val="center"/>
          </w:tcPr>
          <w:p w14:paraId="000000C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Данные для графиков с фильтрами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C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100000"/>
            <w:tcW w:w="3969" w:type="dxa"/>
            <w:vAlign w:val="center"/>
          </w:tcPr>
          <w:p w14:paraId="000000C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/api/clusters/{run_id}</w:t>
            </w:r>
          </w:p>
        </w:tc>
        <w:tc>
          <w:tcPr>
            <w:cnfStyle w:val="000000100000"/>
            <w:tcW w:w="3969" w:type="dxa"/>
            <w:vAlign w:val="center"/>
          </w:tcPr>
          <w:p w14:paraId="000000C5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Кластеры проблем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C6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010000"/>
            <w:tcW w:w="3969" w:type="dxa"/>
            <w:vAlign w:val="center"/>
          </w:tcPr>
          <w:p w14:paraId="000000C7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/api/appeals/{run_id}</w:t>
            </w:r>
          </w:p>
        </w:tc>
        <w:tc>
          <w:tcPr>
            <w:cnfStyle w:val="000000010000"/>
            <w:tcW w:w="3969" w:type="dxa"/>
            <w:vAlign w:val="center"/>
          </w:tcPr>
          <w:p w14:paraId="000000C8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Обращения, пагинация и фильтры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C9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100000"/>
            <w:tcW w:w="3969" w:type="dxa"/>
            <w:vAlign w:val="center"/>
          </w:tcPr>
          <w:p w14:paraId="000000CA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/api/appeals/{run_id}/export</w:t>
            </w:r>
          </w:p>
        </w:tc>
        <w:tc>
          <w:tcPr>
            <w:cnfStyle w:val="000000100000"/>
            <w:tcW w:w="3969" w:type="dxa"/>
            <w:vAlign w:val="center"/>
          </w:tcPr>
          <w:p w14:paraId="000000CB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Письма XLSX по текущим фильтрам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CC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GET</w:t>
            </w:r>
          </w:p>
        </w:tc>
        <w:tc>
          <w:tcPr>
            <w:cnfStyle w:val="000000010000"/>
            <w:tcW w:w="3969" w:type="dxa"/>
            <w:vAlign w:val="center"/>
          </w:tcPr>
          <w:p w14:paraId="000000CD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/api/reports/{run_id}/excel</w:t>
            </w:r>
          </w:p>
        </w:tc>
        <w:tc>
          <w:tcPr>
            <w:cnfStyle w:val="000000010000"/>
            <w:tcW w:w="3969" w:type="dxa"/>
            <w:vAlign w:val="center"/>
          </w:tcPr>
          <w:p w14:paraId="000000CE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Справка XLSX</w:t>
            </w:r>
          </w:p>
        </w:tc>
      </w:tr>
      <w:tr>
        <w:trPr/>
        <w:tc>
          <w:tcPr>
            <w:cnfStyle w:val="001000100000"/>
            <w:tcW w:w="1134" w:type="dxa"/>
            <w:vAlign w:val="center"/>
          </w:tcPr>
          <w:p w14:paraId="000000CF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POST</w:t>
            </w:r>
          </w:p>
        </w:tc>
        <w:tc>
          <w:tcPr>
            <w:cnfStyle w:val="000000100000"/>
            <w:tcW w:w="3969" w:type="dxa"/>
            <w:vAlign w:val="center"/>
          </w:tcPr>
          <w:p w14:paraId="000000D0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/api/chat</w:t>
            </w:r>
          </w:p>
        </w:tc>
        <w:tc>
          <w:tcPr>
            <w:cnfStyle w:val="000000100000"/>
            <w:tcW w:w="3969" w:type="dxa"/>
            <w:vAlign w:val="center"/>
          </w:tcPr>
          <w:p w14:paraId="000000D1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Чатбот Text2SQL</w:t>
            </w:r>
          </w:p>
        </w:tc>
      </w:tr>
      <w:tr>
        <w:trPr/>
        <w:tc>
          <w:tcPr>
            <w:cnfStyle w:val="001000010000"/>
            <w:tcW w:w="1134" w:type="dxa"/>
            <w:vAlign w:val="center"/>
          </w:tcPr>
          <w:p w14:paraId="000000D2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POST</w:t>
            </w:r>
          </w:p>
        </w:tc>
        <w:tc>
          <w:tcPr>
            <w:cnfStyle w:val="000000010000"/>
            <w:tcW w:w="3969" w:type="dxa"/>
            <w:vAlign w:val="center"/>
          </w:tcPr>
          <w:p w14:paraId="000000D3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/api/chat/export</w:t>
            </w:r>
          </w:p>
        </w:tc>
        <w:tc>
          <w:tcPr>
            <w:cnfStyle w:val="000000010000"/>
            <w:tcW w:w="3969" w:type="dxa"/>
            <w:vAlign w:val="center"/>
          </w:tcPr>
          <w:p w14:paraId="000000D4">
            <w:pPr>
              <w:rPr>
                <w:color w:val="000000" w:themeColor="dk1"/>
              </w:rPr>
            </w:pPr>
            <w:r>
              <w:rPr>
                <w:rFonts w:ascii="Times New Roman" w:hAnsi="Times New Roman"/>
                <w:b w:val="off"/>
                <w:color w:val="000000" w:themeColor="dk1"/>
                <w:sz w:val="22"/>
              </w:rPr>
              <w:t>Результат XLSX по последнему ответу чатбота</w:t>
            </w:r>
          </w:p>
        </w:tc>
      </w:tr>
    </w:tbl>
    <w:p w14:paraId="000000D5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0D6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8. React UI</w:t>
      </w:r>
    </w:p>
    <w:p w14:paraId="000000D7">
      <w:pPr>
        <w:spacing w:after="120"/>
        <w:rPr>
          <w:rFonts w:ascii="Times New Roman" w:cs="Times New Roman" w:hAnsi="Times New Roman"/>
          <w:color w:val="000000" w:themeColor="dk1"/>
          <w:sz w:val="24"/>
          <w:szCs w:val="24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 xml:space="preserve">Мы 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>разработали макет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 xml:space="preserve"> интерфейса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 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>в виде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 аналитическ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 xml:space="preserve">ого 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>дашборд</w:t>
      </w:r>
      <w:r>
        <w:rPr>
          <w:rFonts w:ascii="Times New Roman" w:hAnsi="Times New Roman"/>
          <w:b w:val="off"/>
          <w:i w:val="off"/>
          <w:color w:val="000000" w:themeColor="dk1"/>
          <w:sz w:val="24"/>
          <w:lang w:val="ru-RU"/>
        </w:rPr>
        <w:t>а</w:t>
      </w:r>
      <w:r>
        <w:rPr>
          <w:rFonts w:ascii="Times New Roman" w:hAnsi="Times New Roman"/>
          <w:b w:val="off"/>
          <w:i w:val="off"/>
          <w:color w:val="000000" w:themeColor="dk1"/>
          <w:sz w:val="24"/>
        </w:rPr>
        <w:t xml:space="preserve">. Основной экран сразу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4"/>
          <w:szCs w:val="24"/>
        </w:rPr>
        <w:t>показывает загрузку, прогресс, метрики, графики, таблицы и экспорт.</w:t>
      </w: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 xml:space="preserve">Реализован рабочий end-to-end сценарий: docker-compose поднимает PostgreSQL, backend принимает файл и запускает обработку, frontend отображает дашборд, фильтры, таблицы и экспорт. На текущем прогоне обработано 419 054 строк исходного датасета, после фильтрации — 47 158 записей, найдено 40 511 проблемных обращений и 733 кластера - 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ru-RU"/>
        </w:rPr>
        <w:t>для большого датасета</w:t>
      </w: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>.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ru-RU"/>
        </w:rPr>
        <w:t>Для малого датасета информация предоставлена на слайдах.</w:t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en-US"/>
        </w:rPr>
      </w:pP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ru-RU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highlight w:val="none"/>
          <w:rtl w:val="off"/>
          <w:lang w:val="en-US"/>
        </w:rPr>
        <w:t>Для оценки масштабируемости система уже проверена на полном файле: 419 054 исходных строк. Узкие места — построение bge-m3 эмбеддингов и кластеризация; для демо используется кэширование эмбеддингов и результатов LLM, поэтому повторные запуски проходят быстрее.</w:t>
      </w:r>
      <w:r>
        <w:rPr>
          <w:rFonts w:ascii="Times New Roman" w:cs="Times New Roman" w:hAnsi="Times New Roman"/>
          <w:color w:val="000000" w:themeColor="dk1"/>
          <w:sz w:val="24"/>
          <w:szCs w:val="24"/>
          <w:rtl w:val="off"/>
          <w:lang w:val="en-US"/>
        </w:rPr>
        <w:t xml:space="preserve"> </w:t>
      </w: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 w:themeColor="dk1"/>
          <w:sz w:val="24"/>
          <w:szCs w:val="24"/>
          <w:lang w:val="ru-RU"/>
        </w:rPr>
      </w:pPr>
    </w:p>
    <w:p w14:paraId="000000DC">
      <w:pPr>
        <w:spacing w:after="120"/>
        <w:rPr>
          <w:rFonts w:ascii="Times New Roman" w:cs="Times New Roman" w:hAnsi="Times New Roman"/>
          <w:color w:val="000000" w:themeColor="dk1"/>
          <w:sz w:val="24"/>
          <w:szCs w:val="24"/>
        </w:rPr>
      </w:pPr>
      <w:r>
        <w:rPr>
          <w:rFonts w:ascii="Times New Roman" w:cs="Times New Roman" w:hAnsi="Times New Roman"/>
          <w:color w:val="000000" w:themeColor="dk1"/>
          <w:sz w:val="24"/>
          <w:szCs w:val="24"/>
          <w:lang w:val="ru-RU"/>
        </w:rPr>
        <w:t>обработка тестового датасета 26 тысяч строк</w:t>
      </w:r>
    </w:p>
    <w:p w14:paraId="000000DD">
      <w:pPr>
        <w:jc w:val="center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108700" cy="30549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E">
      <w:pPr>
        <w:jc w:val="center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5398135" cy="40481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jc w:val="center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548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>
      <w:pPr>
        <w:jc w:val="left"/>
        <w:rPr>
          <w:color w:val="000000" w:themeColor="dk1"/>
        </w:rPr>
      </w:pPr>
      <w:r>
        <w:rPr>
          <w:color w:val="000000" w:themeColor="dk1"/>
          <w:lang w:val="ru-RU"/>
        </w:rPr>
        <w:t>Обработка основного датасета</w:t>
      </w:r>
    </w:p>
    <w:p w14:paraId="000000E1">
      <w:pPr>
        <w:jc w:val="left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0321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2">
      <w:pPr>
        <w:jc w:val="left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481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3">
      <w:pPr>
        <w:jc w:val="left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5026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4">
      <w:pPr>
        <w:jc w:val="left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441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>
      <w:pPr>
        <w:jc w:val="center"/>
        <w:rPr>
          <w:color w:val="000000" w:themeColor="dk1"/>
        </w:rPr>
      </w:pPr>
    </w:p>
    <w:p w14:paraId="000000E6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Структура страницы Дашборд</w:t>
      </w:r>
    </w:p>
    <w:p w14:paraId="000000E7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Шапка: логотип, название продукта, табы Дашборд / Чатбот.</w:t>
      </w:r>
    </w:p>
    <w:p w14:paraId="000000E8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Левая колонка: drag &amp; drop Excel, информация о выбранном файле, кнопка Заменить файл, прогресс обработки по шагам и основная кнопка Запустить анализ.</w:t>
      </w:r>
    </w:p>
    <w:p w14:paraId="000000E9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Верхняя панель сводки: заголовок текущей загрузки, кнопки Письма XLSX и Справка XLSX, отдельная иконка сброса фильтров.</w:t>
      </w:r>
    </w:p>
    <w:p w14:paraId="000000EA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 xml:space="preserve">Метрики: </w:t>
      </w:r>
      <w:r>
        <w:rPr>
          <w:rFonts w:ascii="Times New Roman" w:hAnsi="Times New Roman"/>
          <w:color w:val="000000" w:themeColor="dk1"/>
          <w:sz w:val="24"/>
          <w:lang w:val="ru-RU"/>
        </w:rPr>
        <w:t>в</w:t>
      </w:r>
      <w:r>
        <w:rPr>
          <w:rFonts w:ascii="Times New Roman" w:hAnsi="Times New Roman"/>
          <w:color w:val="000000" w:themeColor="dk1"/>
          <w:sz w:val="24"/>
        </w:rPr>
        <w:t xml:space="preserve">сего, </w:t>
      </w:r>
      <w:r>
        <w:rPr>
          <w:rFonts w:ascii="Times New Roman" w:hAnsi="Times New Roman"/>
          <w:color w:val="000000" w:themeColor="dk1"/>
          <w:sz w:val="24"/>
          <w:lang w:val="ru-RU"/>
        </w:rPr>
        <w:t>п</w:t>
      </w:r>
      <w:r>
        <w:rPr>
          <w:rFonts w:ascii="Times New Roman" w:hAnsi="Times New Roman"/>
          <w:color w:val="000000" w:themeColor="dk1"/>
          <w:sz w:val="24"/>
        </w:rPr>
        <w:t xml:space="preserve">роблемных, </w:t>
      </w:r>
      <w:r>
        <w:rPr>
          <w:rFonts w:ascii="Times New Roman" w:hAnsi="Times New Roman"/>
          <w:color w:val="000000" w:themeColor="dk1"/>
          <w:sz w:val="24"/>
          <w:lang w:val="ru-RU"/>
        </w:rPr>
        <w:t>к</w:t>
      </w:r>
      <w:r>
        <w:rPr>
          <w:rFonts w:ascii="Times New Roman" w:hAnsi="Times New Roman"/>
          <w:color w:val="000000" w:themeColor="dk1"/>
          <w:sz w:val="24"/>
        </w:rPr>
        <w:t>ластеров.</w:t>
      </w:r>
    </w:p>
    <w:p w14:paraId="000000EB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Фильтры: район, тяжесть, категория, счетчик примененных фильтров.</w:t>
      </w:r>
    </w:p>
    <w:p w14:paraId="000000EC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Графики: Топ-10 районов в виде горизонтального bar chart, Тяжесть в виде donut chart, Категории списком с иконками и процентами.</w:t>
      </w:r>
    </w:p>
    <w:p w14:paraId="000000ED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Таблицы: табы Кластеры проблем / Обращения, поиск по району или теме, стрелка drill-down из кластера к обращениям.</w:t>
      </w:r>
    </w:p>
    <w:p w14:paraId="000000EE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Экспорт в новом макете</w:t>
      </w:r>
    </w:p>
    <w:p w14:paraId="000000EF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  <w:lang w:val="ru-RU"/>
        </w:rPr>
        <w:t>Кнопка "Загрузить"</w:t>
      </w:r>
      <w:r>
        <w:rPr>
          <w:rFonts w:ascii="Times New Roman" w:hAnsi="Times New Roman"/>
          <w:color w:val="000000" w:themeColor="dk1"/>
          <w:sz w:val="24"/>
        </w:rPr>
        <w:t xml:space="preserve"> - Excel с двумя листами: Сводка по текущему фильтру и Обращения с отфильтрованными записями.</w:t>
      </w:r>
    </w:p>
    <w:p w14:paraId="000000F0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  <w:lang w:val="ru-RU"/>
        </w:rPr>
        <w:t>Кнопка "Отчет"</w:t>
      </w:r>
      <w:r>
        <w:rPr>
          <w:rFonts w:ascii="Times New Roman" w:hAnsi="Times New Roman"/>
          <w:color w:val="000000" w:themeColor="dk1"/>
          <w:sz w:val="24"/>
        </w:rPr>
        <w:t xml:space="preserve"> - аналитическая справка для руководства: топ-10 районов, ключевые проблемы, статистика, выдержки из характерных обращений. </w:t>
      </w:r>
    </w:p>
    <w:p w14:paraId="000000F1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 xml:space="preserve">Результат XLSX - экспорт таблицы из последнего SQL-ответа чатбота. </w:t>
      </w:r>
    </w:p>
    <w:p w14:paraId="000000F2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0F3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0F4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7452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5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  <w:r>
        <w:rPr>
          <w:color w:val="000000" w:themeColor="dk1"/>
        </w:rPr>
        <w:drawing xmlns:mc="http://schemas.openxmlformats.org/markup-compatibility/2006">
          <wp:inline>
            <wp:extent cx="6332220" cy="3663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6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0F7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Поведение интерактивных элементов</w:t>
      </w:r>
    </w:p>
    <w:p w14:paraId="000000F8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Клик по столбцу Топ-10 районов фильтрует таблицы и остальные графики по району.</w:t>
      </w:r>
    </w:p>
    <w:p w14:paraId="000000F9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Клик по сектору donut chart фильтрует по тяжести.</w:t>
      </w:r>
    </w:p>
    <w:p w14:paraId="000000FA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Клик по категории фильтрует по категории.</w:t>
      </w:r>
    </w:p>
    <w:p w14:paraId="000000FB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Кнопка сброса очищает все выбранные фильтры и возвращает графики к общей выборке.</w:t>
      </w:r>
    </w:p>
    <w:p w14:paraId="000000FC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Стрелка в строке кластера открывает таб Обращения с фильтром по выбранному кластеру.</w:t>
      </w:r>
    </w:p>
    <w:p w14:paraId="000000FD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Страница Чатбот</w:t>
      </w:r>
    </w:p>
    <w:p w14:paraId="000000FE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Полноэкранный chat UI с историей сообщений и quick-action чипами.</w:t>
      </w:r>
    </w:p>
    <w:p w14:paraId="000000FF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Text2SQL работает по problem_clusters, summaries и appeals.</w:t>
      </w:r>
    </w:p>
    <w:p w14:paraId="00000100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ConversationBufferWindowMemory(k=5) хранит последние 5 сообщений.</w:t>
      </w:r>
    </w:p>
    <w:p w14:paraId="00000101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После ответа с табличными данными доступна кнопка Скачать результат.</w:t>
      </w:r>
    </w:p>
    <w:p w14:paraId="00000102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103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9. Чатбот: LangChain + Text2SQL</w:t>
      </w:r>
    </w:p>
    <w:p w14:paraId="00000104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Архитектура</w:t>
      </w:r>
    </w:p>
    <w:p w14:paraId="00000105">
      <w:pPr>
        <w:spacing w:after="120"/>
        <w:rPr>
          <w:color w:val="000000" w:themeColor="dk1"/>
        </w:rPr>
      </w:pPr>
      <w:r>
        <w:rPr>
          <w:rFonts w:ascii="Times New Roman" w:hAnsi="Times New Roman"/>
          <w:b w:val="off"/>
          <w:i w:val="off"/>
          <w:color w:val="000000" w:themeColor="dk1"/>
          <w:sz w:val="24"/>
        </w:rPr>
        <w:t>Вопрос пользователя передается в LangChain chain. LLM генерирует безопасный SELECT-запрос, backend выполняет его с ограничениями, затем LLM суммирует результат в понятный ответ.</w:t>
      </w:r>
    </w:p>
    <w:p w14:paraId="00000106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Компоненты</w:t>
      </w:r>
    </w:p>
    <w:p w14:paraId="00000107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ChatOllama(model="qwen3:8b") - LLM через Ollama.</w:t>
      </w:r>
    </w:p>
    <w:p w14:paraId="00000108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ConversationBufferWindowMemory(k=5) - последние 5 сообщений.</w:t>
      </w:r>
    </w:p>
    <w:p w14:paraId="00000109">
      <w:pPr>
        <w:pStyle w:val="ListBullet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Кастомный chain: генерация SQL, выполнение SQL, суммаризация результата.</w:t>
      </w:r>
    </w:p>
    <w:p w14:paraId="0000010A">
      <w:pPr>
        <w:pStyle w:val="ListBullet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10B">
      <w:pPr>
        <w:pStyle w:val="Heading1"/>
        <w:rPr>
          <w:rFonts w:ascii="Times New Roman" w:hAnsi="Times New Roman"/>
          <w:b/>
          <w:color w:val="000000" w:themeColor="dk1"/>
          <w:sz w:val="32"/>
          <w:szCs w:val="24"/>
        </w:rPr>
      </w:pPr>
      <w:r>
        <w:rPr>
          <w:rFonts w:ascii="Times New Roman" w:hAnsi="Times New Roman"/>
          <w:b/>
          <w:color w:val="000000" w:themeColor="dk1"/>
          <w:sz w:val="32"/>
          <w:szCs w:val="24"/>
        </w:rPr>
        <w:t xml:space="preserve">10. </w:t>
      </w:r>
      <w:r>
        <w:rPr>
          <w:rFonts w:ascii="Times New Roman" w:hAnsi="Times New Roman"/>
          <w:b/>
          <w:color w:val="000000" w:themeColor="dk1"/>
          <w:sz w:val="32"/>
          <w:szCs w:val="24"/>
        </w:rPr>
        <w:t>Описание выходных файлов Excel</w:t>
      </w:r>
    </w:p>
    <w:p w14:paraId="0000010C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Приложение генерирует два типа Excel-файлов, доступных через UI на главной странице.</w:t>
      </w:r>
    </w:p>
    <w:p w14:paraId="0000010D">
      <w:pPr>
        <w:pStyle w:val="Heading2"/>
        <w:rPr>
          <w:rFonts w:ascii="Times New Roman" w:hAnsi="Times New Roman"/>
          <w:b/>
          <w:color w:val="000000" w:themeColor="dk1"/>
          <w:sz w:val="28"/>
          <w:szCs w:val="26"/>
        </w:rPr>
      </w:pPr>
      <w:r>
        <w:rPr>
          <w:rFonts w:ascii="Times New Roman" w:hAnsi="Times New Roman"/>
          <w:b/>
          <w:color w:val="000000" w:themeColor="dk1"/>
          <w:sz w:val="28"/>
          <w:szCs w:val="26"/>
        </w:rPr>
        <w:t>1. Отчёт (кнопка "Отчет")</w:t>
      </w:r>
    </w:p>
    <w:p w14:paraId="0000010E">
      <w:pPr>
        <w:pStyle w:val="Heading2"/>
        <w:rPr>
          <w:rFonts w:ascii="Times New Roman" w:hAnsi="Times New Roman"/>
          <w:b/>
          <w:color w:val="000000" w:themeColor="dk1"/>
          <w:sz w:val="24"/>
          <w:szCs w:val="26"/>
        </w:rPr>
      </w:pPr>
      <w:r>
        <w:rPr>
          <w:rFonts w:ascii="Times New Roman" w:hAnsi="Times New Roman"/>
          <w:b/>
          <w:color w:val="000000" w:themeColor="dk1"/>
          <w:sz w:val="24"/>
          <w:szCs w:val="26"/>
        </w:rPr>
        <w:t>Лист "Топ-10 районов"</w:t>
      </w:r>
    </w:p>
    <w:p w14:paraId="0000010F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Сводка по 10 районам с наибольшим количеством обращений. Колонки:</w:t>
      </w:r>
    </w:p>
    <w:p w14:paraId="00000110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# - ранг района</w:t>
      </w:r>
    </w:p>
    <w:p w14:paraId="00000111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Область/район</w:t>
      </w:r>
    </w:p>
    <w:p w14:paraId="00000112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Проблема - главная проблема района (топ-1 кластер)</w:t>
      </w:r>
    </w:p>
    <w:p w14:paraId="00000113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Количество обращений</w:t>
      </w:r>
    </w:p>
    <w:p w14:paraId="00000114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Средний ранг - среднее по кластерам района</w:t>
      </w:r>
    </w:p>
    <w:p w14:paraId="00000115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3 ключевые проблемы - топ-3 кластера района</w:t>
      </w:r>
    </w:p>
    <w:p w14:paraId="00000116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 xml:space="preserve">• Главная выдержка - по одной выдержке </w:t>
      </w:r>
      <w:r>
        <w:rPr>
          <w:rFonts w:ascii="Times New Roman" w:hAnsi="Times New Roman"/>
          <w:color w:val="000000" w:themeColor="dk1"/>
          <w:sz w:val="24"/>
          <w:szCs w:val="22"/>
        </w:rPr>
        <w:t>из центроида</w:t>
      </w:r>
      <w:r>
        <w:rPr>
          <w:rFonts w:ascii="Times New Roman" w:hAnsi="Times New Roman"/>
          <w:color w:val="000000" w:themeColor="dk1"/>
          <w:sz w:val="24"/>
          <w:szCs w:val="22"/>
        </w:rPr>
        <w:t xml:space="preserve"> на каждый топ-кластер</w:t>
      </w:r>
    </w:p>
    <w:p w14:paraId="00000117">
      <w:pPr>
        <w:pStyle w:val="Heading2"/>
        <w:rPr>
          <w:rFonts w:ascii="Times New Roman" w:hAnsi="Times New Roman"/>
          <w:b/>
          <w:color w:val="000000" w:themeColor="dk1"/>
          <w:sz w:val="24"/>
          <w:szCs w:val="26"/>
        </w:rPr>
      </w:pPr>
      <w:r>
        <w:rPr>
          <w:rFonts w:ascii="Times New Roman" w:hAnsi="Times New Roman"/>
          <w:b/>
          <w:color w:val="000000" w:themeColor="dk1"/>
          <w:sz w:val="24"/>
          <w:szCs w:val="26"/>
        </w:rPr>
        <w:t>Лист "Топ-3 подробно"</w:t>
      </w:r>
    </w:p>
    <w:p w14:paraId="00000118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Для каждого из топ-3 районов отдельная таблица со всеми кластерами проблем. Колонки:</w:t>
      </w:r>
    </w:p>
    <w:p w14:paraId="00000119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# - порядковый номер кластера в районе</w:t>
      </w:r>
    </w:p>
    <w:p w14:paraId="0000011A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Проблема - название кластера (LLM-генерация)</w:t>
      </w:r>
    </w:p>
    <w:p w14:paraId="0000011B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Количество обращений по проблеме</w:t>
      </w:r>
    </w:p>
    <w:p w14:paraId="0000011C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Ранг проблемы - по composite-формуле (appeals + diversity + severity)</w:t>
      </w:r>
    </w:p>
    <w:p w14:paraId="0000011D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Главная выдержка из центроида проблемы</w:t>
      </w:r>
    </w:p>
    <w:p w14:paraId="0000011E">
      <w:pPr>
        <w:pStyle w:val="Heading2"/>
        <w:rPr>
          <w:rFonts w:ascii="Times New Roman" w:hAnsi="Times New Roman"/>
          <w:b/>
          <w:color w:val="000000" w:themeColor="dk1"/>
          <w:sz w:val="24"/>
          <w:szCs w:val="26"/>
        </w:rPr>
      </w:pPr>
      <w:r>
        <w:rPr>
          <w:rFonts w:ascii="Times New Roman" w:hAnsi="Times New Roman"/>
          <w:b/>
          <w:color w:val="000000" w:themeColor="dk1"/>
          <w:sz w:val="24"/>
          <w:szCs w:val="26"/>
        </w:rPr>
        <w:t>Лист "Отчёт"</w:t>
      </w:r>
    </w:p>
    <w:p w14:paraId="0000011F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Полный отчёт по всем муниципалитетам, одна строка на район. Колонки:</w:t>
      </w:r>
    </w:p>
    <w:p w14:paraId="00000120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Муниципалитет</w:t>
      </w:r>
    </w:p>
    <w:p w14:paraId="00000121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Количество обращений</w:t>
      </w:r>
    </w:p>
    <w:p w14:paraId="00000122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Ранг</w:t>
      </w:r>
    </w:p>
    <w:p w14:paraId="00000123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3 ключевые проблемы</w:t>
      </w:r>
    </w:p>
    <w:p w14:paraId="00000124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Выдержка из текста инцидента</w:t>
      </w:r>
    </w:p>
    <w:p w14:paraId="00000125">
      <w:pPr>
        <w:pStyle w:val="Heading2"/>
        <w:rPr>
          <w:rFonts w:ascii="Times New Roman" w:hAnsi="Times New Roman"/>
          <w:b/>
          <w:color w:val="000000" w:themeColor="dk1"/>
          <w:sz w:val="28"/>
          <w:szCs w:val="26"/>
        </w:rPr>
      </w:pPr>
      <w:r>
        <w:rPr>
          <w:rFonts w:ascii="Times New Roman" w:hAnsi="Times New Roman"/>
          <w:b/>
          <w:color w:val="000000" w:themeColor="dk1"/>
          <w:sz w:val="28"/>
          <w:szCs w:val="26"/>
        </w:rPr>
        <w:t>2. Письма (кнопка "Загрузить")</w:t>
      </w:r>
    </w:p>
    <w:p w14:paraId="00000126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Генерируется с учётом текущих фильтров дашборда (муниципалитет, тяжесть, категория, кластер).</w:t>
      </w:r>
    </w:p>
    <w:p w14:paraId="00000127">
      <w:pPr>
        <w:pStyle w:val="Heading2"/>
        <w:rPr>
          <w:rFonts w:ascii="Times New Roman" w:hAnsi="Times New Roman"/>
          <w:b/>
          <w:color w:val="000000" w:themeColor="dk1"/>
          <w:sz w:val="24"/>
          <w:szCs w:val="26"/>
        </w:rPr>
      </w:pPr>
      <w:r>
        <w:rPr>
          <w:rFonts w:ascii="Times New Roman" w:hAnsi="Times New Roman"/>
          <w:b/>
          <w:color w:val="000000" w:themeColor="dk1"/>
          <w:sz w:val="24"/>
          <w:szCs w:val="26"/>
        </w:rPr>
        <w:t>Лист "Сводка"</w:t>
      </w:r>
    </w:p>
    <w:p w14:paraId="00000128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Агрегированная статистика по применённым фильтрам:</w:t>
      </w:r>
    </w:p>
    <w:p w14:paraId="00000129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Всего записей</w:t>
      </w:r>
    </w:p>
    <w:p w14:paraId="0000012A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Разбивка по тяжести (</w:t>
      </w:r>
      <w:r>
        <w:rPr>
          <w:rFonts w:ascii="Times New Roman" w:hAnsi="Times New Roman"/>
          <w:color w:val="000000" w:themeColor="dk1"/>
          <w:sz w:val="24"/>
          <w:szCs w:val="22"/>
          <w:lang w:val="ru-RU"/>
        </w:rPr>
        <w:t>критическая</w:t>
      </w:r>
      <w:r>
        <w:rPr>
          <w:rFonts w:ascii="Times New Roman" w:hAnsi="Times New Roman"/>
          <w:color w:val="000000" w:themeColor="dk1"/>
          <w:sz w:val="24"/>
          <w:szCs w:val="22"/>
        </w:rPr>
        <w:t xml:space="preserve"> / </w:t>
      </w:r>
      <w:r>
        <w:rPr>
          <w:rFonts w:ascii="Times New Roman" w:hAnsi="Times New Roman"/>
          <w:color w:val="000000" w:themeColor="dk1"/>
          <w:sz w:val="24"/>
          <w:szCs w:val="22"/>
          <w:lang w:val="ru-RU"/>
        </w:rPr>
        <w:t>высокая</w:t>
      </w:r>
      <w:r>
        <w:rPr>
          <w:rFonts w:ascii="Times New Roman" w:hAnsi="Times New Roman"/>
          <w:color w:val="000000" w:themeColor="dk1"/>
          <w:sz w:val="24"/>
          <w:szCs w:val="22"/>
        </w:rPr>
        <w:t xml:space="preserve"> / </w:t>
      </w:r>
      <w:r>
        <w:rPr>
          <w:rFonts w:ascii="Times New Roman" w:hAnsi="Times New Roman"/>
          <w:color w:val="000000" w:themeColor="dk1"/>
          <w:sz w:val="24"/>
          <w:szCs w:val="22"/>
          <w:lang w:val="ru-RU"/>
        </w:rPr>
        <w:t>средняя</w:t>
      </w:r>
      <w:r>
        <w:rPr>
          <w:rFonts w:ascii="Times New Roman" w:hAnsi="Times New Roman"/>
          <w:color w:val="000000" w:themeColor="dk1"/>
          <w:sz w:val="24"/>
          <w:szCs w:val="22"/>
        </w:rPr>
        <w:t xml:space="preserve"> / </w:t>
      </w:r>
      <w:r>
        <w:rPr>
          <w:rFonts w:ascii="Times New Roman" w:hAnsi="Times New Roman"/>
          <w:color w:val="000000" w:themeColor="dk1"/>
          <w:sz w:val="24"/>
          <w:szCs w:val="22"/>
          <w:lang w:val="ru-RU"/>
        </w:rPr>
        <w:t>низкая</w:t>
      </w:r>
      <w:r>
        <w:rPr>
          <w:rFonts w:ascii="Times New Roman" w:hAnsi="Times New Roman"/>
          <w:color w:val="000000" w:themeColor="dk1"/>
          <w:sz w:val="24"/>
          <w:szCs w:val="22"/>
        </w:rPr>
        <w:t>)</w:t>
      </w:r>
    </w:p>
    <w:p w14:paraId="0000012B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Разбивка по категории (27 категорий)</w:t>
      </w:r>
    </w:p>
    <w:p w14:paraId="0000012C">
      <w:pPr>
        <w:pStyle w:val="Heading2"/>
        <w:rPr>
          <w:rFonts w:ascii="Times New Roman" w:hAnsi="Times New Roman"/>
          <w:b/>
          <w:color w:val="000000" w:themeColor="dk1"/>
          <w:sz w:val="24"/>
          <w:szCs w:val="26"/>
        </w:rPr>
      </w:pPr>
      <w:r>
        <w:rPr>
          <w:rFonts w:ascii="Times New Roman" w:hAnsi="Times New Roman"/>
          <w:b/>
          <w:color w:val="000000" w:themeColor="dk1"/>
          <w:sz w:val="24"/>
          <w:szCs w:val="26"/>
        </w:rPr>
        <w:t>Лист "Обращения"</w:t>
      </w:r>
    </w:p>
    <w:p w14:paraId="0000012D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Детальные данные по каждому обращению</w:t>
      </w:r>
      <w:r>
        <w:rPr>
          <w:rFonts w:ascii="Times New Roman" w:hAnsi="Times New Roman"/>
          <w:color w:val="000000" w:themeColor="dk1"/>
          <w:sz w:val="24"/>
          <w:szCs w:val="22"/>
        </w:rPr>
        <w:t>. Колонки:</w:t>
      </w:r>
    </w:p>
    <w:p w14:paraId="0000012E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# - порядковый номер</w:t>
      </w:r>
    </w:p>
    <w:p w14:paraId="0000012F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Район</w:t>
      </w:r>
    </w:p>
    <w:p w14:paraId="00000130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Текст обращения (до 500 символов)</w:t>
      </w:r>
    </w:p>
    <w:p w14:paraId="00000131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 xml:space="preserve">• </w:t>
      </w:r>
      <w:r>
        <w:rPr>
          <w:rFonts w:ascii="Times New Roman" w:hAnsi="Times New Roman"/>
          <w:color w:val="000000" w:themeColor="dk1"/>
          <w:sz w:val="24"/>
          <w:szCs w:val="22"/>
          <w:lang w:val="ru-RU"/>
        </w:rPr>
        <w:t>Тема</w:t>
      </w:r>
    </w:p>
    <w:p w14:paraId="00000132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Тип инцидента</w:t>
      </w:r>
    </w:p>
    <w:p w14:paraId="00000133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Итог</w:t>
      </w:r>
    </w:p>
    <w:p w14:paraId="00000134">
      <w:pPr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Тяжесть</w:t>
      </w:r>
    </w:p>
    <w:p w14:paraId="00000135">
      <w:pPr>
        <w:spacing w:after="60"/>
        <w:rPr>
          <w:rFonts w:ascii="Times New Roman" w:hAnsi="Times New Roman"/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  <w:szCs w:val="22"/>
        </w:rPr>
        <w:t>• Категория</w:t>
      </w:r>
    </w:p>
    <w:p w14:paraId="00000136">
      <w:pPr>
        <w:pStyle w:val="Heading1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11. Порядок реализации</w:t>
      </w:r>
    </w:p>
    <w:p w14:paraId="00000137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 xml:space="preserve">Фаза 1: Каркас </w:t>
      </w:r>
    </w:p>
    <w:p w14:paraId="00000138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docker-compose.yml, PostgreSQL, backend FastAPI + SQLAlchemy, frontend Vite + React + TS.</w:t>
      </w:r>
    </w:p>
    <w:p w14:paraId="00000139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config.py, storage/models.py, storage/database.py.</w:t>
      </w:r>
    </w:p>
    <w:p w14:paraId="0000013A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tests/generate_test_data.py - тестовый Excel на 5000 строк.</w:t>
      </w:r>
    </w:p>
    <w:p w14:paraId="0000013B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pipeline/loader.py.</w:t>
      </w:r>
    </w:p>
    <w:p w14:paraId="0000013C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 xml:space="preserve">Фаза 2: Пайплайн </w:t>
      </w:r>
    </w:p>
    <w:p w14:paraId="0000013D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pipeline/embedder.py - bge-m3 через sentence-transformers, GPU batch.</w:t>
      </w:r>
    </w:p>
    <w:p w14:paraId="0000013E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pipeline/bootstrap.py - LLM-разметка через Ollama.</w:t>
      </w:r>
    </w:p>
    <w:p w14:paraId="0000013F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pipeline/classifier.py - LogReg для проблемы, тяжести и категории.</w:t>
      </w:r>
    </w:p>
    <w:p w14:paraId="00000140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pipeline/llm_verifier.py - qwen3:8b для low-confidence.</w:t>
      </w:r>
    </w:p>
    <w:p w14:paraId="00000141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pipeline/clusterer.py - DBSCAN по районам + LLM именование.</w:t>
      </w:r>
    </w:p>
    <w:p w14:paraId="00000142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pipeline/orchestrator.py - координатор обработки.</w:t>
      </w:r>
    </w:p>
    <w:p w14:paraId="00000143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Фаза 3: API + отчеты</w:t>
      </w:r>
    </w:p>
    <w:p w14:paraId="00000144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pipeline/aggregator.py + pipeline/report_generator.py.</w:t>
      </w:r>
    </w:p>
    <w:p w14:paraId="00000145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API роуты: upload, process, status, dashboard, clusters, appeals, exports, reports, chat.</w:t>
      </w:r>
    </w:p>
    <w:p w14:paraId="00000146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Фаза 4: React</w:t>
      </w:r>
    </w:p>
    <w:p w14:paraId="00000147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AppShell, навигация Дашборд / Чатбот, адаптивная сетка.</w:t>
      </w:r>
    </w:p>
    <w:p w14:paraId="00000148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UploadPanel + ProcessingStatus в левой колонке.</w:t>
      </w:r>
    </w:p>
    <w:p w14:paraId="00000149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SummaryActions с кнопками Письма XLSX, Справка XLSX и сбросом фильтров.</w:t>
      </w:r>
    </w:p>
    <w:p w14:paraId="0000014A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MetricCards, FilterPanel, ChartsGrid с Recharts.</w:t>
      </w:r>
    </w:p>
    <w:p w14:paraId="0000014B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TablesTabs: ProblemClustersTable + AppealsTable с drill-down.</w:t>
      </w:r>
    </w:p>
    <w:p w14:paraId="0000014C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MiniChatPanel и экспорт Результат XLSX.</w:t>
      </w:r>
    </w:p>
    <w:p w14:paraId="0000014D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Фаза 5: Чатбот(</w:t>
      </w:r>
      <w:r>
        <w:rPr>
          <w:rFonts w:ascii="Times New Roman" w:hAnsi="Times New Roman"/>
          <w:color w:val="000000" w:themeColor="dk1"/>
          <w:lang w:val="ru-RU"/>
        </w:rPr>
        <w:t>дополнительно)</w:t>
      </w:r>
    </w:p>
    <w:p w14:paraId="0000014E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chat/chatbot.py - Text2SQL + LangChain + qwen3:8b.</w:t>
      </w:r>
    </w:p>
    <w:p w14:paraId="0000014F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ChatPage.tsx - полноценный чат, quick-actions и скачивание результата.</w:t>
      </w:r>
    </w:p>
    <w:p w14:paraId="00000150">
      <w:pPr>
        <w:pStyle w:val="ListNumber"/>
        <w:numPr>
          <w:ilvl w:val="0"/>
          <w:numId w:val="0"/>
        </w:numPr>
        <w:spacing w:after="60"/>
        <w:ind w:left="360" w:right="0" w:firstLine="0"/>
        <w:rPr>
          <w:color w:val="000000" w:themeColor="dk1"/>
        </w:rPr>
      </w:pPr>
    </w:p>
    <w:p w14:paraId="00000151">
      <w:pPr>
        <w:pStyle w:val="Heading2"/>
        <w:rPr>
          <w:color w:val="000000" w:themeColor="dk1"/>
        </w:rPr>
      </w:pPr>
      <w:r>
        <w:rPr>
          <w:rFonts w:ascii="Times New Roman" w:hAnsi="Times New Roman"/>
          <w:color w:val="000000" w:themeColor="dk1"/>
        </w:rPr>
        <w:t>Фаза 6: Полировка</w:t>
      </w:r>
    </w:p>
    <w:p w14:paraId="00000152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Error handling.</w:t>
      </w:r>
    </w:p>
    <w:p w14:paraId="00000153">
      <w:pPr>
        <w:pStyle w:val="ListNumber"/>
        <w:spacing w:after="60"/>
        <w:rPr>
          <w:color w:val="000000" w:themeColor="dk1"/>
        </w:rPr>
      </w:pPr>
      <w:r>
        <w:rPr>
          <w:rFonts w:ascii="Times New Roman" w:hAnsi="Times New Roman"/>
          <w:color w:val="000000" w:themeColor="dk1"/>
          <w:sz w:val="24"/>
        </w:rPr>
        <w:t>Responsive layout.</w:t>
      </w:r>
    </w:p>
    <w:p w14:paraId="00000154">
      <w:pPr>
        <w:pStyle w:val="ListNumber"/>
        <w:spacing w:after="60"/>
        <w:rPr>
          <w:rFonts w:ascii="Times New Roman" w:hAnsi="Times New Roman"/>
          <w:color w:val="000000" w:themeColor="dk1"/>
          <w:sz w:val="24"/>
          <w:szCs w:val="22"/>
        </w:rPr>
      </w:pPr>
      <w:r>
        <w:rPr>
          <w:rFonts w:ascii="Times New Roman" w:hAnsi="Times New Roman"/>
          <w:color w:val="000000" w:themeColor="dk1"/>
          <w:sz w:val="24"/>
        </w:rPr>
        <w:t>README и инструкция запуска.</w:t>
      </w:r>
    </w:p>
    <w:p w14:paraId="00000155">
      <w:pPr>
        <w:pStyle w:val="ListNumber"/>
        <w:numPr>
          <w:ilvl w:val="0"/>
          <w:numId w:val="0"/>
        </w:numPr>
        <w:spacing w:after="60"/>
        <w:ind w:left="0" w:right="0" w:firstLine="0"/>
        <w:rPr>
          <w:rFonts w:ascii="Times New Roman" w:hAnsi="Times New Roman"/>
          <w:color w:val="000000" w:themeColor="dk1"/>
          <w:sz w:val="24"/>
          <w:szCs w:val="22"/>
        </w:rPr>
      </w:pPr>
    </w:p>
    <w:p w14:paraId="00000156">
      <w:pPr>
        <w:pStyle w:val="ListNumber"/>
        <w:numPr>
          <w:ilvl w:val="0"/>
          <w:numId w:val="0"/>
        </w:numPr>
        <w:spacing w:after="60"/>
        <w:ind w:left="0" w:right="0" w:firstLine="0"/>
        <w:rPr>
          <w:rFonts w:ascii="Times New Roman" w:hAnsi="Times New Roman"/>
          <w:color w:val="000000" w:themeColor="dk1"/>
          <w:sz w:val="24"/>
          <w:szCs w:val="22"/>
        </w:rPr>
      </w:pPr>
    </w:p>
    <w:p w14:paraId="00000157">
      <w:pPr>
        <w:pStyle w:val="ListNumber"/>
        <w:numPr>
          <w:ilvl w:val="0"/>
          <w:numId w:val="0"/>
        </w:numPr>
        <w:spacing w:after="60"/>
        <w:ind w:left="0" w:right="0" w:firstLine="0"/>
        <w:rPr>
          <w:rFonts w:ascii="Times New Roman" w:hAnsi="Times New Roman"/>
          <w:color w:val="000000" w:themeColor="dk1"/>
          <w:sz w:val="24"/>
          <w:szCs w:val="22"/>
        </w:rPr>
      </w:pPr>
    </w:p>
    <w:sectPr>
      <w:headerReference w:type="default" r:id="rId23"/>
      <w:footerReference w:type="default" r:id="rId24"/>
      <w:pgSz w:w="12240" w:h="15840"/>
      <w:pgMar w:top="1247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159">
    <w:pPr>
      <w:pStyle w:val="Footer"/>
      <w:jc w:val="center"/>
      <w:rPr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158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multilevel"/>
    <w:lvl w:ilvl="0" w:tentative="1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)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)"/>
      <w:lvlJc w:val="left"/>
      <w:pPr>
        <w:ind w:left="2160" w:hanging="360"/>
      </w:pPr>
    </w:lvl>
    <w:lvl w:ilvl="3" w:tentative="1">
      <w:start w:val="1"/>
      <w:numFmt w:val="decimal"/>
      <w:isLgl w:val="off"/>
      <w:suff w:val="tab"/>
      <w:lvlText w:val="(%4)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(%5)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(%6)"/>
      <w:lvlJc w:val="lef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left"/>
      <w:pPr>
        <w:ind w:left="6480" w:hanging="360"/>
      </w:pPr>
    </w:lvl>
  </w:abstractNum>
  <w:abstractNum w:abstractNumId="11">
    <w:multiLevelType w:val="multilevel"/>
    <w:lvl w:ilvl="0" w:tentative="1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)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)"/>
      <w:lvlJc w:val="left"/>
      <w:pPr>
        <w:ind w:left="2160" w:hanging="360"/>
      </w:pPr>
    </w:lvl>
    <w:lvl w:ilvl="3" w:tentative="1">
      <w:start w:val="1"/>
      <w:numFmt w:val="decimal"/>
      <w:isLgl w:val="off"/>
      <w:suff w:val="tab"/>
      <w:lvlText w:val="(%4)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(%5)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(%6)"/>
      <w:lvlJc w:val="lef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left"/>
      <w:pPr>
        <w:ind w:left="6480" w:hanging="360"/>
      </w:pPr>
    </w:lvl>
  </w:abstractNum>
  <w:abstractNum w:abstractNumId="12">
    <w:multiLevelType w:val="multilevel"/>
    <w:lvl w:ilvl="0" w:tentative="1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)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)"/>
      <w:lvlJc w:val="left"/>
      <w:pPr>
        <w:ind w:left="2160" w:hanging="360"/>
      </w:pPr>
    </w:lvl>
    <w:lvl w:ilvl="3" w:tentative="1">
      <w:start w:val="1"/>
      <w:numFmt w:val="decimal"/>
      <w:isLgl w:val="off"/>
      <w:suff w:val="tab"/>
      <w:lvlText w:val="(%4)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(%5)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(%6)"/>
      <w:lvlJc w:val="lef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rFonts w:ascii="Times New Roman" w:hAnsi="Times New Roman"/>
      <w:color w:val="172033"/>
      <w:sz w:val="24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280" w:after="160"/>
    </w:pPr>
    <w:rPr>
      <w:rFonts w:asciiTheme="majorHAnsi" w:cstheme="majorBidi" w:eastAsiaTheme="majorEastAsia" w:hAnsiTheme="majorHAnsi"/>
      <w:b/>
      <w:bCs/>
      <w:color w:val="0f7b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80" w:after="160"/>
    </w:pPr>
    <w:rPr>
      <w:rFonts w:asciiTheme="majorHAnsi" w:cstheme="majorBidi" w:eastAsiaTheme="majorEastAsia" w:hAnsiTheme="majorHAnsi"/>
      <w:b/>
      <w:bCs/>
      <w:color w:val="0f7b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80" w:after="160"/>
    </w:pPr>
    <w:rPr>
      <w:rFonts w:asciiTheme="majorHAnsi" w:cstheme="majorBidi" w:eastAsiaTheme="majorEastAsia" w:hAnsiTheme="majorHAnsi"/>
      <w:b/>
      <w:bCs/>
      <w:color w:val="0f7b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image" Target="media/image1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ярик манохин</cp:lastModifiedBy>
</cp:coreProperties>
</file>