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Дондоков</w:t>
      </w:r>
      <w:r>
        <w:t xml:space="preserve"> </w:t>
      </w:r>
      <w:r>
        <w:t xml:space="preserve">Анжил</w:t>
      </w:r>
      <w:r>
        <w:t xml:space="preserve"> </w:t>
      </w:r>
      <w:r>
        <w:t xml:space="preserve">Зорикович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4591250" cy="3493970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99783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801978" cy="3099334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1050524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330341" cy="2550694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1031679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061861" cy="2685448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930179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3686475" cy="2608446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937446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697128" cy="5274644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990186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754880" cy="5014762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1161142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4360244" cy="5043637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1113056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4475747" cy="5813658"/>
            <wp:effectExtent b="0" l="0" r="0" t="0"/>
            <wp:docPr descr="Рис. 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bookmarkStart w:id="92" w:name="fig:018"/>
      <w:r>
        <w:drawing>
          <wp:inline>
            <wp:extent cx="5334000" cy="1606013"/>
            <wp:effectExtent b="0" l="0" r="0" t="0"/>
            <wp:docPr descr="Рис. 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prog.asm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Дондоков Анжил Зорикович</dc:creator>
  <dc:language>ru-RU</dc:language>
  <cp:keywords/>
  <dcterms:created xsi:type="dcterms:W3CDTF">2025-05-30T09:13:36Z</dcterms:created>
  <dcterms:modified xsi:type="dcterms:W3CDTF">2025-05-30T09:13:36Z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