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If the player rolls a 1,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a number of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Maximizing Probability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Maximizing Probability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In order to help you make progress on this project, I am happy to verify your answers before submission for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5B18408B" w:rsidR="001132AD"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4D0DE16" w14:textId="0C2E4047" w:rsidR="001132AD" w:rsidRPr="00946E82"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i,j,k+n</m:t>
                  </m:r>
                </m:sub>
              </m:sSub>
            </m:e>
          </m:nary>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To be sure you understand the game and the probability concepts above, solve for the following win probabilities. Note that each set below is dependent on the solution of the previous set. That is, you cannot solve (b) without solving (a) first, and you cannot solve (c) without solving all of (b). You will also need to have solved Question 1 first.</w:t>
      </w:r>
    </w:p>
    <w:p w14:paraId="723F0A26" w14:textId="77754CF6" w:rsidR="0098081D" w:rsidRDefault="001132AD" w:rsidP="0098081D">
      <w:r>
        <w:t>You may include your answers to this question wherever you answered Question 1.</w:t>
      </w:r>
    </w:p>
    <w:p w14:paraId="799EFAAA" w14:textId="1D84900C" w:rsidR="0098081D" w:rsidRPr="0098081D" w:rsidRDefault="00000000"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r>
          <w:rPr>
            <w:rFonts w:ascii="Cambria Math" w:hAnsi="Cambria Math"/>
          </w:rPr>
          <m:t>=0.857</m:t>
        </m:r>
      </m:oMath>
    </w:p>
    <w:p w14:paraId="1D99CBB8" w14:textId="111BD736"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r>
          <w:rPr>
            <w:rFonts w:ascii="Cambria Math" w:eastAsiaTheme="minorEastAsia" w:hAnsi="Cambria Math"/>
          </w:rPr>
          <m:t>=0.857</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r>
          <w:rPr>
            <w:rFonts w:ascii="Cambria Math" w:eastAsiaTheme="minorEastAsia" w:hAnsi="Cambria Math"/>
          </w:rPr>
          <m:t>= 0.857</m:t>
        </m:r>
      </m:oMath>
    </w:p>
    <w:p w14:paraId="6D6D678F" w14:textId="73769650"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r>
          <w:rPr>
            <w:rFonts w:ascii="Cambria Math" w:eastAsiaTheme="minorEastAsia" w:hAnsi="Cambria Math"/>
          </w:rPr>
          <m:t>=0.8529</m:t>
        </m:r>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r>
          <w:rPr>
            <w:rFonts w:ascii="Cambria Math" w:eastAsiaTheme="minorEastAsia" w:hAnsi="Cambria Math"/>
          </w:rPr>
          <m:t>=0.8578</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r>
          <w:rPr>
            <w:rFonts w:ascii="Cambria Math" w:eastAsiaTheme="minorEastAsia" w:hAnsi="Cambria Math"/>
          </w:rPr>
          <m:t>=0.8564</m:t>
        </m:r>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Default="0098081D" w:rsidP="006B10C6">
      <w:r w:rsidRPr="0098081D">
        <w:t>(a) What is that probability that the first player wins assuming both players play optimally?</w:t>
      </w:r>
    </w:p>
    <w:p w14:paraId="3F73AEF2" w14:textId="77777777" w:rsidR="0061101F" w:rsidRPr="0098081D" w:rsidRDefault="0061101F" w:rsidP="006B10C6"/>
    <w:p w14:paraId="4BD91225" w14:textId="6CE3411D" w:rsidR="0061101F" w:rsidRPr="0061101F" w:rsidRDefault="0061101F" w:rsidP="0098081D">
      <w:pPr>
        <w:rPr>
          <w:b/>
          <w:bCs/>
        </w:rPr>
      </w:pPr>
      <w:r>
        <w:rPr>
          <w:b/>
          <w:bCs/>
        </w:rPr>
        <w:lastRenderedPageBreak/>
        <w:t>0.53059 -&gt; 53.059%</w:t>
      </w:r>
    </w:p>
    <w:p w14:paraId="3147142C" w14:textId="5B4D9EFC" w:rsidR="0098081D" w:rsidRPr="0098081D" w:rsidRDefault="0098081D" w:rsidP="0098081D">
      <w:r w:rsidRPr="0098081D">
        <w:t xml:space="preserve">(b) On the first turn, what is the lowest turn total where the player should </w:t>
      </w:r>
      <w:r w:rsidRPr="0098081D">
        <w:rPr>
          <w:i/>
        </w:rPr>
        <w:t>hold</w:t>
      </w:r>
      <w:r w:rsidRPr="0098081D">
        <w:t>, rather than roll?</w:t>
      </w:r>
    </w:p>
    <w:p w14:paraId="46E2B64D" w14:textId="642459B7" w:rsidR="0061101F" w:rsidRPr="0061101F" w:rsidRDefault="0061101F" w:rsidP="0098081D">
      <w:pPr>
        <w:rPr>
          <w:b/>
          <w:bCs/>
        </w:rPr>
      </w:pPr>
      <w:r>
        <w:rPr>
          <w:b/>
          <w:bCs/>
        </w:rPr>
        <w:t>21</w:t>
      </w:r>
    </w:p>
    <w:p w14:paraId="0EDD9CE0" w14:textId="1E37346B" w:rsidR="0098081D" w:rsidRDefault="0098081D" w:rsidP="0098081D">
      <w:r w:rsidRPr="0098081D">
        <w:t xml:space="preserve">(c) If Player 1 scores no points on their first turn, what is the probability that the second player wins (assuming optimal play from both players)? When should the second player </w:t>
      </w:r>
      <w:r w:rsidRPr="0098081D">
        <w:rPr>
          <w:i/>
        </w:rPr>
        <w:t>hold</w:t>
      </w:r>
      <w:r w:rsidRPr="0098081D">
        <w:t xml:space="preserve"> on their first turn?</w:t>
      </w:r>
    </w:p>
    <w:p w14:paraId="53939C7A" w14:textId="2270EB9C" w:rsidR="0061101F" w:rsidRPr="0061101F" w:rsidRDefault="0061101F" w:rsidP="0061101F">
      <w:pPr>
        <w:rPr>
          <w:b/>
          <w:bCs/>
        </w:rPr>
      </w:pPr>
      <w:r>
        <w:rPr>
          <w:b/>
          <w:bCs/>
        </w:rPr>
        <w:t>0.46941 -&gt; 46.941%, 21</w:t>
      </w:r>
    </w:p>
    <w:p w14:paraId="7171F80B" w14:textId="6192B0C0"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PigletSolver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reasonably-sized 10x10 table, but for Pig, we would get a 100x100 table which would be challenging to read clearly.</w:t>
      </w:r>
    </w:p>
    <w:p w14:paraId="0E7F4B90" w14:textId="1C18655A" w:rsidR="0098081D" w:rsidRDefault="0098081D" w:rsidP="001132A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5D407326" w14:textId="77777777" w:rsidR="00F20182" w:rsidRDefault="00F20182" w:rsidP="001132AD"/>
    <w:p w14:paraId="45EA6A13" w14:textId="77777777" w:rsidR="00F20182" w:rsidRDefault="00F20182" w:rsidP="001132AD">
      <w:r w:rsidRPr="00F20182">
        <w:rPr>
          <w:noProof/>
        </w:rPr>
        <w:drawing>
          <wp:inline distT="0" distB="0" distL="0" distR="0" wp14:anchorId="7FA88E1F" wp14:editId="0ECE517A">
            <wp:extent cx="5943600" cy="2974340"/>
            <wp:effectExtent l="0" t="0" r="0" b="0"/>
            <wp:docPr id="1155543325" name="Picture 1" descr="A yellow and green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43325" name="Picture 1" descr="A yellow and green background&#10;&#10;AI-generated content may be incorrect."/>
                    <pic:cNvPicPr/>
                  </pic:nvPicPr>
                  <pic:blipFill>
                    <a:blip r:embed="rId5"/>
                    <a:stretch>
                      <a:fillRect/>
                    </a:stretch>
                  </pic:blipFill>
                  <pic:spPr>
                    <a:xfrm>
                      <a:off x="0" y="0"/>
                      <a:ext cx="5943600" cy="2974340"/>
                    </a:xfrm>
                    <a:prstGeom prst="rect">
                      <a:avLst/>
                    </a:prstGeom>
                  </pic:spPr>
                </pic:pic>
              </a:graphicData>
            </a:graphic>
          </wp:inline>
        </w:drawing>
      </w:r>
    </w:p>
    <w:p w14:paraId="4B8717CF" w14:textId="04DDA657" w:rsidR="00212450" w:rsidRDefault="00F20182" w:rsidP="001132AD">
      <w:r>
        <w:lastRenderedPageBreak/>
        <w:t xml:space="preserve">This is a heatmap of the results of the optimal policy. The left side is the player’s score (low score at the top, high score at the bottom), the top is the opponent's score (low score on left, high score on right). More green areas on the heatmap show that less risky moves should be taken, yellow means medium amounts of risk, and red means high risk. As we can see, risky moves should be taken when the opponent has a high score, and we have a low score. Alternatively, when the player has a high score, irrespective of </w:t>
      </w:r>
      <w:r w:rsidR="00212450">
        <w:t>the opponent's score, low risk moves should be taken (inherently, any moves are low risk since we are close to 100 points). Generally speaking, the higher the opponents score and the lower the player’s score, the riskier the move should be. A riskier move means that we try to roll a higher number consecutively in one turn without saving our score.</w:t>
      </w:r>
    </w:p>
    <w:p w14:paraId="2E750B32" w14:textId="77777777" w:rsidR="00212450" w:rsidRDefault="00212450" w:rsidP="001132AD"/>
    <w:p w14:paraId="68775453" w14:textId="1126BE25" w:rsidR="00212450" w:rsidRDefault="00212450" w:rsidP="001132AD">
      <w:pPr>
        <w:sectPr w:rsidR="00212450">
          <w:pgSz w:w="12240" w:h="15840"/>
          <w:pgMar w:top="1440" w:right="1440" w:bottom="1440" w:left="1440" w:header="720" w:footer="720" w:gutter="0"/>
          <w:cols w:space="720"/>
          <w:docGrid w:linePitch="360"/>
        </w:sectPr>
      </w:pPr>
      <w:r>
        <w:t>This was created by making a heatmap from a table in Excel based on the output of the code output to a csv file.</w:t>
      </w: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Not included, or no improvement on text-based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0259E6"/>
    <w:rsid w:val="001132AD"/>
    <w:rsid w:val="00157B1F"/>
    <w:rsid w:val="001870E6"/>
    <w:rsid w:val="00212450"/>
    <w:rsid w:val="002773F1"/>
    <w:rsid w:val="003807E7"/>
    <w:rsid w:val="0039092E"/>
    <w:rsid w:val="0052293D"/>
    <w:rsid w:val="00595A73"/>
    <w:rsid w:val="0061101F"/>
    <w:rsid w:val="0061659B"/>
    <w:rsid w:val="00672054"/>
    <w:rsid w:val="00696354"/>
    <w:rsid w:val="006B10C6"/>
    <w:rsid w:val="00766F0B"/>
    <w:rsid w:val="00902227"/>
    <w:rsid w:val="0090742D"/>
    <w:rsid w:val="0098081D"/>
    <w:rsid w:val="00C54C0C"/>
    <w:rsid w:val="00D46EB5"/>
    <w:rsid w:val="00EB24FA"/>
    <w:rsid w:val="00EF6BB5"/>
    <w:rsid w:val="00F20182"/>
    <w:rsid w:val="00F75842"/>
    <w:rsid w:val="00F91818"/>
    <w:rsid w:val="00FC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Caden H. Effrece</cp:lastModifiedBy>
  <cp:revision>16</cp:revision>
  <dcterms:created xsi:type="dcterms:W3CDTF">2025-04-09T16:48:00Z</dcterms:created>
  <dcterms:modified xsi:type="dcterms:W3CDTF">2025-04-30T19:21:00Z</dcterms:modified>
</cp:coreProperties>
</file>