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Times New Roman" w:hAnsi="Times New Roman"/>
          <w:b/>
          <w:color w:val="0F2043"/>
          <w:sz w:val="32"/>
        </w:rPr>
        <w:t>Supplementary File S5: Comprehensive Search Strategies and Rerun Protocols</w:t>
      </w:r>
    </w:p>
    <w:p>
      <w:pPr>
        <w:spacing w:before="0" w:after="240"/>
      </w:pPr>
      <w:r>
        <w:rPr>
          <w:rFonts w:ascii="Times New Roman" w:hAnsi="Times New Roman"/>
          <w:i/>
          <w:color w:val="646464"/>
          <w:sz w:val="21"/>
        </w:rPr>
        <w:t>Journal of Pathology Informatics | Manuscript: JPATHINFORMATICS-D-26-00119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F2043"/>
          <w:sz w:val="26"/>
        </w:rPr>
        <w:t>1. Search Overview and Methodological Statement</w:t>
      </w:r>
    </w:p>
    <w:p>
      <w:pPr>
        <w:spacing w:line="276" w:lineRule="auto" w:before="40" w:after="80"/>
      </w:pPr>
      <w:r>
        <w:rPr>
          <w:rFonts w:ascii="Times New Roman" w:hAnsi="Times New Roman"/>
          <w:b w:val="0"/>
          <w:i w:val="0"/>
          <w:color w:val="141414"/>
          <w:sz w:val="21"/>
        </w:rPr>
        <w:t>This document details the literature search strategies, boolean syntax, conceptual query building blocks, and platform-specific rerun protocols for the structured evidence mapping review. All primary database and supplementary searches were conducted on May 1, 2026.</w:t>
      </w:r>
    </w:p>
    <w:p>
      <w:pPr>
        <w:spacing w:line="276" w:lineRule="auto" w:before="40" w:after="80"/>
      </w:pPr>
      <w:r>
        <w:rPr>
          <w:rFonts w:ascii="Times New Roman" w:hAnsi="Times New Roman"/>
          <w:b w:val="0"/>
          <w:i/>
          <w:color w:val="141414"/>
          <w:sz w:val="21"/>
        </w:rPr>
        <w:t>PRISMA-S Transparency Declaration: To adhere strictly to PRISMA 2020 and PRISMA-S reporting recommendations, this document transparently distinguishes between: (i) exact contemporaneously preserved syntax (Scopus), (ii) conceptual query blocks with platform-specific rerun adaptations (PubMed and IEEE Xplore), and (iii) targeted horizon-scanning discovery protocols (Google Scholar and citation tracking). Reconstructed or adapted syntax is explicitly identified as such.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F2043"/>
          <w:sz w:val="26"/>
        </w:rPr>
        <w:t>2. Multi-Database Retrieval Summary (Searched May 1, 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12" w:space="0" w:color="1F4E78"/>
              <w:left w:val="none"/>
              <w:bottom w:val="single" w:sz="8" w:space="0" w:color="1F4E78"/>
              <w:right w:val="none"/>
            </w:tcBorders>
            <w:shd w:fill="F2F5F9"/>
          </w:tcPr>
          <w:p>
            <w:r>
              <w:rPr>
                <w:rFonts w:ascii="Times New Roman" w:hAnsi="Times New Roman"/>
                <w:b/>
                <w:color w:val="0F2043"/>
                <w:sz w:val="19"/>
              </w:rPr>
              <w:t>Information Source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12" w:space="0" w:color="1F4E78"/>
              <w:left w:val="none"/>
              <w:bottom w:val="single" w:sz="8" w:space="0" w:color="1F4E78"/>
              <w:right w:val="none"/>
            </w:tcBorders>
            <w:shd w:fill="F2F5F9"/>
          </w:tcPr>
          <w:p>
            <w:r>
              <w:rPr>
                <w:rFonts w:ascii="Times New Roman" w:hAnsi="Times New Roman"/>
                <w:b/>
                <w:color w:val="0F2043"/>
                <w:sz w:val="19"/>
              </w:rPr>
              <w:t>Search Date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12" w:space="0" w:color="1F4E78"/>
              <w:left w:val="none"/>
              <w:bottom w:val="single" w:sz="8" w:space="0" w:color="1F4E78"/>
              <w:right w:val="none"/>
            </w:tcBorders>
            <w:shd w:fill="F2F5F9"/>
          </w:tcPr>
          <w:p>
            <w:r>
              <w:rPr>
                <w:rFonts w:ascii="Times New Roman" w:hAnsi="Times New Roman"/>
                <w:b/>
                <w:color w:val="0F2043"/>
                <w:sz w:val="19"/>
              </w:rPr>
              <w:t>Initial Retrieval (n)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12" w:space="0" w:color="1F4E78"/>
              <w:left w:val="none"/>
              <w:bottom w:val="single" w:sz="8" w:space="0" w:color="1F4E78"/>
              <w:right w:val="none"/>
            </w:tcBorders>
            <w:shd w:fill="F2F5F9"/>
          </w:tcPr>
          <w:p>
            <w:r>
              <w:rPr>
                <w:rFonts w:ascii="Times New Roman" w:hAnsi="Times New Roman"/>
                <w:b/>
                <w:color w:val="0F2043"/>
                <w:sz w:val="19"/>
              </w:rPr>
              <w:t>Syntax / Reproducibility Status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Scopus (Elsevier)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2026-05-01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349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Exact retained executable query syntax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PubMed (NCBI / NLM)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2026-05-01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31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Conceptual expression retained; current rerun translation provided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IEEE Xplore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2026-05-01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Conceptual expression retained; current rerun translation provided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Google Scholar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2026-05-01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10 (retained)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0E0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Targeted horizon scan for emerging agentic / self-driving laboratory systems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12" w:space="0" w:color="1F4E78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Citation Tracking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12" w:space="0" w:color="1F4E78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2026-05-01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12" w:space="0" w:color="1F4E78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14 (retained)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12" w:space="0" w:color="1F4E78"/>
              <w:right w:val="none"/>
            </w:tcBorders>
          </w:tcPr>
          <w:p>
            <w:r>
              <w:rPr>
                <w:rFonts w:ascii="Times New Roman" w:hAnsi="Times New Roman"/>
                <w:sz w:val="19"/>
              </w:rPr>
              <w:t>Backward and forward citation tracking of seed pathology workflow literature</w:t>
            </w:r>
          </w:p>
        </w:tc>
      </w:tr>
    </w:tbl>
    <w:p>
      <w:pPr>
        <w:keepNext/>
        <w:spacing w:before="280" w:after="80"/>
      </w:pPr>
      <w:r>
        <w:rPr>
          <w:rFonts w:ascii="Times New Roman" w:hAnsi="Times New Roman"/>
          <w:b/>
          <w:color w:val="0F2043"/>
          <w:sz w:val="26"/>
        </w:rPr>
        <w:t>3. Detailed Boolean Search Strategies by Database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8"/>
          <w:sz w:val="23"/>
        </w:rPr>
        <w:t>3.1. Scopus (Elsevier)</w:t>
      </w:r>
    </w:p>
    <w:p>
      <w:pPr>
        <w:spacing w:line="276" w:lineRule="auto" w:before="40" w:after="80"/>
      </w:pPr>
      <w:r>
        <w:rPr>
          <w:rFonts w:ascii="Times New Roman" w:hAnsi="Times New Roman"/>
          <w:b w:val="0"/>
          <w:i w:val="0"/>
          <w:color w:val="141414"/>
          <w:sz w:val="21"/>
        </w:rPr>
        <w:t>• Search Date: May 1, 2026</w:t>
        <w:br/>
        <w:t>• Field: TITLE-ABS-KEY</w:t>
        <w:br/>
        <w:t>• Language Limit: English</w:t>
        <w:br/>
        <w:t>• Hits: 349 records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F4F6F9"/>
            <w:tcBorders>
              <w:top w:val="none"/>
              <w:left w:val="single" w:sz="18" w:space="0" w:color="1F4E78"/>
              <w:bottom w:val="none"/>
              <w:right w:val="none"/>
            </w:tcBorders>
          </w:tcPr>
          <w:p>
            <w:pPr>
              <w:spacing w:line="276" w:lineRule="auto" w:before="40" w:after="40"/>
            </w:pPr>
            <w:r>
              <w:rPr>
                <w:rFonts w:ascii="Consolas" w:hAnsi="Consolas"/>
                <w:b/>
                <w:color w:val="0F2043"/>
                <w:sz w:val="19"/>
              </w:rPr>
              <w:t>Scopus Retained Historical Executable Query:</w:t>
              <w:br/>
            </w:r>
            <w:r>
              <w:rPr>
                <w:rFonts w:ascii="Consolas" w:hAnsi="Consolas"/>
                <w:color w:val="1E1E1E"/>
                <w:sz w:val="19"/>
              </w:rPr>
              <w:t>TITLE-ABS-KEY(</w:t>
              <w:br/>
              <w:t xml:space="preserve">    (( "digital twin*" OR "digital shadow*" OR "virtual twin*" OR "cyber-physical system*" )</w:t>
              <w:br/>
              <w:t xml:space="preserve">     AND ( "pathology lab*" OR "clinical lab*" OR "core lab*" OR "medical lab*" OR "laboratory medicine" ))</w:t>
              <w:br/>
              <w:t xml:space="preserve">    OR</w:t>
              <w:br/>
              <w:t xml:space="preserve">    (( "artificial intelligence" OR "machine learning" OR "process mining" OR "discrete event simulation" OR "ontology" OR "knowledge graph" )</w:t>
              <w:br/>
              <w:t xml:space="preserve">     AND ( "pathology lab*" OR "clinical lab*" OR "core lab*" OR "medical lab*" OR "laboratory medicine" )</w:t>
              <w:br/>
              <w:t xml:space="preserve">     AND ( "workflow*" OR "turnaround time" OR "TAT" OR "throughput" OR "bottleneck*" OR "scheduling" OR "process improvement" ))</w:t>
              <w:br/>
              <w:t>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1F4E78"/>
          <w:sz w:val="23"/>
        </w:rPr>
        <w:t>3.2. PubMed (National Center for Biotechnology Information / NLM)</w:t>
      </w:r>
    </w:p>
    <w:p>
      <w:pPr>
        <w:spacing w:line="276" w:lineRule="auto" w:before="40" w:after="80"/>
      </w:pPr>
      <w:r>
        <w:rPr>
          <w:rFonts w:ascii="Times New Roman" w:hAnsi="Times New Roman"/>
          <w:b w:val="0"/>
          <w:i w:val="0"/>
          <w:color w:val="141414"/>
          <w:sz w:val="21"/>
        </w:rPr>
        <w:t>• Search Date: May 1, 2026</w:t>
        <w:br/>
        <w:t>• Interface: PubMed Advanced Search</w:t>
        <w:br/>
        <w:t>• Historical Retrieval: 31 records</w:t>
        <w:br/>
        <w:t>• Status: Conceptual terms preserved; standardized field-tagged rerun translation verified via NCBI E-utilities API.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F4F6F9"/>
            <w:tcBorders>
              <w:top w:val="none"/>
              <w:left w:val="single" w:sz="18" w:space="0" w:color="1F4E78"/>
              <w:bottom w:val="none"/>
              <w:right w:val="none"/>
            </w:tcBorders>
          </w:tcPr>
          <w:p>
            <w:pPr>
              <w:spacing w:line="276" w:lineRule="auto" w:before="40" w:after="40"/>
            </w:pPr>
            <w:r>
              <w:rPr>
                <w:rFonts w:ascii="Consolas" w:hAnsi="Consolas"/>
                <w:b/>
                <w:color w:val="0F2043"/>
                <w:sz w:val="19"/>
              </w:rPr>
              <w:t>PubMed Standardized Rerun Translation:</w:t>
              <w:br/>
            </w:r>
            <w:r>
              <w:rPr>
                <w:rFonts w:ascii="Consolas" w:hAnsi="Consolas"/>
                <w:color w:val="1E1E1E"/>
                <w:sz w:val="19"/>
              </w:rPr>
              <w:t>(( "digital twin"[All Fields] OR "digital twins"[All Fields] OR "digital shadow"[All Fields] OR "virtual twin"[All Fields] OR "cyber-physical system"[All Fields] )</w:t>
              <w:br/>
              <w:t xml:space="preserve"> AND</w:t>
              <w:br/>
              <w:t xml:space="preserve"> ( "pathology laboratory"[All Fields] OR "clinical laboratory"[All Fields] OR "core laboratory"[All Fields] OR "medical laboratory"[All Fields] OR "laboratory medicine"[All Fields] OR "clinical lab"[All Fields] OR "lab automation"[All Fields] ))</w:t>
              <w:br/>
              <w:t>AND english[Language]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1F4E78"/>
          <w:sz w:val="23"/>
        </w:rPr>
        <w:t>3.3. IEEE Xplore Digital Library</w:t>
      </w:r>
    </w:p>
    <w:p>
      <w:pPr>
        <w:spacing w:line="276" w:lineRule="auto" w:before="40" w:after="80"/>
      </w:pPr>
      <w:r>
        <w:rPr>
          <w:rFonts w:ascii="Times New Roman" w:hAnsi="Times New Roman"/>
          <w:b w:val="0"/>
          <w:i w:val="0"/>
          <w:color w:val="141414"/>
          <w:sz w:val="21"/>
        </w:rPr>
        <w:t>• Search Date: May 1, 2026</w:t>
        <w:br/>
        <w:t>• Interface: IEEE Xplore Advanced Search</w:t>
        <w:br/>
        <w:t>• Historical Retrieval: 11 records</w:t>
        <w:br/>
        <w:t>• Status: Conceptual terms preserved; mapped to 'All Metadata' query structure.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F4F6F9"/>
            <w:tcBorders>
              <w:top w:val="none"/>
              <w:left w:val="single" w:sz="18" w:space="0" w:color="1F4E78"/>
              <w:bottom w:val="none"/>
              <w:right w:val="none"/>
            </w:tcBorders>
          </w:tcPr>
          <w:p>
            <w:pPr>
              <w:spacing w:line="276" w:lineRule="auto" w:before="40" w:after="40"/>
            </w:pPr>
            <w:r>
              <w:rPr>
                <w:rFonts w:ascii="Consolas" w:hAnsi="Consolas"/>
                <w:b/>
                <w:color w:val="0F2043"/>
                <w:sz w:val="19"/>
              </w:rPr>
              <w:t>IEEE Xplore Advanced Search Translation:</w:t>
              <w:br/>
            </w:r>
            <w:r>
              <w:rPr>
                <w:rFonts w:ascii="Consolas" w:hAnsi="Consolas"/>
                <w:color w:val="1E1E1E"/>
                <w:sz w:val="19"/>
              </w:rPr>
              <w:t>(( "All Metadata":"digital twin" OR "All Metadata":"digital twins" OR "All Metadata":"digital shadow" OR "All Metadata":"virtual twin" OR "All Metadata":"cyber-physical system" )</w:t>
              <w:br/>
              <w:t xml:space="preserve"> AND</w:t>
              <w:br/>
              <w:t xml:space="preserve"> ( "All Metadata":"pathology laboratory" OR "All Metadata":"clinical laboratory" OR "All Metadata":"core laboratory" OR "All Metadata":"medical laboratory" OR "All Metadata":"laboratory medicine" OR "All Metadata":"clinical lab" OR "All Metadata":"lab automation" ))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1F4E78"/>
          <w:sz w:val="23"/>
        </w:rPr>
        <w:t>3.4. Google Scholar (Horizon Scanning Stratum)</w:t>
      </w:r>
    </w:p>
    <w:p>
      <w:pPr>
        <w:spacing w:line="276" w:lineRule="auto" w:before="40" w:after="80"/>
      </w:pPr>
      <w:r>
        <w:rPr>
          <w:rFonts w:ascii="Times New Roman" w:hAnsi="Times New Roman"/>
          <w:b w:val="0"/>
          <w:i w:val="0"/>
          <w:color w:val="141414"/>
          <w:sz w:val="21"/>
        </w:rPr>
        <w:t>• Search Date: May 1, 2026</w:t>
        <w:br/>
        <w:t>• Purpose: Targeted horizon scan for emerging multi-agent systems, wet-lab agentic execution, and autonomous laboratory robotics.</w:t>
        <w:br/>
        <w:t>• Retained Records: 10 records (tracked in Supplementary Table S1 for design derivation).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80" w:type="dxa"/>
            </w:tcMar>
            <w:shd w:fill="F4F6F9"/>
            <w:tcBorders>
              <w:top w:val="none"/>
              <w:left w:val="single" w:sz="18" w:space="0" w:color="1F4E78"/>
              <w:bottom w:val="none"/>
              <w:right w:val="none"/>
            </w:tcBorders>
          </w:tcPr>
          <w:p>
            <w:pPr>
              <w:spacing w:line="276" w:lineRule="auto" w:before="40" w:after="40"/>
            </w:pPr>
            <w:r>
              <w:rPr>
                <w:rFonts w:ascii="Consolas" w:hAnsi="Consolas"/>
                <w:b/>
                <w:color w:val="0F2043"/>
                <w:sz w:val="19"/>
              </w:rPr>
              <w:t>Google Scholar Conceptual Horizon Scan:</w:t>
              <w:br/>
            </w:r>
            <w:r>
              <w:rPr>
                <w:rFonts w:ascii="Consolas" w:hAnsi="Consolas"/>
                <w:color w:val="1E1E1E"/>
                <w:sz w:val="19"/>
              </w:rPr>
              <w:t>("Agentic workflow" OR "Multi-agent system" OR "LLM agent" OR "Autonomous agent")</w:t>
              <w:br/>
              <w:t>AND</w:t>
              <w:br/>
              <w:t>("laboratory automation" OR "wet lab" OR "scientific discovery" OR "self-driving laboratory")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1F4E78"/>
          <w:sz w:val="23"/>
        </w:rPr>
        <w:t>3.5. Manual Citation Tracking</w:t>
      </w:r>
    </w:p>
    <w:p>
      <w:pPr>
        <w:spacing w:line="276" w:lineRule="auto" w:before="40" w:after="80"/>
      </w:pPr>
      <w:r>
        <w:rPr>
          <w:rFonts w:ascii="Times New Roman" w:hAnsi="Times New Roman"/>
          <w:b w:val="0"/>
          <w:i w:val="0"/>
          <w:color w:val="141414"/>
          <w:sz w:val="21"/>
        </w:rPr>
        <w:t>• Protocol: Bidirectional (backward citation snowballing from identified core pathology informatics papers, and forward citation tracking via Google Scholar / Scopus).</w:t>
        <w:br/>
        <w:t>• Retained Records: 14 records (separately tagged as supplementary evidence).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