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40" w:lineRule="auto"/>
      </w:pPr>
      <w:r>
        <w:rPr>
          <w:rFonts w:ascii="NanumSquare" w:hAnsi="NanumSquare" w:eastAsia="NanumSquare"/>
          <w:b/>
          <w:color w:val="6F5AE8"/>
          <w:sz w:val="32"/>
        </w:rPr>
        <w:t>COSMOS HUB</w:t>
      </w:r>
    </w:p>
    <w:p>
      <w:pPr>
        <w:spacing w:before="0" w:after="180" w:line="240" w:lineRule="auto"/>
      </w:pPr>
      <w:r>
        <w:rPr>
          <w:rFonts w:ascii="NanumSquare" w:hAnsi="NanumSquare" w:eastAsia="NanumSquare"/>
          <w:b/>
          <w:color w:val="1E244D"/>
          <w:sz w:val="62"/>
        </w:rPr>
        <w:t>BM 개선 제안서</w:t>
      </w:r>
    </w:p>
    <w:p>
      <w:pPr>
        <w:spacing w:before="0" w:after="240" w:line="264" w:lineRule="auto"/>
      </w:pPr>
      <w:r>
        <w:rPr>
          <w:rFonts w:ascii="NanumSquare" w:hAnsi="NanumSquare" w:eastAsia="NanumSquare"/>
          <w:b/>
          <w:color w:val="6F5AE8"/>
          <w:sz w:val="44"/>
        </w:rPr>
        <w:t>Neutral Interchain Clearing Market</w:t>
      </w:r>
    </w:p>
    <w:p>
      <w:pPr>
        <w:spacing w:before="0" w:after="400" w:line="288" w:lineRule="auto"/>
      </w:pPr>
      <w:r>
        <w:rPr>
          <w:rFonts w:ascii="NanumGothic" w:hAnsi="NanumGothic" w:eastAsia="NanumGothic"/>
          <w:color w:val="1F2633"/>
          <w:sz w:val="28"/>
        </w:rPr>
        <w:t>기본 IBC는 개방형으로 유지하고, 유료 보장·자산 유통·기관 접속을</w:t>
        <w:br/>
        <w:t>시장화하여 ATOM에 반복수익을 귀속시키는 “얇은 허브” 모델</w:t>
      </w:r>
    </w:p>
    <w:p>
      <w:pPr>
        <w:spacing w:before="0" w:after="360" w:line="240" w:lineRule="auto"/>
        <w:jc w:val="left"/>
      </w:pPr>
      <w:r>
        <w:rPr>
          <w:rFonts w:ascii="NanumGothic" w:hAnsi="NanumGothic" w:eastAsia="NanumGothic"/>
          <w:color w:val="6F5AE8"/>
          <w:sz w:val="20"/>
        </w:rPr>
        <w:t>━━━━━━━━━━━━━━━━━━━━━━━━━━━━━━━━━━━━━━━━</w:t>
      </w:r>
    </w:p>
    <w:tbl>
      <w:tblPr>
        <w:tblW w:type="auto" w:w="0"/>
        <w:jc w:val="left"/>
        <w:tblLayout w:type="fixed"/>
        <w:tblLook w:firstColumn="1" w:firstRow="1" w:lastColumn="0" w:lastRow="0" w:noHBand="0" w:noVBand="1" w:val="04A0"/>
      </w:tblPr>
      <w:tblGrid>
        <w:gridCol w:w="4876"/>
        <w:gridCol w:w="4876"/>
      </w:tblGrid>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문서 성격</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독립 전략·사업모델 제안</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기준일</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2026년 8월 27일 (KST)</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버전</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v1.0</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주요 대상</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Cosmos Hub 거버넌스 · Cosmos Labs · Validator · ATOM 커뮤니티</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검증 원칙</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공식 사실 / 분석 / 신규 제안을 문서 내에서 분리 표기</w:t>
            </w:r>
          </w:p>
        </w:tc>
      </w:tr>
    </w:tbl>
    <w:p>
      <w:pPr>
        <w:spacing w:before="700" w:after="0" w:line="240" w:lineRule="auto"/>
      </w:pPr>
      <w:r>
        <w:rPr>
          <w:rFonts w:ascii="NanumSquare" w:hAnsi="NanumSquare" w:eastAsia="NanumSquare"/>
          <w:b/>
          <w:color w:val="6F5AE8"/>
          <w:sz w:val="24"/>
        </w:rPr>
        <w:t>핵심 명제</w:t>
      </w:r>
    </w:p>
    <w:p>
      <w:pPr>
        <w:pStyle w:val="QuoteBox"/>
      </w:pPr>
      <w:r>
        <w:rPr>
          <w:rFonts w:ascii="NanumGothic" w:hAnsi="NanumGothic" w:eastAsia="NanumGothic"/>
          <w:b/>
          <w:color w:val="1E244D"/>
          <w:sz w:val="26"/>
        </w:rPr>
        <w:t>“Cosmos Hub는 자산을 만들거나 거래하지 않는다. 체인·자산·서비스 사업자를 연결하고, 경쟁시키고, 거래 완료를 검증하며, 선택형 보장서비스의 대가로 돈을 번다.”</w:t>
      </w:r>
    </w:p>
    <w:p>
      <w:r>
        <w:br w:type="page"/>
      </w:r>
    </w:p>
    <w:p>
      <w:pPr>
        <w:pStyle w:val="Heading1"/>
        <w:spacing w:before="280" w:after="140" w:line="252" w:lineRule="auto"/>
        <w:keepNext/>
      </w:pPr>
      <w:r>
        <w:rPr>
          <w:rFonts w:ascii="NanumSquare" w:hAnsi="NanumSquare" w:eastAsia="NanumSquare"/>
          <w:b/>
          <w:color w:val="1E244D"/>
          <w:sz w:val="36"/>
        </w:rPr>
        <w:t>문서 관리 및 해석 원칙</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92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구분</w:t>
            </w:r>
          </w:p>
        </w:tc>
        <w:tc>
          <w:tcPr>
            <w:tcW w:type="dxa" w:w="7483"/>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내용</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공식 확인</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프로토콜 문서, 소프트웨어 릴리스, Cosmos Hub/Cosmos Labs 공식 팀 업데이트에서 확인되는 사실</w:t>
            </w:r>
          </w:p>
        </w:tc>
      </w:tr>
      <w:tr>
        <w:trPr>
          <w:cantSplit/>
        </w:trPr>
        <w:tc>
          <w:tcPr>
            <w:tcW w:type="dxa" w:w="192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공식 예비 방향</w:t>
            </w:r>
          </w:p>
        </w:tc>
        <w:tc>
          <w:tcPr>
            <w:tcW w:type="dxa" w:w="748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팀이 공개적으로 검증 중인 가설·로드맵 방향. 거버넌스 승인 또는 제품 출시와 동일하지 않음</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분석</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공식 자료를 바탕으로 한 문제진단·비교·추론</w:t>
            </w:r>
          </w:p>
        </w:tc>
      </w:tr>
      <w:tr>
        <w:trPr>
          <w:cantSplit/>
        </w:trPr>
        <w:tc>
          <w:tcPr>
            <w:tcW w:type="dxa" w:w="192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신규 제안</w:t>
            </w:r>
          </w:p>
        </w:tc>
        <w:tc>
          <w:tcPr>
            <w:tcW w:type="dxa" w:w="748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NICM, Guaranteed Delivery, provider bond, Revenue Vault 등 본 문서가 추가하는 설계</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수치 가정</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매출 민감도·KPI 목표는 투자예측이 아니라 사업설계용 예시</w:t>
            </w:r>
          </w:p>
        </w:tc>
      </w:tr>
    </w:tbl>
    <w:p>
      <w:pPr>
        <w:spacing w:before="0" w:after="20" w:line="283" w:lineRule="auto"/>
      </w:pP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중요한 현재상태 해석</w:t>
              <w:br/>
            </w:r>
            <w:r>
              <w:rPr>
                <w:rFonts w:ascii="NanumGothic" w:hAnsi="NanumGothic" w:eastAsia="NanumGothic"/>
                <w:color w:val="1F2633"/>
                <w:sz w:val="21"/>
              </w:rPr>
              <w:t>Cosmos Hub 공식팀은 2026년 8월 TradFi와 DeFi 사이의 “유용한 연결점” 방향을 가장 유망한 가설로 제시했지만, 구체 제품 형태는 법률·기술 검증 중이라고 명시했다. 따라서 본 문서는 공식 방향과 정렬되되, 공식 확정안으로 오인되지 않도록 별도의 BM 제안으로 작성한다.</w:t>
            </w:r>
            <w:r>
              <w:t xml:space="preserve"> </w:t>
            </w:r>
            <w:hyperlink r:id="rId11">
              <w:r>
                <w:rPr>
                  <w:rFonts w:ascii="NanumGothic" w:hAnsi="NanumGothic" w:eastAsia="NanumGothic"/>
                  <w:color w:val="6F5AE8"/>
                  <w:sz w:val="17"/>
                  <w:b/>
                </w:rPr>
                <w:t>[R1]</w:t>
              </w:r>
            </w:hyperlink>
            <w:r>
              <w:t xml:space="preserve"> </w:t>
            </w:r>
            <w:hyperlink r:id="rId12">
              <w:r>
                <w:rPr>
                  <w:rFonts w:ascii="NanumGothic" w:hAnsi="NanumGothic" w:eastAsia="NanumGothic"/>
                  <w:color w:val="6F5AE8"/>
                  <w:sz w:val="17"/>
                  <w:b/>
                </w:rPr>
                <w:t>[R3]</w:t>
              </w:r>
            </w:hyperlink>
          </w:p>
        </w:tc>
      </w:tr>
    </w:tbl>
    <w:p>
      <w:pPr>
        <w:spacing w:after="40"/>
      </w:pPr>
    </w:p>
    <w:p>
      <w:pPr>
        <w:pStyle w:val="Heading1"/>
        <w:spacing w:before="280" w:after="140" w:line="252" w:lineRule="auto"/>
        <w:keepNext/>
      </w:pPr>
      <w:r>
        <w:rPr>
          <w:rFonts w:ascii="NanumSquare" w:hAnsi="NanumSquare" w:eastAsia="NanumSquare"/>
          <w:b/>
          <w:color w:val="1E244D"/>
          <w:sz w:val="36"/>
        </w:rPr>
        <w:t>Executive Summary</w:t>
      </w: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한 문장 제안</w:t>
              <w:br/>
            </w:r>
            <w:r>
              <w:rPr>
                <w:rFonts w:ascii="NanumGothic" w:hAnsi="NanumGothic" w:eastAsia="NanumGothic"/>
                <w:color w:val="1F2633"/>
                <w:sz w:val="21"/>
              </w:rPr>
              <w:t>무료·permissionless IBC를 건드리지 않고, Cosmos Hub 위에 “자산 유통 시장 + 보장형 전송 시장 + 기관용 단일 접속 + 검증 레지스트리”를 선택형 프리미엄 계층으로 구축한다.</w:t>
            </w:r>
          </w:p>
        </w:tc>
      </w:tr>
    </w:tbl>
    <w:p>
      <w:pPr>
        <w:spacing w:after="40"/>
      </w:pPr>
    </w:p>
    <w:p>
      <w:pPr>
        <w:spacing w:before="0" w:after="140" w:line="283" w:lineRule="auto"/>
      </w:pPr>
      <w:r>
        <w:rPr>
          <w:rFonts w:ascii="NanumGothic" w:hAnsi="NanumGothic" w:eastAsia="NanumGothic"/>
          <w:color w:val="1F2633"/>
          <w:sz w:val="21"/>
        </w:rPr>
        <w:t>현재 Cosmos Hub는 ATOM이 보안과 거버넌스를 담당하는 PoS 체인이며, IBC/Eureka의 중요한 접속점이다. 그러나 IBC 자체는 독립 체인끼리 직접 연결할 수 있는 개방형 프로토콜이고, 실제 경로 계산·스왑 조합은 Skip Go가 담당한다. 따라서 “모든 외부 트래픽에 Hub 통행료를 강제”하는 방식은 기술철학에도 맞지 않고 우회경로를 촉진할 가능성이 높다.</w:t>
      </w:r>
      <w:r>
        <w:t xml:space="preserve"> </w:t>
      </w:r>
      <w:hyperlink r:id="rId13">
        <w:r>
          <w:rPr>
            <w:rFonts w:ascii="NanumGothic" w:hAnsi="NanumGothic" w:eastAsia="NanumGothic"/>
            <w:color w:val="6F5AE8"/>
            <w:sz w:val="17"/>
            <w:b/>
          </w:rPr>
          <w:t>[R5]</w:t>
        </w:r>
      </w:hyperlink>
      <w:r>
        <w:t xml:space="preserve"> </w:t>
      </w:r>
      <w:hyperlink r:id="rId14">
        <w:r>
          <w:rPr>
            <w:rFonts w:ascii="NanumGothic" w:hAnsi="NanumGothic" w:eastAsia="NanumGothic"/>
            <w:color w:val="6F5AE8"/>
            <w:sz w:val="17"/>
            <w:b/>
          </w:rPr>
          <w:t>[R6]</w:t>
        </w:r>
      </w:hyperlink>
      <w:r>
        <w:t xml:space="preserve"> </w:t>
      </w:r>
      <w:hyperlink r:id="rId15">
        <w:r>
          <w:rPr>
            <w:rFonts w:ascii="NanumGothic" w:hAnsi="NanumGothic" w:eastAsia="NanumGothic"/>
            <w:color w:val="6F5AE8"/>
            <w:sz w:val="17"/>
            <w:b/>
          </w:rPr>
          <w:t>[R7]</w:t>
        </w:r>
      </w:hyperlink>
      <w:r>
        <w:t xml:space="preserve"> </w:t>
      </w:r>
      <w:hyperlink r:id="rId16">
        <w:r>
          <w:rPr>
            <w:rFonts w:ascii="NanumGothic" w:hAnsi="NanumGothic" w:eastAsia="NanumGothic"/>
            <w:color w:val="6F5AE8"/>
            <w:sz w:val="17"/>
            <w:b/>
          </w:rPr>
          <w:t>[R9]</w:t>
        </w:r>
      </w:hyperlink>
      <w:r>
        <w:t xml:space="preserve"> </w:t>
      </w:r>
      <w:hyperlink r:id="rId17">
        <w:r>
          <w:rPr>
            <w:rFonts w:ascii="NanumGothic" w:hAnsi="NanumGothic" w:eastAsia="NanumGothic"/>
            <w:color w:val="6F5AE8"/>
            <w:sz w:val="17"/>
            <w:b/>
          </w:rPr>
          <w:t>[R15]</w:t>
        </w:r>
      </w:hyperlink>
    </w:p>
    <w:p>
      <w:pPr>
        <w:spacing w:before="0" w:after="140" w:line="283" w:lineRule="auto"/>
      </w:pPr>
      <w:r>
        <w:rPr>
          <w:rFonts w:ascii="NanumGothic" w:hAnsi="NanumGothic" w:eastAsia="NanumGothic"/>
          <w:color w:val="1F2633"/>
          <w:sz w:val="21"/>
        </w:rPr>
        <w:t>반면 Cosmos Hub에는 이미 중요한 실증이 하나 있다. Injective USDC가 IBC를 통해 Cosmos 체인으로 유통될 때 Circle의 issuance incentive 일부를 Hub가 받고, 그 수익으로 ATOM을 시장 매입해 Community Pool로 보내는 4년 약정이다. 이는 “외부 발행사의 유통경제 → Hub 수익 → ATOM 가치기반”이라는 가장 작은 작동 사례다.</w:t>
      </w:r>
      <w:r>
        <w:t xml:space="preserve"> </w:t>
      </w:r>
      <w:hyperlink r:id="rId18">
        <w:r>
          <w:rPr>
            <w:rFonts w:ascii="NanumGothic" w:hAnsi="NanumGothic" w:eastAsia="NanumGothic"/>
            <w:color w:val="6F5AE8"/>
            <w:sz w:val="17"/>
            <w:b/>
          </w:rPr>
          <w:t>[R12]</w:t>
        </w:r>
      </w:hyperlink>
    </w:p>
    <w:p>
      <w:pPr>
        <w:spacing w:before="0" w:after="140" w:line="283" w:lineRule="auto"/>
      </w:pPr>
      <w:r>
        <w:rPr>
          <w:rFonts w:ascii="NanumGothic" w:hAnsi="NanumGothic" w:eastAsia="NanumGothic"/>
          <w:color w:val="1F2633"/>
          <w:sz w:val="21"/>
        </w:rPr>
        <w:t>본 제안은 이 사례를 공개시장으로 일반화한다. Hub는 특정 스테이블코인이나 DEX를 직접 운영하지 않는다. 대신 발행사·기관·라우터·릴레이어·마켓메이커·지갑·attestation 사업자가 공개 규칙 아래 경쟁하게 하고, Hub는 등록·에스크로·완료증명·bond·수익분배라는 최소 공통기능만 제공한다.</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13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우선순위</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제품/BM</w:t>
            </w:r>
          </w:p>
        </w:tc>
        <w:tc>
          <w:tcPr>
            <w:tcW w:type="dxa" w:w="209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지불자</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Hub가 판매하는 가치</w:t>
            </w:r>
          </w:p>
        </w:tc>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권장 착수</w:t>
            </w:r>
          </w:p>
        </w:tc>
      </w:tr>
      <w:tr>
        <w:trPr>
          <w:cantSplit/>
        </w:trPr>
        <w:tc>
          <w:tcPr>
            <w:tcW w:type="dxa" w:w="113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Interchain Asset Distribution Market</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Stablecoin·RWA 발행사</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여러 체인·지갑·유동성 venue로의 검증 가능한 유통</w:t>
            </w:r>
          </w:p>
        </w:tc>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즉시</w:t>
            </w:r>
          </w:p>
        </w:tc>
      </w:tr>
      <w:tr>
        <w:trPr>
          <w:cantSplit/>
        </w:trPr>
        <w:tc>
          <w:tcPr>
            <w:tcW w:type="dxa" w:w="113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2</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Guaranteed Interchain Delivery</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기관·고액 사용자·지갑</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가격비교, SLA, 완료증명, 실패보상</w:t>
            </w:r>
          </w:p>
        </w:tc>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MVP 2단계</w:t>
            </w:r>
          </w:p>
        </w:tc>
      </w:tr>
      <w:tr>
        <w:trPr>
          <w:cantSplit/>
        </w:trPr>
        <w:tc>
          <w:tcPr>
            <w:tcW w:type="dxa" w:w="113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3</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One-Connection Gateway</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은행·수탁사·핀테크</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한 번의 접속으로 다수 체인·자산 접근</w:t>
            </w:r>
          </w:p>
        </w:tc>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MVP 검증 후</w:t>
            </w:r>
          </w:p>
        </w:tc>
      </w:tr>
      <w:tr>
        <w:trPr>
          <w:cantSplit/>
        </w:trPr>
        <w:tc>
          <w:tcPr>
            <w:tcW w:type="dxa" w:w="113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4</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Asset &amp; Service Registry</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발행사·사업자·기관</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canonical asset·provider 이력·attestation 표준</w:t>
            </w:r>
          </w:p>
        </w:tc>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1단계 병행</w:t>
            </w:r>
          </w:p>
        </w:tc>
      </w:tr>
    </w:tbl>
    <w:p>
      <w:pPr>
        <w:spacing w:before="0" w:after="20" w:line="283" w:lineRule="auto"/>
      </w:pPr>
    </w:p>
    <w:p>
      <w:pPr>
        <w:spacing w:before="0" w:after="140" w:line="283" w:lineRule="auto"/>
      </w:pPr>
      <w:r>
        <w:rPr>
          <w:rFonts w:ascii="NanumGothic" w:hAnsi="NanumGothic" w:eastAsia="NanumGothic"/>
          <w:color w:val="1F2633"/>
          <w:sz w:val="21"/>
        </w:rPr>
        <w:t>권장 실행원칙은 “계약과 데이터부터, 네이티브 모듈은 나중에”다. 초기에는 오프체인 영업계약·서명견적과 감사된 CosmWasm 에스크로/Revenue Vault를 조합해 PMF를 검증한다. 거래량과 반복수익이 입증된 기능만 최소 SDK 모듈로 승격한다.</w:t>
      </w:r>
    </w:p>
    <w:p>
      <w:pPr>
        <w:pStyle w:val="Heading1"/>
        <w:spacing w:before="280" w:after="140" w:line="252" w:lineRule="auto"/>
        <w:keepNext/>
      </w:pPr>
      <w:r>
        <w:rPr>
          <w:rFonts w:ascii="NanumSquare" w:hAnsi="NanumSquare" w:eastAsia="NanumSquare"/>
          <w:b/>
          <w:color w:val="1E244D"/>
          <w:sz w:val="36"/>
        </w:rPr>
        <w:t>문서 구성</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구분</w:t>
            </w:r>
          </w:p>
        </w:tc>
        <w:tc>
          <w:tcPr>
            <w:tcW w:type="dxa" w:w="8050"/>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내용</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현재 상태와 구조적 문제</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2</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설계 철학: Thin Core, Rich Edges</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3</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제안 아키텍처: NICM</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4</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BM 1 — 자산 유통 시장</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BM 2 — 보장형 전송·SLA 시장</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6</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BM 3 — 기관용 단일 접속</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7</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BM 4 — 자산·서비스 레지스트리</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8</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ATOM 가치포착과 Revenue Vault</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9</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경제성·수수료 설계</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기술 구현·보안</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11</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거버넌스·중립성 헌장</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12</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로드맵·KPI·중단 기준</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13</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리스크와 대응</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14</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의사결정 요청안</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부록</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사실/제안 교차표 · 용어 · 레퍼런스</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 현재 상태와 구조적 문제</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[공식 확인 + 분석]</w:t>
            </w:r>
          </w:p>
        </w:tc>
      </w:tr>
    </w:tbl>
    <w:p>
      <w:pPr>
        <w:spacing w:after="0"/>
      </w:pPr>
    </w:p>
    <w:p>
      <w:pPr>
        <w:pStyle w:val="Heading2"/>
        <w:spacing w:before="200" w:after="100" w:line="252" w:lineRule="auto"/>
        <w:keepNext/>
      </w:pPr>
      <w:r>
        <w:rPr>
          <w:rFonts w:ascii="NanumSquare" w:hAnsi="NanumSquare" w:eastAsia="NanumSquare"/>
          <w:b/>
          <w:color w:val="1E244D"/>
          <w:sz w:val="28"/>
        </w:rPr>
        <w:t>1.1 지금의 Cosmos Hub가 실제로 하는 일</w:t>
      </w:r>
    </w:p>
    <w:p>
      <w:pPr>
        <w:spacing w:before="0" w:after="140" w:line="283" w:lineRule="auto"/>
      </w:pPr>
      <w:r>
        <w:rPr>
          <w:rFonts w:ascii="NanumGothic" w:hAnsi="NanumGothic" w:eastAsia="NanumGothic"/>
          <w:color w:val="1F2633"/>
          <w:sz w:val="21"/>
        </w:rPr>
        <w:t>Cosmos Hub의 기본 역할은 ATOM을 통한 네트워크 보안, 온체인 거버넌스, 송금·IBC·스마트컨트랙트 실행이다. 현재 스테이커 경제는 주로 새 ATOM 발행과 거래수수료를 기반으로 한다.</w:t>
      </w:r>
      <w:r>
        <w:t xml:space="preserve"> </w:t>
      </w:r>
      <w:hyperlink r:id="rId17">
        <w:r>
          <w:rPr>
            <w:rFonts w:ascii="NanumGothic" w:hAnsi="NanumGothic" w:eastAsia="NanumGothic"/>
            <w:color w:val="6F5AE8"/>
            <w:sz w:val="17"/>
            <w:b/>
          </w:rPr>
          <w:t>[R15]</w:t>
        </w:r>
      </w:hyperlink>
    </w:p>
    <w:p>
      <w:pPr>
        <w:spacing w:before="0" w:after="140" w:line="283" w:lineRule="auto"/>
      </w:pPr>
      <w:r>
        <w:rPr>
          <w:rFonts w:ascii="NanumGothic" w:hAnsi="NanumGothic" w:eastAsia="NanumGothic"/>
          <w:color w:val="1F2633"/>
          <w:sz w:val="21"/>
        </w:rPr>
        <w:t>IBC는 Cosmos Hub가 소유하는 독점 네트워크가 아니라, 서로 다른 주권 체인이 light client와 relayer를 통해 직접 통신할 수 있도록 설계된 permissionless 프로토콜이다. 따라서 “Cosmos 생태계가 성장하면 ATOM이 자동으로 수수료를 받는다”는 구조는 성립하지 않는다.</w:t>
      </w:r>
      <w:r>
        <w:t xml:space="preserve"> </w:t>
      </w:r>
      <w:hyperlink r:id="rId13">
        <w:r>
          <w:rPr>
            <w:rFonts w:ascii="NanumGothic" w:hAnsi="NanumGothic" w:eastAsia="NanumGothic"/>
            <w:color w:val="6F5AE8"/>
            <w:sz w:val="17"/>
            <w:b/>
          </w:rPr>
          <w:t>[R5]</w:t>
        </w:r>
      </w:hyperlink>
      <w:r>
        <w:t xml:space="preserve"> </w:t>
      </w:r>
      <w:hyperlink r:id="rId14">
        <w:r>
          <w:rPr>
            <w:rFonts w:ascii="NanumGothic" w:hAnsi="NanumGothic" w:eastAsia="NanumGothic"/>
            <w:color w:val="6F5AE8"/>
            <w:sz w:val="17"/>
            <w:b/>
          </w:rPr>
          <w:t>[R6]</w:t>
        </w:r>
      </w:hyperlink>
      <w:r>
        <w:t xml:space="preserve"> </w:t>
      </w:r>
      <w:hyperlink r:id="rId19">
        <w:r>
          <w:rPr>
            <w:rFonts w:ascii="NanumGothic" w:hAnsi="NanumGothic" w:eastAsia="NanumGothic"/>
            <w:color w:val="6F5AE8"/>
            <w:sz w:val="17"/>
            <w:b/>
          </w:rPr>
          <w:t>[R20]</w:t>
        </w:r>
      </w:hyperlink>
    </w:p>
    <w:p>
      <w:pPr>
        <w:spacing w:before="0" w:after="140" w:line="283" w:lineRule="auto"/>
      </w:pPr>
      <w:r>
        <w:rPr>
          <w:rFonts w:ascii="NanumGothic" w:hAnsi="NanumGothic" w:eastAsia="NanumGothic"/>
          <w:color w:val="1F2633"/>
          <w:sz w:val="21"/>
        </w:rPr>
        <w:t>Eureka는 Cosmos Hub와 연결된 IBC 체인이 Ethereum/EVM 생태계로 접근하기 쉽게 만들며, smart relayer의 proving·relaying·routing 비용은 최종사용자가 부담한다. 이 구조는 Hub를 유용한 접속점으로 만들지만, 그 자체가 Hub의 별도 프리미엄 매출을 자동 생성하지는 않는다.</w:t>
      </w:r>
      <w:r>
        <w:t xml:space="preserve"> </w:t>
      </w:r>
      <w:hyperlink r:id="rId15">
        <w:r>
          <w:rPr>
            <w:rFonts w:ascii="NanumGothic" w:hAnsi="NanumGothic" w:eastAsia="NanumGothic"/>
            <w:color w:val="6F5AE8"/>
            <w:sz w:val="17"/>
            <w:b/>
          </w:rPr>
          <w:t>[R7]</w:t>
        </w:r>
      </w:hyperlink>
      <w:r>
        <w:t xml:space="preserve"> </w:t>
      </w:r>
      <w:hyperlink r:id="rId20">
        <w:r>
          <w:rPr>
            <w:rFonts w:ascii="NanumGothic" w:hAnsi="NanumGothic" w:eastAsia="NanumGothic"/>
            <w:color w:val="6F5AE8"/>
            <w:sz w:val="17"/>
            <w:b/>
          </w:rPr>
          <w:t>[R8]</w:t>
        </w:r>
      </w:hyperlink>
    </w:p>
    <w:p>
      <w:pPr>
        <w:pStyle w:val="Heading2"/>
        <w:spacing w:before="200" w:after="100" w:line="252" w:lineRule="auto"/>
        <w:keepNext/>
      </w:pPr>
      <w:r>
        <w:rPr>
          <w:rFonts w:ascii="NanumSquare" w:hAnsi="NanumSquare" w:eastAsia="NanumSquare"/>
          <w:b/>
          <w:color w:val="1E244D"/>
          <w:sz w:val="28"/>
        </w:rPr>
        <w:t>1.2 라우팅·데이터·외부 연결의 현재 분업</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417"/>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구성요소</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현재 역할</w:t>
            </w:r>
          </w:p>
        </w:tc>
        <w:tc>
          <w:tcPr>
            <w:tcW w:type="dxa" w:w="255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현재 가치포착의 주체</w:t>
            </w:r>
          </w:p>
        </w:tc>
        <w:tc>
          <w:tcPr>
            <w:tcW w:type="dxa" w:w="277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BM 관점의 공백</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IBC</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상태검증·메시지/자산 전송 표준</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각 체인·relayer 비용</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 독점 수익 없음</w:t>
            </w:r>
          </w:p>
        </w:tc>
      </w:tr>
      <w:tr>
        <w:trPr>
          <w:cantSplit/>
        </w:trPr>
        <w:tc>
          <w:tcPr>
            <w:tcW w:type="dxa" w:w="141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Eureka</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Cosmos↔Ethereum/EVM 연결</w:t>
            </w:r>
          </w:p>
        </w:tc>
        <w:tc>
          <w:tcPr>
            <w:tcW w:type="dxa" w:w="255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smart relayer·사용자 비용</w:t>
            </w:r>
          </w:p>
        </w:tc>
        <w:tc>
          <w:tcPr>
            <w:tcW w:type="dxa" w:w="277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 프리미엄 서비스 없음</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Skip Go</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DEX·bridge·IBC를 조합한 경로·UX·추적</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API/affiliate fee 구조</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Hub와 ATOM 귀속은 별도 설계 필요</w:t>
            </w:r>
          </w:p>
        </w:tc>
      </w:tr>
      <w:tr>
        <w:trPr>
          <w:cantSplit/>
        </w:trPr>
        <w:tc>
          <w:tcPr>
            <w:tcW w:type="dxa" w:w="141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Mintscan</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Explorer·indexing·데이터 가시화</w:t>
            </w:r>
          </w:p>
        </w:tc>
        <w:tc>
          <w:tcPr>
            <w:tcW w:type="dxa" w:w="255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서비스 운영자</w:t>
            </w:r>
          </w:p>
        </w:tc>
        <w:tc>
          <w:tcPr>
            <w:tcW w:type="dxa" w:w="277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프로토콜 수익의 표준 공개창 역할 미완성</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Cosmos Hub</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보안·거버넌스·실행·연결점</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스테이커/validator·Community Pool</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수요가 지불하는 반복 서비스 수익 부족</w:t>
            </w:r>
          </w:p>
        </w:tc>
      </w:tr>
    </w:tbl>
    <w:p>
      <w:pPr>
        <w:spacing w:before="0" w:after="20" w:line="283" w:lineRule="auto"/>
      </w:pPr>
    </w:p>
    <w:p>
      <w:pPr>
        <w:spacing w:before="0" w:after="140" w:line="283" w:lineRule="auto"/>
      </w:pPr>
      <w:r>
        <w:rPr>
          <w:rFonts w:ascii="NanumGothic" w:hAnsi="NanumGothic" w:eastAsia="NanumGothic"/>
          <w:color w:val="1F2633"/>
          <w:sz w:val="21"/>
        </w:rPr>
        <w:t>Skip Go는 이미 asset origin, IBC denom, 최단경로와 유동성을 고려해 경로를 추천하며, 멀티프로토콜 route composition과 실시간 추적을 제공한다. Hub가 자체 라우터를 만들어 Skip과 경쟁하는 것보다, 여러 라우터와 provider가 경쟁하는 중립 시장을 제공하는 편이 역할분리에 맞다.</w:t>
      </w:r>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p>
      <w:pPr>
        <w:pStyle w:val="Heading2"/>
        <w:spacing w:before="200" w:after="100" w:line="252" w:lineRule="auto"/>
        <w:keepNext/>
      </w:pPr>
      <w:r>
        <w:rPr>
          <w:rFonts w:ascii="NanumSquare" w:hAnsi="NanumSquare" w:eastAsia="NanumSquare"/>
          <w:b/>
          <w:color w:val="1E244D"/>
          <w:sz w:val="28"/>
        </w:rPr>
        <w:t>1.3 현재 존재하는 비인플레이션 수익의 핵심 실증</w:t>
      </w:r>
    </w:p>
    <w:tbl>
      <w:tblPr>
        <w:tblW w:type="auto" w:w="0"/>
        <w:jc w:val="center"/>
        <w:tblLayout w:type="autofit"/>
        <w:tblLook w:firstColumn="1" w:firstRow="1" w:lastColumn="0" w:lastRow="0" w:noHBand="0" w:noVBand="1" w:val="04A0"/>
      </w:tblPr>
      <w:tblGrid>
        <w:gridCol w:w="9752"/>
      </w:tblGrid>
      <w:tr>
        <w:trPr>
          <w:cantSplit/>
        </w:trPr>
        <w:tc>
          <w:tcPr>
            <w:tcW w:type="dxa" w:w="9752"/>
            <w:shd w:fill="ECF7F0"/>
            <w:tcBorders>
              <w:top w:val="single" w:sz="12" w:color="25885A"/>
              <w:left w:val="single" w:sz="12" w:color="25885A"/>
              <w:bottom w:val="single" w:sz="12" w:color="25885A"/>
              <w:right w:val="single" w:sz="12" w:color="25885A"/>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Injective USDC 계약이 증명한 것</w:t>
              <w:br/>
            </w:r>
            <w:r>
              <w:rPr>
                <w:rFonts w:ascii="NanumGothic" w:hAnsi="NanumGothic" w:eastAsia="NanumGothic"/>
                <w:color w:val="1F2633"/>
                <w:sz w:val="21"/>
              </w:rPr>
              <w:t>외부 자산의 발행·유통 경제를 Hub와 ATOM에 연결할 수 있다. 공식 업데이트에 따르면 Hub는 Injective USDC의 Cosmos 목적지 issuance incentive 중 50%(dYdX 33%)를 받고, ATOM을 매입해 Community Pool로 보내도록 합의했다. 문제는 이것이 개별 협상이라는 점이다. 다음 단계는 같은 구조를 공개되고 반복 가능한 시장규칙으로 일반화하는 것이다.</w:t>
            </w:r>
            <w:r>
              <w:t xml:space="preserve"> </w:t>
            </w:r>
            <w:hyperlink r:id="rId18">
              <w:r>
                <w:rPr>
                  <w:rFonts w:ascii="NanumGothic" w:hAnsi="NanumGothic" w:eastAsia="NanumGothic"/>
                  <w:color w:val="6F5AE8"/>
                  <w:sz w:val="17"/>
                  <w:b/>
                </w:rPr>
                <w:t>[R12]</w:t>
              </w:r>
            </w:hyperlink>
          </w:p>
        </w:tc>
      </w:tr>
    </w:tbl>
    <w:p>
      <w:pPr>
        <w:spacing w:after="40"/>
      </w:pPr>
    </w:p>
    <w:p>
      <w:pPr>
        <w:pStyle w:val="Heading2"/>
        <w:spacing w:before="200" w:after="100" w:line="252" w:lineRule="auto"/>
        <w:keepNext/>
      </w:pPr>
      <w:r>
        <w:rPr>
          <w:rFonts w:ascii="NanumSquare" w:hAnsi="NanumSquare" w:eastAsia="NanumSquare"/>
          <w:b/>
          <w:color w:val="1E244D"/>
          <w:sz w:val="28"/>
        </w:rPr>
        <w:t>1.4 기존 핵심 BM이었던 ICS의 후퇴가 주는 의미</w:t>
      </w:r>
    </w:p>
    <w:p>
      <w:pPr>
        <w:spacing w:before="0" w:after="140" w:line="283" w:lineRule="auto"/>
      </w:pPr>
      <w:r>
        <w:rPr>
          <w:rFonts w:ascii="NanumGothic" w:hAnsi="NanumGothic" w:eastAsia="NanumGothic"/>
          <w:color w:val="1F2633"/>
          <w:sz w:val="21"/>
        </w:rPr>
        <w:t>Gaia v28.0.0 소프트웨어 릴리스에는 ICS provider module 제거가 포함됐다. 이는 과거의 “Hub validator set을 consumer chain에 판매”하는 shared-security 모델이 현재 Hub의 주력 성장경로가 아니라는 신호다. 단, 소프트웨어 릴리스와 mainnet 활성화는 별도 거버넌스 절차라는 점을 구분해야 한다.</w:t>
      </w:r>
      <w:r>
        <w:t xml:space="preserve"> </w:t>
      </w:r>
      <w:hyperlink r:id="rId12">
        <w:r>
          <w:rPr>
            <w:rFonts w:ascii="NanumGothic" w:hAnsi="NanumGothic" w:eastAsia="NanumGothic"/>
            <w:color w:val="6F5AE8"/>
            <w:sz w:val="17"/>
            <w:b/>
          </w:rPr>
          <w:t>[R3]</w:t>
        </w:r>
      </w:hyperlink>
      <w:r>
        <w:t xml:space="preserve"> </w:t>
      </w:r>
      <w:hyperlink r:id="rId22">
        <w:r>
          <w:rPr>
            <w:rFonts w:ascii="NanumGothic" w:hAnsi="NanumGothic" w:eastAsia="NanumGothic"/>
            <w:color w:val="6F5AE8"/>
            <w:sz w:val="17"/>
            <w:b/>
          </w:rPr>
          <w:t>[R14]</w:t>
        </w:r>
      </w:hyperlink>
    </w:p>
    <w:p>
      <w:pPr>
        <w:spacing w:before="0" w:after="140" w:line="283" w:lineRule="auto"/>
      </w:pPr>
      <w:r>
        <w:rPr>
          <w:rFonts w:ascii="NanumGothic" w:hAnsi="NanumGothic" w:eastAsia="NanumGothic"/>
          <w:color w:val="1F2633"/>
          <w:sz w:val="21"/>
        </w:rPr>
        <w:t>따라서 새로운 BM은 단순히 보안을 임대하거나 Hub에 앱을 많이 올리는 방향보다, IBC·Eureka·Skip·Mintscan이라는 실제 강점을 하나의 유료 연결서비스로 조합하는 방향이 더 설득력 있다.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p>
      <w:pPr>
        <w:pStyle w:val="Heading2"/>
        <w:spacing w:before="200" w:after="100" w:line="252" w:lineRule="auto"/>
        <w:keepNext/>
      </w:pPr>
      <w:r>
        <w:rPr>
          <w:rFonts w:ascii="NanumSquare" w:hAnsi="NanumSquare" w:eastAsia="NanumSquare"/>
          <w:b/>
          <w:color w:val="1E244D"/>
          <w:sz w:val="28"/>
        </w:rPr>
        <w:t>1.5 공식 방향과 본 제안의 접점</w:t>
      </w:r>
    </w:p>
    <w:p>
      <w:pPr>
        <w:spacing w:before="0" w:after="140" w:line="283" w:lineRule="auto"/>
      </w:pPr>
      <w:r>
        <w:rPr>
          <w:rFonts w:ascii="NanumGothic" w:hAnsi="NanumGothic" w:eastAsia="NanumGothic"/>
          <w:color w:val="1F2633"/>
          <w:sz w:val="21"/>
        </w:rPr>
        <w:t>2026년 8월 공식팀은 RWA 유통, TradFi의 DeFi 접근, DeFi 자산의 외부 유통을 핵심 문제로 보고 “Hub가 유일한 상호운용 레일이나 생태계 중심이 되려는 것이 아니라, 두 세계 사이에 연결할 가치가 있는 지점이 된다”는 방향을 제시했다. 동시에 구체 제품은 아직 검증 중이라고 명시했다.</w:t>
      </w:r>
      <w:r>
        <w:t xml:space="preserve"> </w:t>
      </w:r>
      <w:hyperlink r:id="rId11">
        <w:r>
          <w:rPr>
            <w:rFonts w:ascii="NanumGothic" w:hAnsi="NanumGothic" w:eastAsia="NanumGothic"/>
            <w:color w:val="6F5AE8"/>
            <w:sz w:val="17"/>
            <w:b/>
          </w:rPr>
          <w:t>[R1]</w:t>
        </w:r>
      </w:hyperlink>
    </w:p>
    <w:tbl>
      <w:tblPr>
        <w:tblW w:type="auto" w:w="0"/>
        <w:jc w:val="center"/>
        <w:tblLayout w:type="autofit"/>
        <w:tblLook w:firstColumn="1" w:firstRow="1" w:lastColumn="0" w:lastRow="0" w:noHBand="0" w:noVBand="1" w:val="04A0"/>
      </w:tblPr>
      <w:tblGrid>
        <w:gridCol w:w="9752"/>
      </w:tblGrid>
      <w:tr>
        <w:trPr>
          <w:cantSplit/>
        </w:trPr>
        <w:tc>
          <w:tcPr>
            <w:tcW w:type="dxa" w:w="9752"/>
            <w:shd w:fill="FFF4E8"/>
            <w:tcBorders>
              <w:top w:val="single" w:sz="12" w:color="D97A2B"/>
              <w:left w:val="single" w:sz="12" w:color="D97A2B"/>
              <w:bottom w:val="single" w:sz="12" w:color="D97A2B"/>
              <w:right w:val="single" w:sz="12" w:color="D97A2B"/>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진단</w:t>
              <w:br/>
            </w:r>
            <w:r>
              <w:rPr>
                <w:rFonts w:ascii="NanumGothic" w:hAnsi="NanumGothic" w:eastAsia="NanumGothic"/>
                <w:color w:val="1F2633"/>
                <w:sz w:val="21"/>
              </w:rPr>
              <w:t>Cosmos Hub의 문제는 연결기술이 없는 것이 아니다. “연결기술을 쓰는 고객이 무엇에 대해 돈을 내며, 그 돈이 어떤 규칙으로 ATOM에 귀속되는가”가 표준제품으로 정의되지 않은 것이 문제다.</w:t>
            </w:r>
          </w:p>
        </w:tc>
      </w:tr>
    </w:tbl>
    <w:p>
      <w:pPr>
        <w:spacing w:after="40"/>
      </w:pPr>
    </w:p>
    <w:p>
      <w:pPr>
        <w:pStyle w:val="Heading1"/>
        <w:spacing w:before="280" w:after="140" w:line="252" w:lineRule="auto"/>
        <w:keepNext/>
      </w:pPr>
      <w:r>
        <w:rPr>
          <w:rFonts w:ascii="NanumSquare" w:hAnsi="NanumSquare" w:eastAsia="NanumSquare"/>
          <w:b/>
          <w:color w:val="1E244D"/>
          <w:sz w:val="36"/>
        </w:rPr>
        <w:t>2. 설계 철학: Thin Core, Rich Edges</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제안의 불변 원칙]</w:t>
            </w:r>
          </w:p>
        </w:tc>
      </w:tr>
    </w:tbl>
    <w:p>
      <w:pPr>
        <w:spacing w:after="0"/>
      </w:pPr>
    </w:p>
    <w:p>
      <w:pPr>
        <w:pStyle w:val="Heading2"/>
        <w:spacing w:before="200" w:after="100" w:line="252" w:lineRule="auto"/>
        <w:keepNext/>
      </w:pPr>
      <w:r>
        <w:rPr>
          <w:rFonts w:ascii="NanumSquare" w:hAnsi="NanumSquare" w:eastAsia="NanumSquare"/>
          <w:b/>
          <w:color w:val="1E244D"/>
          <w:sz w:val="28"/>
        </w:rPr>
        <w:t>2.1 허브 본연의 역할</w:t>
      </w:r>
    </w:p>
    <w:p>
      <w:pPr>
        <w:spacing w:before="0" w:after="140" w:line="283" w:lineRule="auto"/>
      </w:pPr>
      <w:r>
        <w:rPr>
          <w:rFonts w:ascii="NanumGothic" w:hAnsi="NanumGothic" w:eastAsia="NanumGothic"/>
          <w:color w:val="1F2633"/>
          <w:sz w:val="21"/>
        </w:rPr>
        <w:t>본 제안은 “코어는 얇게, 전문기능은 가장자리에”라는 네트워크·소프트웨어 철학을 적용한다. Hub가 DEX·대출·파생·스테이블코인을 직접 운영하면 고객이 될 체인과 경쟁하게 되고, 중립 연결점으로서의 신뢰를 잃는다.</w:t>
      </w:r>
    </w:p>
    <w:p>
      <w:pPr>
        <w:spacing w:before="0" w:after="100" w:line="276" w:lineRule="auto"/>
      </w:pPr>
      <w:r>
        <w:rPr>
          <w:rFonts w:ascii="NanumGothic" w:hAnsi="NanumGothic" w:eastAsia="NanumGothic"/>
          <w:b/>
          <w:color w:val="1E244D"/>
          <w:sz w:val="22"/>
        </w:rPr>
        <w:t>①  Connect</w:t>
      </w:r>
      <w:r>
        <w:rPr>
          <w:rFonts w:ascii="NanumGothic" w:hAnsi="NanumGothic" w:eastAsia="NanumGothic"/>
          <w:color w:val="1F2633"/>
          <w:sz w:val="21"/>
        </w:rPr>
        <w:t xml:space="preserve"> — 체인·기관·자산이 최소한의 표준으로 접속할 수 있게 한다.</w:t>
      </w:r>
    </w:p>
    <w:p>
      <w:pPr>
        <w:spacing w:before="0" w:after="100" w:line="276" w:lineRule="auto"/>
      </w:pPr>
      <w:r>
        <w:rPr>
          <w:rFonts w:ascii="NanumGothic" w:hAnsi="NanumGothic" w:eastAsia="NanumGothic"/>
          <w:b/>
          <w:color w:val="1E244D"/>
          <w:sz w:val="22"/>
        </w:rPr>
        <w:t>②  Verify</w:t>
      </w:r>
      <w:r>
        <w:rPr>
          <w:rFonts w:ascii="NanumGothic" w:hAnsi="NanumGothic" w:eastAsia="NanumGothic"/>
          <w:color w:val="1F2633"/>
          <w:sz w:val="21"/>
        </w:rPr>
        <w:t xml:space="preserve"> — 상대체인 상태, 자산 출처, provider 성과, 거래 완료를 검증한다.</w:t>
      </w:r>
    </w:p>
    <w:p>
      <w:pPr>
        <w:spacing w:before="0" w:after="100" w:line="276" w:lineRule="auto"/>
      </w:pPr>
      <w:r>
        <w:rPr>
          <w:rFonts w:ascii="NanumGothic" w:hAnsi="NanumGothic" w:eastAsia="NanumGothic"/>
          <w:b/>
          <w:color w:val="1E244D"/>
          <w:sz w:val="22"/>
        </w:rPr>
        <w:t>③  Route Market</w:t>
      </w:r>
      <w:r>
        <w:rPr>
          <w:rFonts w:ascii="NanumGothic" w:hAnsi="NanumGothic" w:eastAsia="NanumGothic"/>
          <w:color w:val="1F2633"/>
          <w:sz w:val="21"/>
        </w:rPr>
        <w:t xml:space="preserve"> — Hub가 경로를 독점하지 않고 여러 전문 사업자가 견적과 품질로 경쟁하게 한다.</w:t>
      </w:r>
    </w:p>
    <w:p>
      <w:pPr>
        <w:spacing w:before="0" w:after="100" w:line="276" w:lineRule="auto"/>
      </w:pPr>
      <w:r>
        <w:rPr>
          <w:rFonts w:ascii="NanumGothic" w:hAnsi="NanumGothic" w:eastAsia="NanumGothic"/>
          <w:b/>
          <w:color w:val="1E244D"/>
          <w:sz w:val="22"/>
        </w:rPr>
        <w:t>④  Assure</w:t>
      </w:r>
      <w:r>
        <w:rPr>
          <w:rFonts w:ascii="NanumGothic" w:hAnsi="NanumGothic" w:eastAsia="NanumGothic"/>
          <w:color w:val="1F2633"/>
          <w:sz w:val="21"/>
        </w:rPr>
        <w:t xml:space="preserve"> — fee escrow, provider bond, 완료 receipt, 객관적 실패보상으로 선택형 확실성을 판매한다.</w:t>
      </w:r>
    </w:p>
    <w:p>
      <w:pPr>
        <w:pStyle w:val="Heading2"/>
        <w:spacing w:before="200" w:after="100" w:line="252" w:lineRule="auto"/>
        <w:keepNext/>
      </w:pPr>
      <w:r>
        <w:rPr>
          <w:rFonts w:ascii="NanumSquare" w:hAnsi="NanumSquare" w:eastAsia="NanumSquare"/>
          <w:b/>
          <w:color w:val="1E244D"/>
          <w:sz w:val="28"/>
        </w:rPr>
        <w:t>2.2 SWIFT + Visa + CLS + IX 비유의 정확한 범위</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47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비교대상</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차용할 기능</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차용하지 않을 기능</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Cosmos Hub 적용</w:t>
            </w:r>
          </w:p>
        </w:tc>
      </w:tr>
      <w:tr>
        <w:trPr>
          <w:cantSplit/>
        </w:trPr>
        <w:tc>
          <w:tcPr>
            <w:tcW w:type="dxa" w:w="147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SWIFT</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표준화된 신뢰 메시징·기관 접속</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고객자금 보관·신용공급</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자산·거래·receipt 메시지 표준</w:t>
            </w:r>
          </w:p>
        </w:tc>
      </w:tr>
      <w:tr>
        <w:trPr>
          <w:cantSplit/>
        </w:trPr>
        <w:tc>
          <w:tcPr>
            <w:tcW w:type="dxa" w:w="147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VisaNet</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다수 참여자 사이 authorization·clearing·settlement coordination</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카드 독점망·폐쇄형 회원규칙</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quote·경로선택·완료처리</w:t>
            </w:r>
          </w:p>
        </w:tc>
      </w:tr>
      <w:tr>
        <w:trPr>
          <w:cantSplit/>
        </w:trPr>
        <w:tc>
          <w:tcPr>
            <w:tcW w:type="dxa" w:w="147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CLS</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양쪽 지급 동시성, settlement-risk 완화, netting 원리</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초기단계의 중앙 balance sheet·법정 CCP 역할</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장기적으로 원자적 DvP/PvP adapter만 선택 적용</w:t>
            </w:r>
          </w:p>
        </w:tc>
      </w:tr>
      <w:tr>
        <w:trPr>
          <w:cantSplit/>
        </w:trPr>
        <w:tc>
          <w:tcPr>
            <w:tcW w:type="dxa" w:w="147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Internet IX</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독립 네트워크의 중립 접속·비간섭</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transit 사업·콘텐츠 사업</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기본 IBC의 개방성 유지, 선택형 프리미엄만 과금</w:t>
            </w:r>
          </w:p>
        </w:tc>
      </w:tr>
    </w:tbl>
    <w:p>
      <w:pPr>
        <w:spacing w:before="0" w:after="20" w:line="283" w:lineRule="auto"/>
      </w:pPr>
    </w:p>
    <w:p>
      <w:pPr>
        <w:spacing w:before="0" w:after="140" w:line="283" w:lineRule="auto"/>
      </w:pPr>
      <w:r>
        <w:rPr>
          <w:rFonts w:ascii="NanumGothic" w:hAnsi="NanumGothic" w:eastAsia="NanumGothic"/>
          <w:color w:val="1F2633"/>
          <w:sz w:val="21"/>
        </w:rPr>
        <w:t>SWIFT는 보안 금융 메시징, VisaNet은 authorization·clearing·settlement 네트워크 서비스, CLS는 PvP와 netting을 통한 결제위험 완화, IXP는 독립 네트워크의 중립적 상호접속을 제공한다. 제안의 목적은 이 기관을 복제하는 것이 아니라 공통분모인 “표준·경로·완료·확실성”을 인터체인 환경에 맞게 추출하는 것이다.</w:t>
      </w:r>
      <w:r>
        <w:t xml:space="preserve"> </w:t>
      </w:r>
      <w:hyperlink r:id="rId24">
        <w:r>
          <w:rPr>
            <w:rFonts w:ascii="NanumGothic" w:hAnsi="NanumGothic" w:eastAsia="NanumGothic"/>
            <w:color w:val="6F5AE8"/>
            <w:sz w:val="17"/>
            <w:b/>
          </w:rPr>
          <w:t>[R16]</w:t>
        </w:r>
      </w:hyperlink>
      <w:r>
        <w:t xml:space="preserve"> </w:t>
      </w:r>
      <w:hyperlink r:id="rId25">
        <w:r>
          <w:rPr>
            <w:rFonts w:ascii="NanumGothic" w:hAnsi="NanumGothic" w:eastAsia="NanumGothic"/>
            <w:color w:val="6F5AE8"/>
            <w:sz w:val="17"/>
            <w:b/>
          </w:rPr>
          <w:t>[R17]</w:t>
        </w:r>
      </w:hyperlink>
      <w:r>
        <w:t xml:space="preserve"> </w:t>
      </w:r>
      <w:hyperlink r:id="rId26">
        <w:r>
          <w:rPr>
            <w:rFonts w:ascii="NanumGothic" w:hAnsi="NanumGothic" w:eastAsia="NanumGothic"/>
            <w:color w:val="6F5AE8"/>
            <w:sz w:val="17"/>
            <w:b/>
          </w:rPr>
          <w:t>[R18]</w:t>
        </w:r>
      </w:hyperlink>
      <w:r>
        <w:t xml:space="preserve"> </w:t>
      </w:r>
      <w:hyperlink r:id="rId27">
        <w:r>
          <w:rPr>
            <w:rFonts w:ascii="NanumGothic" w:hAnsi="NanumGothic" w:eastAsia="NanumGothic"/>
            <w:color w:val="6F5AE8"/>
            <w:sz w:val="17"/>
            <w:b/>
          </w:rPr>
          <w:t>[R19]</w:t>
        </w:r>
      </w:hyperlink>
    </w:p>
    <w:p>
      <w:pPr>
        <w:pStyle w:val="Heading2"/>
        <w:spacing w:before="200" w:after="100" w:line="252" w:lineRule="auto"/>
        <w:keepNext/>
      </w:pPr>
      <w:r>
        <w:rPr>
          <w:rFonts w:ascii="NanumSquare" w:hAnsi="NanumSquare" w:eastAsia="NanumSquare"/>
          <w:b/>
          <w:color w:val="1E244D"/>
          <w:sz w:val="28"/>
        </w:rPr>
        <w:t>2.3 Hub Constitution: 하지 않을 일</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49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금지/제한</w:t>
            </w:r>
          </w:p>
        </w:tc>
        <w:tc>
          <w:tcPr>
            <w:tcW w:type="dxa" w:w="368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이유</w:t>
            </w:r>
          </w:p>
        </w:tc>
        <w:tc>
          <w:tcPr>
            <w:tcW w:type="dxa" w:w="328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대안</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기본 IBC 전송에 강제 통행료</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직접연결·permissionless 구조와 충돌, 우회 유발</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무료 base rail + 선택형 premium</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자체 DEX·Lending·Perp</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Osmosis·Injective 등 고객과 경쟁</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venue를 provider로 연결</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자체 stablecoin·RWA 운용</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 중립성·재무위험 훼손</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다수 발행사의 distribution market</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직접 custody·market making</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원금·유동성·규제 리스크</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에스크로는 수수료·담보에 한정</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개인정보 KYC 데이터베이스</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프라이버시·규제 집중위험</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규제사업자의 verifiable attestation</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PMF 전 대형 SDK 모듈</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Gaia 복잡도·공격면·업그레이드 부담</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계약·서명·CosmWasm MVP 후 승격</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모든 수수료를 ATOM으로 강제</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UX·회계·유동성 저하</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선호자산 수취 후 프로토콜 내부 ATOM 매입</w:t>
            </w:r>
          </w:p>
        </w:tc>
      </w:tr>
    </w:tbl>
    <w:p>
      <w:pPr>
        <w:spacing w:before="0" w:after="20" w:line="283" w:lineRule="auto"/>
      </w:pPr>
    </w:p>
    <w:p>
      <w:r>
        <w:br w:type="page"/>
      </w:r>
    </w:p>
    <w:p>
      <w:pPr>
        <w:pStyle w:val="Heading1"/>
        <w:spacing w:before="280" w:after="140" w:line="252" w:lineRule="auto"/>
        <w:keepNext/>
      </w:pPr>
      <w:r>
        <w:rPr>
          <w:rFonts w:ascii="NanumSquare" w:hAnsi="NanumSquare" w:eastAsia="NanumSquare"/>
          <w:b/>
          <w:color w:val="1E244D"/>
          <w:sz w:val="36"/>
        </w:rPr>
        <w:t>3. 제안 아키텍처: Neutral Interchain Clearing Market</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3570000"/>
            <wp:docPr id="1" name="Picture 1" title="Cosmos Hub Neutral Interchain Clearing Market 아키텍처" descr="자산 발행사·기관·사용자 지갑이 Cosmos Hub의 Connect, Verify, Route Market, Assure, Revenue Vault를 거쳐 서비스 사업자와 외부 체인으로 연결되는 역할 분리 도식."/>
            <wp:cNvGraphicFramePr>
              <a:graphicFrameLocks noChangeAspect="1"/>
            </wp:cNvGraphicFramePr>
            <a:graphic>
              <a:graphicData uri="http://schemas.openxmlformats.org/drawingml/2006/picture">
                <pic:pic>
                  <pic:nvPicPr>
                    <pic:cNvPr id="0" name="architecture.png"/>
                    <pic:cNvPicPr/>
                  </pic:nvPicPr>
                  <pic:blipFill>
                    <a:blip r:embed="rId28"/>
                    <a:stretch>
                      <a:fillRect/>
                    </a:stretch>
                  </pic:blipFill>
                  <pic:spPr>
                    <a:xfrm>
                      <a:off x="0" y="0"/>
                      <a:ext cx="6120000" cy="357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1. 얇은 Hub와 전문 Edge의 역할분리 — 본 문서 제안 도식</w:t>
      </w:r>
    </w:p>
    <w:p>
      <w:pPr>
        <w:pStyle w:val="Heading2"/>
        <w:spacing w:before="200" w:after="100" w:line="252" w:lineRule="auto"/>
        <w:keepNext/>
      </w:pPr>
      <w:r>
        <w:rPr>
          <w:rFonts w:ascii="NanumSquare" w:hAnsi="NanumSquare" w:eastAsia="NanumSquare"/>
          <w:b/>
          <w:color w:val="1E244D"/>
          <w:sz w:val="28"/>
        </w:rPr>
        <w:t>3.1 정의</w:t>
      </w:r>
    </w:p>
    <w:p>
      <w:pPr>
        <w:spacing w:before="0" w:after="140" w:line="283" w:lineRule="auto"/>
      </w:pPr>
      <w:r>
        <w:rPr>
          <w:rFonts w:ascii="NanumGothic" w:hAnsi="NanumGothic" w:eastAsia="NanumGothic"/>
          <w:color w:val="1F2633"/>
          <w:sz w:val="21"/>
        </w:rPr>
        <w:t>Neutral Interchain Clearing Market(NICM)은 중앙 거래소나 중앙청산소가 아니다. 독립된 체인과 사업자가 자유롭게 연결되는 IBC 위에, 자산 등록·서명견적·수수료 에스크로·provider bond·완료 receipt·프로토콜 수익분배를 제공하는 선택형 조정시장이다.</w:t>
      </w:r>
    </w:p>
    <w:p>
      <w:pPr>
        <w:spacing w:before="0" w:after="140" w:line="283" w:lineRule="auto"/>
      </w:pPr>
      <w:r>
        <w:rPr>
          <w:rFonts w:ascii="NanumGothic" w:hAnsi="NanumGothic" w:eastAsia="NanumGothic"/>
          <w:color w:val="1F2633"/>
          <w:sz w:val="21"/>
        </w:rPr>
        <w:t>“Clearing”은 이 문서에서 거래 지시를 정리하고, provider를 선택하며, 결과를 확인해 수수료와 담보를 정산하는 프로토콜적 의미로 사용한다. 법률상 CCP·지급결제기관·수탁기관으로 기능하는 모델은 MVP 범위에서 제외한다.</w:t>
      </w:r>
    </w:p>
    <w:p>
      <w:pPr>
        <w:pStyle w:val="Heading2"/>
        <w:spacing w:before="200" w:after="100" w:line="252" w:lineRule="auto"/>
        <w:keepNext/>
      </w:pPr>
      <w:r>
        <w:rPr>
          <w:rFonts w:ascii="NanumSquare" w:hAnsi="NanumSquare" w:eastAsia="NanumSquare"/>
          <w:b/>
          <w:color w:val="1E244D"/>
          <w:sz w:val="28"/>
        </w:rPr>
        <w:t>3.2 참여자와 역할</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참여자</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제공하는 것</w:t>
            </w:r>
          </w:p>
        </w:tc>
        <w:tc>
          <w:tcPr>
            <w:tcW w:type="dxa" w:w="243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얻는 것</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Hub가 검증하는 것</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자산 발행사</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 인센티브·공식 자산 메타데이터</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멀티체인 배포·사용량</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signature·eligible flow</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기관·은행</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대형 주문·SLA 수요</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단일 접속·감사 receipt</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접속권한·거래완료</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Router/Wallet</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경로·UX·고객유입</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affiliate/orderflow 수익</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서명견적·성과</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Relayer/Prover</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packet 전달·proof</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실행수수료</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ack·timeout·가동률</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MM/LP/Fast provider</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즉시 유동성·가격보장</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spread·premium</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quote·settlement·bond</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Attestation provider</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KYC/AML/자격 검증결과</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검증수수료</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서명·revocation·정책버전</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Cosmos Hub</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registry·escrow·receipt·revenue rules</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protocol fee·ATOM 가치기반</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규칙 집행과 투명성</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3.3 최소 코어 데이터 객체</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81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객체</w:t>
            </w:r>
          </w:p>
        </w:tc>
        <w:tc>
          <w:tcPr>
            <w:tcW w:type="dxa" w:w="425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필수 필드 예시</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코어에 필요한 이유</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Asset Record</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origin, canonical denom/contract, representations, policy hash</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가짜·중복 자산과 path fragmentation 완화</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Service Provider</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operator, service type, bond, endpoints, supported routes</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경쟁시장 진입과 책임주체 명확화</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Signed Quote</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amount, asset, route, fee, deadline, SLA, provider signature</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가격비교와 계약조건 고정</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Escrow Record</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fee, bond reference, expiry, refund rule</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성공 전 지급 방지</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Settlement Receipt</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source tx, proof/ack, destination tx, final status</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감사·분쟁의 객관적 기준</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 Event</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gross fee, provider share, reserve, ATOM purchase</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ATOM 귀속의 투명성</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4. BM 1 — Interchain Asset Distribution Market</w:t>
      </w:r>
    </w:p>
    <w:tbl>
      <w:tblPr>
        <w:tblW w:type="auto" w:w="0"/>
        <w:jc w:val="left"/>
        <w:tblLayout w:type="fixed"/>
        <w:tblLook w:firstColumn="1" w:firstRow="1" w:lastColumn="0" w:lastRow="0" w:noHBand="0" w:noVBand="1" w:val="04A0"/>
      </w:tblPr>
      <w:tblGrid>
        <w:gridCol w:w="9752"/>
      </w:tblGrid>
      <w:tr>
        <w:trPr>
          <w:cantSplit/>
        </w:trPr>
        <w:tc>
          <w:tcPr>
            <w:tcW w:type="dxa" w:w="2551"/>
            <w:shd w:fill="ECF7F0"/>
            <w:tcBorders>
              <w:top w:val="single" w:sz="8" w:color="25885A"/>
              <w:left w:val="single" w:sz="8" w:color="25885A"/>
              <w:bottom w:val="single" w:sz="8" w:color="25885A"/>
              <w:right w:val="single" w:sz="8" w:color="25885A"/>
            </w:tcBorders>
            <w:tcMar>
              <w:top w:w="60" w:type="dxa"/>
              <w:start w:w="110" w:type="dxa"/>
              <w:bottom w:w="60" w:type="dxa"/>
              <w:end w:w="110" w:type="dxa"/>
            </w:tcMar>
          </w:tcPr>
          <w:p>
            <w:pPr>
              <w:spacing w:before="0" w:after="0" w:line="240" w:lineRule="auto"/>
            </w:pPr>
            <w:r>
              <w:rPr>
                <w:rFonts w:ascii="NanumGothic" w:hAnsi="NanumGothic" w:eastAsia="NanumGothic"/>
                <w:b/>
                <w:color w:val="25885A"/>
                <w:sz w:val="18"/>
              </w:rPr>
              <w:t>[최우선 제안 · 기존 실증 확장]</w:t>
            </w:r>
          </w:p>
        </w:tc>
      </w:tr>
    </w:tbl>
    <w:p>
      <w:pPr>
        <w:spacing w:after="0"/>
      </w:pPr>
    </w:p>
    <w:p>
      <w:pPr>
        <w:pStyle w:val="Heading2"/>
        <w:spacing w:before="200" w:after="100" w:line="252" w:lineRule="auto"/>
        <w:keepNext/>
      </w:pPr>
      <w:r>
        <w:rPr>
          <w:rFonts w:ascii="NanumSquare" w:hAnsi="NanumSquare" w:eastAsia="NanumSquare"/>
          <w:b/>
          <w:color w:val="1E244D"/>
          <w:sz w:val="28"/>
        </w:rPr>
        <w:t>4.1 고객 문제</w:t>
      </w:r>
    </w:p>
    <w:p>
      <w:pPr>
        <w:spacing w:before="0" w:after="140" w:line="283" w:lineRule="auto"/>
      </w:pPr>
      <w:r>
        <w:rPr>
          <w:rFonts w:ascii="NanumGothic" w:hAnsi="NanumGothic" w:eastAsia="NanumGothic"/>
          <w:color w:val="1F2633"/>
          <w:sz w:val="21"/>
        </w:rPr>
        <w:t>Stablecoin·토큰화 MMF·채권·예금·주식 발행사는 자산을 여러 체인에 배포하고 싶지만, 체인별 통합·지갑 노출·유동성·canonical representation·compliance 정보를 각각 협상해야 한다. 공식 Hub팀 역시 토큰화 자산이 발행체인에 고립되고 배포가 부족하다는 문제를 우선 검증 대상으로 제시했다.</w:t>
      </w:r>
      <w:r>
        <w:t xml:space="preserve"> </w:t>
      </w:r>
      <w:hyperlink r:id="rId11">
        <w:r>
          <w:rPr>
            <w:rFonts w:ascii="NanumGothic" w:hAnsi="NanumGothic" w:eastAsia="NanumGothic"/>
            <w:color w:val="6F5AE8"/>
            <w:sz w:val="17"/>
            <w:b/>
          </w:rPr>
          <w:t>[R1]</w:t>
        </w:r>
      </w:hyperlink>
    </w:p>
    <w:p>
      <w:pPr>
        <w:pStyle w:val="Heading2"/>
        <w:spacing w:before="200" w:after="100" w:line="252" w:lineRule="auto"/>
        <w:keepNext/>
      </w:pPr>
      <w:r>
        <w:rPr>
          <w:rFonts w:ascii="NanumSquare" w:hAnsi="NanumSquare" w:eastAsia="NanumSquare"/>
          <w:b/>
          <w:color w:val="1E244D"/>
          <w:sz w:val="28"/>
        </w:rPr>
        <w:t>4.2 작동 구조</w:t>
      </w:r>
    </w:p>
    <w:p>
      <w:pPr>
        <w:spacing w:before="0" w:after="100" w:line="276" w:lineRule="auto"/>
      </w:pPr>
      <w:r>
        <w:rPr>
          <w:rFonts w:ascii="NanumGothic" w:hAnsi="NanumGothic" w:eastAsia="NanumGothic"/>
          <w:b/>
          <w:color w:val="1E244D"/>
          <w:sz w:val="22"/>
        </w:rPr>
        <w:t>①  Campaign</w:t>
      </w:r>
      <w:r>
        <w:rPr>
          <w:rFonts w:ascii="NanumGothic" w:hAnsi="NanumGothic" w:eastAsia="NanumGothic"/>
          <w:color w:val="1F2633"/>
          <w:sz w:val="21"/>
        </w:rPr>
        <w:t xml:space="preserve"> — 발행사가 대상 체인·지갑·기간·KPI·인센티브 풀을 등록한다.</w:t>
      </w:r>
    </w:p>
    <w:p>
      <w:pPr>
        <w:spacing w:before="0" w:after="100" w:line="276" w:lineRule="auto"/>
      </w:pPr>
      <w:r>
        <w:rPr>
          <w:rFonts w:ascii="NanumGothic" w:hAnsi="NanumGothic" w:eastAsia="NanumGothic"/>
          <w:b/>
          <w:color w:val="1E244D"/>
          <w:sz w:val="22"/>
        </w:rPr>
        <w:t>②  Open Enrollment</w:t>
      </w:r>
      <w:r>
        <w:rPr>
          <w:rFonts w:ascii="NanumGothic" w:hAnsi="NanumGothic" w:eastAsia="NanumGothic"/>
          <w:color w:val="1F2633"/>
          <w:sz w:val="21"/>
        </w:rPr>
        <w:t xml:space="preserve"> — 지갑, chain, router, LP, integrator가 공개 조건으로 참여한다.</w:t>
      </w:r>
    </w:p>
    <w:p>
      <w:pPr>
        <w:spacing w:before="0" w:after="100" w:line="276" w:lineRule="auto"/>
      </w:pPr>
      <w:r>
        <w:rPr>
          <w:rFonts w:ascii="NanumGothic" w:hAnsi="NanumGothic" w:eastAsia="NanumGothic"/>
          <w:b/>
          <w:color w:val="1E244D"/>
          <w:sz w:val="22"/>
        </w:rPr>
        <w:t>③  Verified Attribution</w:t>
      </w:r>
      <w:r>
        <w:rPr>
          <w:rFonts w:ascii="NanumGothic" w:hAnsi="NanumGothic" w:eastAsia="NanumGothic"/>
          <w:color w:val="1F2633"/>
          <w:sz w:val="21"/>
        </w:rPr>
        <w:t xml:space="preserve"> — Mintscan/indexer와 on-chain receipt가 supply, transfer, active holder, liquidity 등 실적을 측정한다.</w:t>
      </w:r>
    </w:p>
    <w:p>
      <w:pPr>
        <w:spacing w:before="0" w:after="100" w:line="276" w:lineRule="auto"/>
      </w:pPr>
      <w:r>
        <w:rPr>
          <w:rFonts w:ascii="NanumGothic" w:hAnsi="NanumGothic" w:eastAsia="NanumGothic"/>
          <w:b/>
          <w:color w:val="1E244D"/>
          <w:sz w:val="22"/>
        </w:rPr>
        <w:t>④  Payout</w:t>
      </w:r>
      <w:r>
        <w:rPr>
          <w:rFonts w:ascii="NanumGothic" w:hAnsi="NanumGothic" w:eastAsia="NanumGothic"/>
          <w:color w:val="1F2633"/>
          <w:sz w:val="21"/>
        </w:rPr>
        <w:t xml:space="preserve"> — 발행사 인센티브를 실적에 따라 provider에게 배분하고 Hub가 protocol share를 취득한다.</w:t>
      </w:r>
    </w:p>
    <w:p>
      <w:pPr>
        <w:spacing w:before="0" w:after="100" w:line="276" w:lineRule="auto"/>
      </w:pPr>
      <w:r>
        <w:rPr>
          <w:rFonts w:ascii="NanumGothic" w:hAnsi="NanumGothic" w:eastAsia="NanumGothic"/>
          <w:b/>
          <w:color w:val="1E244D"/>
          <w:sz w:val="22"/>
        </w:rPr>
        <w:t>⑤  ATOM Accrual</w:t>
      </w:r>
      <w:r>
        <w:rPr>
          <w:rFonts w:ascii="NanumGothic" w:hAnsi="NanumGothic" w:eastAsia="NanumGothic"/>
          <w:color w:val="1F2633"/>
          <w:sz w:val="21"/>
        </w:rPr>
        <w:t xml:space="preserve"> — Hub 몫은 Revenue Vault로 들어가 ATOM buyback·Community Pool·assurance reserve에 투명하게 배분한다.</w:t>
      </w:r>
    </w:p>
    <w:p>
      <w:pPr>
        <w:pStyle w:val="Heading2"/>
        <w:spacing w:before="200" w:after="100" w:line="252" w:lineRule="auto"/>
        <w:keepNext/>
      </w:pPr>
      <w:r>
        <w:rPr>
          <w:rFonts w:ascii="NanumSquare" w:hAnsi="NanumSquare" w:eastAsia="NanumSquare"/>
          <w:b/>
          <w:color w:val="1E244D"/>
          <w:sz w:val="28"/>
        </w:rPr>
        <w:t>4.3 가격·수익모델</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04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항목</w:t>
            </w:r>
          </w:p>
        </w:tc>
        <w:tc>
          <w:tcPr>
            <w:tcW w:type="dxa" w:w="374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권장 방식</w:t>
            </w:r>
          </w:p>
        </w:tc>
        <w:tc>
          <w:tcPr>
            <w:tcW w:type="dxa" w:w="368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비고</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Campaign setup</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고정 심사/통합비 또는 발행사 부담</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초기 기술·법률 비용 회수</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Distribution incentive</w:t>
            </w:r>
          </w:p>
        </w:tc>
        <w:tc>
          <w:tcPr>
            <w:tcW w:type="dxa" w:w="374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발행사가 조성한 성과형 풀</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유통량이 아니라 질적 KPI 포함</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protocol share</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실제 지급 인센티브의 10~20% 범위에서 검증</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첫 단계는 경쟁입찰로 price discovery</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payout</w:t>
            </w:r>
          </w:p>
        </w:tc>
        <w:tc>
          <w:tcPr>
            <w:tcW w:type="dxa" w:w="374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지갑·chain·LP·router에 실적별 배분</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독점 파트너 방지</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Registry/analytics</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기본 공개, 기관형 리포트 유료</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Mintscan을 투명성 레이어로 활용</w:t>
            </w:r>
          </w:p>
        </w:tc>
      </w:tr>
    </w:tbl>
    <w:p>
      <w:pPr>
        <w:spacing w:before="0" w:after="20" w:line="283" w:lineRule="auto"/>
      </w:pPr>
    </w:p>
    <w:p>
      <w:pPr>
        <w:spacing w:before="0" w:after="100" w:line="259" w:lineRule="auto"/>
      </w:pPr>
      <w:r>
        <w:rPr>
          <w:rFonts w:ascii="NanumGothic" w:hAnsi="NanumGothic" w:eastAsia="NanumGothic"/>
          <w:i/>
          <w:color w:val="5B6475"/>
          <w:sz w:val="17"/>
        </w:rPr>
        <w:t>주의: 10~20%는 권고 시작범위이며 확정 가격이 아니다. 초기 2~3개 캠페인에서 발행사 willingness-to-pay와 provider 공급을 검증해야 한다.</w:t>
      </w:r>
    </w:p>
    <w:p>
      <w:pPr>
        <w:pStyle w:val="Heading2"/>
        <w:spacing w:before="200" w:after="100" w:line="252" w:lineRule="auto"/>
        <w:keepNext/>
      </w:pPr>
      <w:r>
        <w:rPr>
          <w:rFonts w:ascii="NanumSquare" w:hAnsi="NanumSquare" w:eastAsia="NanumSquare"/>
          <w:b/>
          <w:color w:val="1E244D"/>
          <w:sz w:val="28"/>
        </w:rPr>
        <w:t>4.4 왜 이것이 첫 제품이어야 하는가</w:t>
      </w:r>
    </w:p>
    <w:p>
      <w:pPr>
        <w:pStyle w:val="ListBullet"/>
        <w:spacing w:before="0" w:after="60" w:line="269" w:lineRule="auto"/>
        <w:ind w:left="340" w:hanging="170"/>
      </w:pPr>
      <w:r>
        <w:rPr>
          <w:rFonts w:ascii="NanumGothic" w:hAnsi="NanumGothic" w:eastAsia="NanumGothic"/>
          <w:color w:val="1F2633"/>
          <w:sz w:val="21"/>
        </w:rPr>
        <w:t>이미 Injective USDC 계약으로 “발행사 경제 → Hub → ATOM 매입” 구조가 존재한다.</w:t>
      </w:r>
      <w:r>
        <w:t xml:space="preserve"> </w:t>
      </w:r>
      <w:hyperlink r:id="rId18">
        <w:r>
          <w:rPr>
            <w:rFonts w:ascii="NanumGothic" w:hAnsi="NanumGothic" w:eastAsia="NanumGothic"/>
            <w:color w:val="6F5AE8"/>
            <w:sz w:val="17"/>
            <w:b/>
          </w:rPr>
          <w:t>[R12]</w:t>
        </w:r>
      </w:hyperlink>
    </w:p>
    <w:p>
      <w:pPr>
        <w:pStyle w:val="ListBullet"/>
        <w:spacing w:before="0" w:after="60" w:line="269" w:lineRule="auto"/>
        <w:ind w:left="340" w:hanging="170"/>
      </w:pPr>
      <w:r>
        <w:rPr>
          <w:rFonts w:ascii="NanumGothic" w:hAnsi="NanumGothic" w:eastAsia="NanumGothic"/>
          <w:color w:val="1F2633"/>
          <w:sz w:val="21"/>
        </w:rPr>
        <w:t>Hub 공식팀의 현재 우선순위인 issuance·distribution·access 문제와 직접 정렬된다.</w:t>
      </w:r>
      <w:r>
        <w:t xml:space="preserve"> </w:t>
      </w:r>
      <w:hyperlink r:id="rId11">
        <w:r>
          <w:rPr>
            <w:rFonts w:ascii="NanumGothic" w:hAnsi="NanumGothic" w:eastAsia="NanumGothic"/>
            <w:color w:val="6F5AE8"/>
            <w:sz w:val="17"/>
            <w:b/>
          </w:rPr>
          <w:t>[R1]</w:t>
        </w:r>
      </w:hyperlink>
    </w:p>
    <w:p>
      <w:pPr>
        <w:pStyle w:val="ListBullet"/>
        <w:spacing w:before="0" w:after="60" w:line="269" w:lineRule="auto"/>
        <w:ind w:left="340" w:hanging="170"/>
      </w:pPr>
      <w:r>
        <w:rPr>
          <w:rFonts w:ascii="NanumGothic" w:hAnsi="NanumGothic" w:eastAsia="NanumGothic"/>
          <w:color w:val="1F2633"/>
          <w:sz w:val="21"/>
        </w:rPr>
        <w:t>Hub가 자산을 직접 발행·운용하지 않아 중립성 훼손이 작다.</w:t>
      </w:r>
    </w:p>
    <w:p>
      <w:pPr>
        <w:pStyle w:val="ListBullet"/>
        <w:spacing w:before="0" w:after="60" w:line="269" w:lineRule="auto"/>
        <w:ind w:left="340" w:hanging="170"/>
      </w:pPr>
      <w:r>
        <w:rPr>
          <w:rFonts w:ascii="NanumGothic" w:hAnsi="NanumGothic" w:eastAsia="NanumGothic"/>
          <w:color w:val="1F2633"/>
          <w:sz w:val="21"/>
        </w:rPr>
        <w:t>거래보장·SLA보다 법적·기술적 범위가 좁아 빠른 MVP가 가능하다.</w:t>
      </w:r>
    </w:p>
    <w:p>
      <w:pPr>
        <w:pStyle w:val="ListBullet"/>
        <w:spacing w:before="0" w:after="60" w:line="269" w:lineRule="auto"/>
        <w:ind w:left="340" w:hanging="170"/>
      </w:pPr>
      <w:r>
        <w:rPr>
          <w:rFonts w:ascii="NanumGothic" w:hAnsi="NanumGothic" w:eastAsia="NanumGothic"/>
          <w:color w:val="1F2633"/>
          <w:sz w:val="21"/>
        </w:rPr>
        <w:t>Mintscan·Skip Go·Eureka를 각각 데이터·접근·운송 레이어로 활용할 수 있다.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tbl>
      <w:tblPr>
        <w:tblW w:type="auto" w:w="0"/>
        <w:jc w:val="center"/>
        <w:tblLayout w:type="autofit"/>
        <w:tblLook w:firstColumn="1" w:firstRow="1" w:lastColumn="0" w:lastRow="0" w:noHBand="0" w:noVBand="1" w:val="04A0"/>
      </w:tblPr>
      <w:tblGrid>
        <w:gridCol w:w="9752"/>
      </w:tblGrid>
      <w:tr>
        <w:trPr>
          <w:cantSplit/>
        </w:trPr>
        <w:tc>
          <w:tcPr>
            <w:tcW w:type="dxa" w:w="9752"/>
            <w:shd w:fill="ECF7F0"/>
            <w:tcBorders>
              <w:top w:val="single" w:sz="12" w:color="25885A"/>
              <w:left w:val="single" w:sz="12" w:color="25885A"/>
              <w:bottom w:val="single" w:sz="12" w:color="25885A"/>
              <w:right w:val="single" w:sz="12" w:color="25885A"/>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MVP 권장 범위</w:t>
              <w:br/>
            </w:r>
            <w:r>
              <w:rPr>
                <w:rFonts w:ascii="NanumGothic" w:hAnsi="NanumGothic" w:eastAsia="NanumGothic"/>
                <w:color w:val="1F2633"/>
                <w:sz w:val="21"/>
              </w:rPr>
              <w:t>자산 1~2개(Injective USDC 포함), 목적지 3~5개 체인, 지갑·DEX·router 5~10개 사업자, 90일 캠페인. KPI는 평균 유통잔액·활성주소·canonical route 비중·유동성 깊이·캠페인 종료 후 잔존율로 한정한다.</w:t>
            </w:r>
          </w:p>
        </w:tc>
      </w:tr>
    </w:tbl>
    <w:p>
      <w:pPr>
        <w:spacing w:after="40"/>
      </w:pPr>
    </w:p>
    <w:p>
      <w:pPr>
        <w:pStyle w:val="Heading1"/>
        <w:spacing w:before="280" w:after="140" w:line="252" w:lineRule="auto"/>
        <w:keepNext/>
      </w:pPr>
      <w:r>
        <w:rPr>
          <w:rFonts w:ascii="NanumSquare" w:hAnsi="NanumSquare" w:eastAsia="NanumSquare"/>
          <w:b/>
          <w:color w:val="1E244D"/>
          <w:sz w:val="36"/>
        </w:rPr>
        <w:t>5. BM 2 — Guaranteed Interchain Delivery &amp; SLA Market</w:t>
      </w:r>
    </w:p>
    <w:tbl>
      <w:tblPr>
        <w:tblW w:type="auto" w:w="0"/>
        <w:jc w:val="left"/>
        <w:tblLayout w:type="fixed"/>
        <w:tblLook w:firstColumn="1" w:firstRow="1" w:lastColumn="0" w:lastRow="0" w:noHBand="0" w:noVBand="1" w:val="04A0"/>
      </w:tblPr>
      <w:tblGrid>
        <w:gridCol w:w="9752"/>
      </w:tblGrid>
      <w:tr>
        <w:trPr>
          <w:cantSplit/>
        </w:trPr>
        <w:tc>
          <w:tcPr>
            <w:tcW w:type="dxa" w:w="2551"/>
            <w:shd w:fill="FFF4E8"/>
            <w:tcBorders>
              <w:top w:val="single" w:sz="8" w:color="D97A2B"/>
              <w:left w:val="single" w:sz="8" w:color="D97A2B"/>
              <w:bottom w:val="single" w:sz="8" w:color="D97A2B"/>
              <w:right w:val="single" w:sz="8" w:color="D97A2B"/>
            </w:tcBorders>
            <w:tcMar>
              <w:top w:w="60" w:type="dxa"/>
              <w:start w:w="110" w:type="dxa"/>
              <w:bottom w:w="60" w:type="dxa"/>
              <w:end w:w="110" w:type="dxa"/>
            </w:tcMar>
          </w:tcPr>
          <w:p>
            <w:pPr>
              <w:spacing w:before="0" w:after="0" w:line="240" w:lineRule="auto"/>
            </w:pPr>
            <w:r>
              <w:rPr>
                <w:rFonts w:ascii="NanumGothic" w:hAnsi="NanumGothic" w:eastAsia="NanumGothic"/>
                <w:b/>
                <w:color w:val="D97A2B"/>
                <w:sz w:val="18"/>
              </w:rPr>
              <w:t>[2단계 제안]</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2720000"/>
            <wp:docPr id="2" name="Picture 2" title="Guaranteed Interchain Delivery 거래 흐름" descr="요청, 견적, 선택과 담보, 실행, 완료 증명, 지급과 보상의 여섯 단계로 구성된 보장형 인터체인 전송 흐름."/>
            <wp:cNvGraphicFramePr>
              <a:graphicFrameLocks noChangeAspect="1"/>
            </wp:cNvGraphicFramePr>
            <a:graphic>
              <a:graphicData uri="http://schemas.openxmlformats.org/drawingml/2006/picture">
                <pic:pic>
                  <pic:nvPicPr>
                    <pic:cNvPr id="0" name="flow.png"/>
                    <pic:cNvPicPr/>
                  </pic:nvPicPr>
                  <pic:blipFill>
                    <a:blip r:embed="rId29"/>
                    <a:stretch>
                      <a:fillRect/>
                    </a:stretch>
                  </pic:blipFill>
                  <pic:spPr>
                    <a:xfrm>
                      <a:off x="0" y="0"/>
                      <a:ext cx="6120000" cy="272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2. 보장형 인터체인 전송의 견적·담보·완료증명 흐름 — 본 문서 제안 도식</w:t>
      </w:r>
    </w:p>
    <w:p>
      <w:pPr>
        <w:pStyle w:val="Heading2"/>
        <w:spacing w:before="200" w:after="100" w:line="252" w:lineRule="auto"/>
        <w:keepNext/>
      </w:pPr>
      <w:r>
        <w:rPr>
          <w:rFonts w:ascii="NanumSquare" w:hAnsi="NanumSquare" w:eastAsia="NanumSquare"/>
          <w:b/>
          <w:color w:val="1E244D"/>
          <w:sz w:val="28"/>
        </w:rPr>
        <w:t>5.1 기본 전송과 프리미엄 서비스의 분리</w:t>
      </w:r>
    </w:p>
    <w:p>
      <w:pPr>
        <w:spacing w:before="0" w:after="140" w:line="283" w:lineRule="auto"/>
      </w:pPr>
      <w:r>
        <w:rPr>
          <w:rFonts w:ascii="NanumGothic" w:hAnsi="NanumGothic" w:eastAsia="NanumGothic"/>
          <w:color w:val="1F2633"/>
          <w:sz w:val="21"/>
        </w:rPr>
        <w:t>기본 IBC 전송은 계속 직접·permissionless로 사용할 수 있어야 한다. 유료 상품은 “전송권”이 아니라 가격비교, 확정 quote, 예상완료시간, 단일 추적, 실패보상, 감사 receipt를 묶은 선택형 SLA다. IXP가 interconnection을 제공하되 트래픽 내용에 간섭하지 않는 원칙과 유사하다.</w:t>
      </w:r>
      <w:r>
        <w:t xml:space="preserve"> </w:t>
      </w:r>
      <w:hyperlink r:id="rId14">
        <w:r>
          <w:rPr>
            <w:rFonts w:ascii="NanumGothic" w:hAnsi="NanumGothic" w:eastAsia="NanumGothic"/>
            <w:color w:val="6F5AE8"/>
            <w:sz w:val="17"/>
            <w:b/>
          </w:rPr>
          <w:t>[R6]</w:t>
        </w:r>
      </w:hyperlink>
      <w:r>
        <w:t xml:space="preserve"> </w:t>
      </w:r>
      <w:hyperlink r:id="rId27">
        <w:r>
          <w:rPr>
            <w:rFonts w:ascii="NanumGothic" w:hAnsi="NanumGothic" w:eastAsia="NanumGothic"/>
            <w:color w:val="6F5AE8"/>
            <w:sz w:val="17"/>
            <w:b/>
          </w:rPr>
          <w:t>[R19]</w:t>
        </w:r>
      </w:hyperlink>
    </w:p>
    <w:p>
      <w:pPr>
        <w:pStyle w:val="Heading2"/>
        <w:spacing w:before="200" w:after="100" w:line="252" w:lineRule="auto"/>
        <w:keepNext/>
      </w:pPr>
      <w:r>
        <w:rPr>
          <w:rFonts w:ascii="NanumSquare" w:hAnsi="NanumSquare" w:eastAsia="NanumSquare"/>
          <w:b/>
          <w:color w:val="1E244D"/>
          <w:sz w:val="28"/>
        </w:rPr>
        <w:t>5.2 provider 경쟁시장</w:t>
      </w:r>
    </w:p>
    <w:p>
      <w:pPr>
        <w:spacing w:before="0" w:after="140" w:line="283" w:lineRule="auto"/>
      </w:pPr>
      <w:r>
        <w:rPr>
          <w:rFonts w:ascii="NanumGothic" w:hAnsi="NanumGothic" w:eastAsia="NanumGothic"/>
          <w:color w:val="1F2633"/>
          <w:sz w:val="21"/>
        </w:rPr>
        <w:t>Skip Go는 이미 route composition, denom/path 추천, transaction tracking을 제공한다. NICM은 이 기능을 복제하지 않고 Skip을 포함한 여러 provider가 서명견적을 제출하도록 한다. 경로 계산은 경쟁사업자의 영역이고, Hub는 quote·escrow·bond·receipt라는 공통 계약계층을 담당한다.</w:t>
      </w:r>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견적 필드</w:t>
            </w:r>
          </w:p>
        </w:tc>
        <w:tc>
          <w:tcPr>
            <w:tcW w:type="dxa" w:w="385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예시</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분쟁 시 기준</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가격</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fee, protocol fee, 예상 gas</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 quote와 실제 영수증</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시간</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deadline 또는 percentile SLA</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destination receipt timestamp</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수취량</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minimum amount out</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목적지 실제 수취량</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경로</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IBC/Eureka/CCTP/fast liquidity 조합</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route hash와 tx sequence</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보상</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실패·지연·가격미달별 규칙</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객관적 ack/timeout/receipt</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담보</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ATOM 또는 승인 담보</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slashing·refund contract</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5.3 실패보상의 범위</w:t>
      </w:r>
    </w:p>
    <w:p>
      <w:pPr>
        <w:spacing w:before="0" w:after="140" w:line="283" w:lineRule="auto"/>
      </w:pPr>
      <w:r>
        <w:rPr>
          <w:rFonts w:ascii="NanumGothic" w:hAnsi="NanumGothic" w:eastAsia="NanumGothic"/>
          <w:color w:val="1F2633"/>
          <w:sz w:val="21"/>
        </w:rPr>
        <w:t>모든 실패를 provider 책임으로 돌리면 보험료가 폭증하고 공급자가 사라진다. 따라서 보상대상은 “provider가 서명한 조건 중 객관적으로 통제 가능한 항목”으로 제한해야 한다.</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사건</w:t>
            </w:r>
          </w:p>
        </w:tc>
        <w:tc>
          <w:tcPr>
            <w:tcW w:type="dxa" w:w="198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초기 보상 여부</w:t>
            </w:r>
          </w:p>
        </w:tc>
        <w:tc>
          <w:tcPr>
            <w:tcW w:type="dxa" w:w="481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설계 원칙</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quote 후 미실행/오경로</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보상</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통제 가능</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deadline 초과</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부분보상</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source·destination finality에 따른 grace period</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minimum output 미달</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보상 또는 자동 revert</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quote 조건 위반</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source chain halt</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원칙적 면책</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시스템 사건</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destination chain halt</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원칙적 면책/옵션보험</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서비스 수준별 별도 가격</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사용자 서명·주소 오류</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면책</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사용자 책임</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프로토콜 취약점</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별도 security reserve</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bond만으로 해결 불가</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5.4 수익원</w:t>
      </w:r>
    </w:p>
    <w:p>
      <w:pPr>
        <w:pStyle w:val="ListBullet"/>
        <w:spacing w:before="0" w:after="60" w:line="269" w:lineRule="auto"/>
        <w:ind w:left="340" w:hanging="170"/>
      </w:pPr>
      <w:r>
        <w:rPr>
          <w:rFonts w:ascii="NanumGothic" w:hAnsi="NanumGothic" w:eastAsia="NanumGothic"/>
          <w:color w:val="1F2633"/>
          <w:sz w:val="21"/>
        </w:rPr>
        <w:t>Provider premium의 일정 비율을 protocol fee로 취득한다.</w:t>
      </w:r>
    </w:p>
    <w:p>
      <w:pPr>
        <w:pStyle w:val="ListBullet"/>
        <w:spacing w:before="0" w:after="60" w:line="269" w:lineRule="auto"/>
        <w:ind w:left="340" w:hanging="170"/>
      </w:pPr>
      <w:r>
        <w:rPr>
          <w:rFonts w:ascii="NanumGothic" w:hAnsi="NanumGothic" w:eastAsia="NanumGothic"/>
          <w:color w:val="1F2633"/>
          <w:sz w:val="21"/>
        </w:rPr>
        <w:t>기관용 대형 거래는 notional 기준 초저율 fee 또는 연간 SLA 계약으로 가격을 정한다.</w:t>
      </w:r>
    </w:p>
    <w:p>
      <w:pPr>
        <w:pStyle w:val="ListBullet"/>
        <w:spacing w:before="0" w:after="60" w:line="269" w:lineRule="auto"/>
        <w:ind w:left="340" w:hanging="170"/>
      </w:pPr>
      <w:r>
        <w:rPr>
          <w:rFonts w:ascii="NanumGothic" w:hAnsi="NanumGothic" w:eastAsia="NanumGothic"/>
          <w:color w:val="1F2633"/>
          <w:sz w:val="21"/>
        </w:rPr>
        <w:t>Provider는 orderflow를 얻는 대가로 bond와 등록비를 부담한다.</w:t>
      </w:r>
    </w:p>
    <w:p>
      <w:pPr>
        <w:pStyle w:val="ListBullet"/>
        <w:spacing w:before="0" w:after="60" w:line="269" w:lineRule="auto"/>
        <w:ind w:left="340" w:hanging="170"/>
      </w:pPr>
      <w:r>
        <w:rPr>
          <w:rFonts w:ascii="NanumGothic" w:hAnsi="NanumGothic" w:eastAsia="NanumGothic"/>
          <w:color w:val="1F2633"/>
          <w:sz w:val="21"/>
        </w:rPr>
        <w:t>Retail base transfer에는 별도 Hub fee를 부과하지 않고, 유료 기능을 선택했을 때만 과금한다.</w:t>
      </w:r>
    </w:p>
    <w:p>
      <w:pPr>
        <w:pStyle w:val="Heading1"/>
        <w:spacing w:before="280" w:after="140" w:line="252" w:lineRule="auto"/>
        <w:keepNext/>
      </w:pPr>
      <w:r>
        <w:rPr>
          <w:rFonts w:ascii="NanumSquare" w:hAnsi="NanumSquare" w:eastAsia="NanumSquare"/>
          <w:b/>
          <w:color w:val="1E244D"/>
          <w:sz w:val="36"/>
        </w:rPr>
        <w:t>6. BM 3 — Enterprise One-Connection Gateway</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[3단계 제안]</w:t>
            </w:r>
          </w:p>
        </w:tc>
      </w:tr>
    </w:tbl>
    <w:p>
      <w:pPr>
        <w:spacing w:after="0"/>
      </w:pPr>
    </w:p>
    <w:p>
      <w:pPr>
        <w:pStyle w:val="Heading2"/>
        <w:spacing w:before="200" w:after="100" w:line="252" w:lineRule="auto"/>
        <w:keepNext/>
      </w:pPr>
      <w:r>
        <w:rPr>
          <w:rFonts w:ascii="NanumSquare" w:hAnsi="NanumSquare" w:eastAsia="NanumSquare"/>
          <w:b/>
          <w:color w:val="1E244D"/>
          <w:sz w:val="28"/>
        </w:rPr>
        <w:t>6.1 가치제안</w:t>
      </w:r>
    </w:p>
    <w:p>
      <w:pPr>
        <w:spacing w:before="0" w:after="140" w:line="283" w:lineRule="auto"/>
      </w:pPr>
      <w:r>
        <w:rPr>
          <w:rFonts w:ascii="NanumGothic" w:hAnsi="NanumGothic" w:eastAsia="NanumGothic"/>
          <w:color w:val="1F2633"/>
          <w:sz w:val="21"/>
        </w:rPr>
        <w:t>은행·수탁사·핀테크가 Ethereum, Solana, Cosmos SDK chain, private DLT를 각각 연결하려면 노드·RPC·키관리·asset mapping·monitoring·장애대응을 반복 구축해야 한다. Cosmos Hub와 표준 gateway에 한 번 연결해 여러 네트워크에 접근하게 하면 integration cost와 운영복잡도를 낮출 수 있다. Eureka 문서는 Hub 연결 체인이 추가 의존성 없이 Ethereum으로 접근할 수 있는 현재 경로를 제시한다.</w:t>
      </w:r>
      <w:r>
        <w:t xml:space="preserve"> </w:t>
      </w:r>
      <w:hyperlink r:id="rId15">
        <w:r>
          <w:rPr>
            <w:rFonts w:ascii="NanumGothic" w:hAnsi="NanumGothic" w:eastAsia="NanumGothic"/>
            <w:color w:val="6F5AE8"/>
            <w:sz w:val="17"/>
            <w:b/>
          </w:rPr>
          <w:t>[R7]</w:t>
        </w:r>
      </w:hyperlink>
      <w:r>
        <w:t xml:space="preserve"> </w:t>
      </w:r>
      <w:hyperlink r:id="rId20">
        <w:r>
          <w:rPr>
            <w:rFonts w:ascii="NanumGothic" w:hAnsi="NanumGothic" w:eastAsia="NanumGothic"/>
            <w:color w:val="6F5AE8"/>
            <w:sz w:val="17"/>
            <w:b/>
          </w:rPr>
          <w:t>[R8]</w:t>
        </w:r>
      </w:hyperlink>
    </w:p>
    <w:p>
      <w:pPr>
        <w:pStyle w:val="Heading2"/>
        <w:spacing w:before="200" w:after="100" w:line="252" w:lineRule="auto"/>
        <w:keepNext/>
      </w:pPr>
      <w:r>
        <w:rPr>
          <w:rFonts w:ascii="NanumSquare" w:hAnsi="NanumSquare" w:eastAsia="NanumSquare"/>
          <w:b/>
          <w:color w:val="1E244D"/>
          <w:sz w:val="28"/>
        </w:rPr>
        <w:t>6.2 판매상품</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04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서비스</w:t>
            </w:r>
          </w:p>
        </w:tc>
        <w:tc>
          <w:tcPr>
            <w:tcW w:type="dxa" w:w="351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무료/공개 계층</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유료 Enterprise 계층</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Network access</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프로토콜·문서·테스트넷</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운영 접속, 전용 endpoint, 변경관리</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Routing</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API·provider quote</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정책기반 route allowlist·cost cap</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Monitoring</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explorer</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실시간 alert·SLA report·감사 export</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Receipt</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tx/ack</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양식·회계·reconciliation feed</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Support</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커뮤니티 지원</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24/7 incident·upgrade coordination</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Compliance</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attestation 연동</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정책·jurisdiction별 rule orchestration</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6.3 프로토콜과 사업자의 수익 구분</w:t>
      </w:r>
    </w:p>
    <w:p>
      <w:pPr>
        <w:spacing w:before="0" w:after="140" w:line="283" w:lineRule="auto"/>
      </w:pPr>
      <w:r>
        <w:rPr>
          <w:rFonts w:ascii="NanumGothic" w:hAnsi="NanumGothic" w:eastAsia="NanumGothic"/>
          <w:color w:val="1F2633"/>
          <w:sz w:val="21"/>
        </w:rPr>
        <w:t>기업계약 매출이 Cosmos Labs 또는 특정 operator에게만 귀속되면 ATOM BM이 아니다. “Hub-certified enterprise gateway”를 사용하려면 모든 완료거래가 on-chain metering receipt를 남기고, 계약상 protocol share가 Revenue Vault로 귀속되도록 표준 라이선스·인증체계를 설계해야 한다.</w:t>
      </w: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중립성 조건</w:t>
              <w:br/>
            </w:r>
            <w:r>
              <w:rPr>
                <w:rFonts w:ascii="NanumGothic" w:hAnsi="NanumGothic" w:eastAsia="NanumGothic"/>
                <w:color w:val="1F2633"/>
                <w:sz w:val="21"/>
              </w:rPr>
              <w:t>Cosmos Labs, Cosmostation, validator, 은행 SI, 글로벌 MSP 등 복수 사업자가 동일한 공개 프로토콜 위에서 enterprise gateway를 판매할 수 있어야 한다. Hub는 사업자를 독점하지 않고 인증·metering·수익분배 규칙만 제공한다.</w:t>
            </w:r>
          </w:p>
        </w:tc>
      </w:tr>
    </w:tbl>
    <w:p>
      <w:pPr>
        <w:spacing w:after="40"/>
      </w:pPr>
    </w:p>
    <w:p>
      <w:pPr>
        <w:pStyle w:val="Heading1"/>
        <w:spacing w:before="280" w:after="140" w:line="252" w:lineRule="auto"/>
        <w:keepNext/>
      </w:pPr>
      <w:r>
        <w:rPr>
          <w:rFonts w:ascii="NanumSquare" w:hAnsi="NanumSquare" w:eastAsia="NanumSquare"/>
          <w:b/>
          <w:color w:val="1E244D"/>
          <w:sz w:val="36"/>
        </w:rPr>
        <w:t>7. BM 4 — Asset &amp; Service Registry / Attestation</w:t>
      </w:r>
    </w:p>
    <w:tbl>
      <w:tblPr>
        <w:tblW w:type="auto" w:w="0"/>
        <w:jc w:val="left"/>
        <w:tblLayout w:type="fixed"/>
        <w:tblLook w:firstColumn="1" w:firstRow="1" w:lastColumn="0" w:lastRow="0" w:noHBand="0" w:noVBand="1" w:val="04A0"/>
      </w:tblPr>
      <w:tblGrid>
        <w:gridCol w:w="9752"/>
      </w:tblGrid>
      <w:tr>
        <w:trPr>
          <w:cantSplit/>
        </w:trPr>
        <w:tc>
          <w:tcPr>
            <w:tcW w:type="dxa" w:w="2551"/>
            <w:shd w:fill="EAF8F7"/>
            <w:tcBorders>
              <w:top w:val="single" w:sz="8" w:color="169C9C"/>
              <w:left w:val="single" w:sz="8" w:color="169C9C"/>
              <w:bottom w:val="single" w:sz="8" w:color="169C9C"/>
              <w:right w:val="single" w:sz="8" w:color="169C9C"/>
            </w:tcBorders>
            <w:tcMar>
              <w:top w:w="60" w:type="dxa"/>
              <w:start w:w="110" w:type="dxa"/>
              <w:bottom w:w="60" w:type="dxa"/>
              <w:end w:w="110" w:type="dxa"/>
            </w:tcMar>
          </w:tcPr>
          <w:p>
            <w:pPr>
              <w:spacing w:before="0" w:after="0" w:line="240" w:lineRule="auto"/>
            </w:pPr>
            <w:r>
              <w:rPr>
                <w:rFonts w:ascii="NanumGothic" w:hAnsi="NanumGothic" w:eastAsia="NanumGothic"/>
                <w:b/>
                <w:color w:val="169C9C"/>
                <w:sz w:val="18"/>
              </w:rPr>
              <w:t>[1단계 병행 제안]</w:t>
            </w:r>
          </w:p>
        </w:tc>
      </w:tr>
    </w:tbl>
    <w:p>
      <w:pPr>
        <w:spacing w:after="0"/>
      </w:pPr>
    </w:p>
    <w:p>
      <w:pPr>
        <w:pStyle w:val="Heading2"/>
        <w:spacing w:before="200" w:after="100" w:line="252" w:lineRule="auto"/>
        <w:keepNext/>
      </w:pPr>
      <w:r>
        <w:rPr>
          <w:rFonts w:ascii="NanumSquare" w:hAnsi="NanumSquare" w:eastAsia="NanumSquare"/>
          <w:b/>
          <w:color w:val="1E244D"/>
          <w:sz w:val="28"/>
        </w:rPr>
        <w:t>7.1 왜 필요한가</w:t>
      </w:r>
    </w:p>
    <w:p>
      <w:pPr>
        <w:spacing w:before="0" w:after="140" w:line="283" w:lineRule="auto"/>
      </w:pPr>
      <w:r>
        <w:rPr>
          <w:rFonts w:ascii="NanumGothic" w:hAnsi="NanumGothic" w:eastAsia="NanumGothic"/>
          <w:color w:val="1F2633"/>
          <w:sz w:val="21"/>
        </w:rPr>
        <w:t>IBC 자산은 이동경로에 따라 denom이 달라지고, 같은 원자산도 여러 representation이 생길 수 있다. Skip Go는 origin으로 되감은 뒤 최단·유동성 경로를 추천하는 방식으로 이 문제를 완화한다. 기관시장에서는 여기에 발행자·규제상태·상환권·policy version까지 붙어야 한다.</w:t>
      </w:r>
      <w:r>
        <w:t xml:space="preserve"> </w:t>
      </w:r>
      <w:hyperlink r:id="rId16">
        <w:r>
          <w:rPr>
            <w:rFonts w:ascii="NanumGothic" w:hAnsi="NanumGothic" w:eastAsia="NanumGothic"/>
            <w:color w:val="6F5AE8"/>
            <w:sz w:val="17"/>
            <w:b/>
          </w:rPr>
          <w:t>[R9]</w:t>
        </w:r>
      </w:hyperlink>
    </w:p>
    <w:p>
      <w:pPr>
        <w:pStyle w:val="Heading2"/>
        <w:spacing w:before="200" w:after="100" w:line="252" w:lineRule="auto"/>
        <w:keepNext/>
      </w:pPr>
      <w:r>
        <w:rPr>
          <w:rFonts w:ascii="NanumSquare" w:hAnsi="NanumSquare" w:eastAsia="NanumSquare"/>
          <w:b/>
          <w:color w:val="1E244D"/>
          <w:sz w:val="28"/>
        </w:rPr>
        <w:t>7.2 Registry 범위</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등록 항목</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저장 방식</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금지/주의</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Asset identity</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서명, origin, contract/denom, decimals</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거버넌스가 경제적 우열을 지정하지 않음</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Canonical representation</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공식 경로·허용 wrapper·migration status</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pay-to-official badge 금지</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Reserve/audit pointer</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문서 hash·issuer endpoint·timestamp</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Hub가 준비금을 직접 감사했다고 표시 금지</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record</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bond, supported route, SLA history</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특정 회사 독점 금지</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Compliance attestation</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credential type, issuer, expiry, revocation</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이름·여권·주소 등 PII 저장 금지</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Incident history</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halt, timeout, compensation, resolution</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삭제·미공개 예외 최소화</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7.3 수익모델</w:t>
      </w:r>
    </w:p>
    <w:p>
      <w:pPr>
        <w:pStyle w:val="ListBullet"/>
        <w:spacing w:before="0" w:after="60" w:line="269" w:lineRule="auto"/>
        <w:ind w:left="340" w:hanging="170"/>
      </w:pPr>
      <w:r>
        <w:rPr>
          <w:rFonts w:ascii="NanumGothic" w:hAnsi="NanumGothic" w:eastAsia="NanumGothic"/>
          <w:color w:val="1F2633"/>
          <w:sz w:val="21"/>
        </w:rPr>
        <w:t>기본 등록과 조회는 저비용 또는 무료로 공개해 네트워크 효과를 만든다.</w:t>
      </w:r>
    </w:p>
    <w:p>
      <w:pPr>
        <w:pStyle w:val="ListBullet"/>
        <w:spacing w:before="0" w:after="60" w:line="269" w:lineRule="auto"/>
        <w:ind w:left="340" w:hanging="170"/>
      </w:pPr>
      <w:r>
        <w:rPr>
          <w:rFonts w:ascii="NanumGothic" w:hAnsi="NanumGothic" w:eastAsia="NanumGothic"/>
          <w:color w:val="1F2633"/>
          <w:sz w:val="21"/>
        </w:rPr>
        <w:t>검증된 issuer badge, 기관용 API, SLA report, 감사 export, historical data를 유료화한다.</w:t>
      </w:r>
    </w:p>
    <w:p>
      <w:pPr>
        <w:pStyle w:val="ListBullet"/>
        <w:spacing w:before="0" w:after="60" w:line="269" w:lineRule="auto"/>
        <w:ind w:left="340" w:hanging="170"/>
      </w:pPr>
      <w:r>
        <w:rPr>
          <w:rFonts w:ascii="NanumGothic" w:hAnsi="NanumGothic" w:eastAsia="NanumGothic"/>
          <w:color w:val="1F2633"/>
          <w:sz w:val="21"/>
        </w:rPr>
        <w:t>Attestation provider가 받는 수수료 중 protocol share를 Revenue Vault로 귀속시킨다.</w:t>
      </w:r>
    </w:p>
    <w:p>
      <w:pPr>
        <w:pStyle w:val="ListBullet"/>
        <w:spacing w:before="0" w:after="60" w:line="269" w:lineRule="auto"/>
        <w:ind w:left="340" w:hanging="170"/>
      </w:pPr>
      <w:r>
        <w:rPr>
          <w:rFonts w:ascii="NanumGothic" w:hAnsi="NanumGothic" w:eastAsia="NanumGothic"/>
          <w:color w:val="1F2633"/>
          <w:sz w:val="21"/>
        </w:rPr>
        <w:t>Mintscan을 사용자·기관이 수익과 리스크를 동시에 확인하는 공개 데이터 백본으로 확장한다.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p>
      <w:pPr>
        <w:pStyle w:val="Heading1"/>
        <w:spacing w:before="280" w:after="140" w:line="252" w:lineRule="auto"/>
        <w:keepNext/>
      </w:pPr>
      <w:r>
        <w:rPr>
          <w:rFonts w:ascii="NanumSquare" w:hAnsi="NanumSquare" w:eastAsia="NanumSquare"/>
          <w:b/>
          <w:color w:val="1E244D"/>
          <w:sz w:val="36"/>
        </w:rPr>
        <w:t>8. ATOM 가치포착과 Revenue Vault</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 + 기존 실증 정렬]</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3060000"/>
            <wp:docPr id="3" name="Picture 3" title="프로토콜 수익과 ATOM 가치포착 흐름" descr="외부 수요에서 발생한 프로토콜 수익이 Assurance Reserve와 ATOM Buyback으로 배분되어 네트워크 신뢰와 거래량을 강화하는 순환 구조."/>
            <wp:cNvGraphicFramePr>
              <a:graphicFrameLocks noChangeAspect="1"/>
            </wp:cNvGraphicFramePr>
            <a:graphic>
              <a:graphicData uri="http://schemas.openxmlformats.org/drawingml/2006/picture">
                <pic:pic>
                  <pic:nvPicPr>
                    <pic:cNvPr id="0" name="revenue.png"/>
                    <pic:cNvPicPr/>
                  </pic:nvPicPr>
                  <pic:blipFill>
                    <a:blip r:embed="rId30"/>
                    <a:stretch>
                      <a:fillRect/>
                    </a:stretch>
                  </pic:blipFill>
                  <pic:spPr>
                    <a:xfrm>
                      <a:off x="0" y="0"/>
                      <a:ext cx="6120000" cy="306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3. 외부 서비스 수익의 투명한 ATOM 귀속 흐름 — 본 문서 제안 도식</w:t>
      </w:r>
    </w:p>
    <w:p>
      <w:pPr>
        <w:pStyle w:val="Heading2"/>
        <w:spacing w:before="200" w:after="100" w:line="252" w:lineRule="auto"/>
        <w:keepNext/>
      </w:pPr>
      <w:r>
        <w:rPr>
          <w:rFonts w:ascii="NanumSquare" w:hAnsi="NanumSquare" w:eastAsia="NanumSquare"/>
          <w:b/>
          <w:color w:val="1E244D"/>
          <w:sz w:val="28"/>
        </w:rPr>
        <w:t>8.1 사용자 결제자산과 ATOM 가치포착을 분리</w:t>
      </w:r>
    </w:p>
    <w:p>
      <w:pPr>
        <w:spacing w:before="0" w:after="140" w:line="283" w:lineRule="auto"/>
      </w:pPr>
      <w:r>
        <w:rPr>
          <w:rFonts w:ascii="NanumGothic" w:hAnsi="NanumGothic" w:eastAsia="NanumGothic"/>
          <w:color w:val="1F2633"/>
          <w:sz w:val="21"/>
        </w:rPr>
        <w:t>기관과 사용자가 반드시 ATOM으로 수수료를 내게 하면 환전·회계·가격변동 부담 때문에 채택이 떨어질 수 있다. USDC, OUSD, tokenized deposit 등 고객이 원하는 자산으로 fee를 받고, 프로토콜이 뒤에서 ATOM을 매입하는 편이 UX와 가치포착을 동시에 만족시킨다.</w:t>
      </w:r>
    </w:p>
    <w:p>
      <w:pPr>
        <w:pStyle w:val="Heading2"/>
        <w:spacing w:before="200" w:after="100" w:line="252" w:lineRule="auto"/>
        <w:keepNext/>
      </w:pPr>
      <w:r>
        <w:rPr>
          <w:rFonts w:ascii="NanumSquare" w:hAnsi="NanumSquare" w:eastAsia="NanumSquare"/>
          <w:b/>
          <w:color w:val="1E244D"/>
          <w:sz w:val="28"/>
        </w:rPr>
        <w:t>8.2 권장 Revenue Vault 규칙</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020"/>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순서</w:t>
            </w:r>
          </w:p>
        </w:tc>
        <w:tc>
          <w:tcPr>
            <w:tcW w:type="dxa" w:w="515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권장 처리</w:t>
            </w:r>
          </w:p>
        </w:tc>
        <w:tc>
          <w:tcPr>
            <w:tcW w:type="dxa" w:w="328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목적</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w:t>
            </w:r>
          </w:p>
        </w:tc>
        <w:tc>
          <w:tcPr>
            <w:tcW w:type="dxa" w:w="515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gross revenue와 provider payout을 거래별 기록</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매출·비용 분리</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2</w:t>
            </w:r>
          </w:p>
        </w:tc>
        <w:tc>
          <w:tcPr>
            <w:tcW w:type="dxa" w:w="515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직접 실행비·환불·세금/법률비용 공제</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실제 net revenue 산출</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3</w:t>
            </w:r>
          </w:p>
        </w:tc>
        <w:tc>
          <w:tcPr>
            <w:tcW w:type="dxa" w:w="515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assurance/security reserve 적립</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장애·취약점·보험비용 완충</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4</w:t>
            </w:r>
          </w:p>
        </w:tc>
        <w:tc>
          <w:tcPr>
            <w:tcW w:type="dxa" w:w="515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ATOM 시장매입 후 Community Pool 귀속</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기존 Injective USDC 구조와 정렬</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5</w:t>
            </w:r>
          </w:p>
        </w:tc>
        <w:tc>
          <w:tcPr>
            <w:tcW w:type="dxa" w:w="515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분기별 governance allocation</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보안예산·소각·그랜트 등 결정</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8.3 권장 초기 배분안</w:t>
      </w: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Pilot default — 법률·토크노믹스 검토 전제</w:t>
              <w:br/>
            </w:r>
            <w:r>
              <w:rPr>
                <w:rFonts w:ascii="NanumGothic" w:hAnsi="NanumGothic" w:eastAsia="NanumGothic"/>
                <w:color w:val="1F2633"/>
                <w:sz w:val="21"/>
              </w:rPr>
              <w:t>순 프로토콜 수익의 50%는 ATOM 시장매입 후 Community Pool, 30%는 Assurance Reserve, 20%는 유지보수·감사·공공 인프라에 배분한다. ATOM 보유자에게 직접 현금흐름을 약속하는 pro-rata 배당은 규제검토 없이 도입하지 않는다.</w:t>
            </w:r>
          </w:p>
        </w:tc>
      </w:tr>
    </w:tbl>
    <w:p>
      <w:pPr>
        <w:spacing w:after="40"/>
      </w:pPr>
    </w:p>
    <w:p>
      <w:pPr>
        <w:spacing w:before="0" w:after="140" w:line="283" w:lineRule="auto"/>
      </w:pPr>
      <w:r>
        <w:rPr>
          <w:rFonts w:ascii="NanumGothic" w:hAnsi="NanumGothic" w:eastAsia="NanumGothic"/>
          <w:color w:val="1F2633"/>
          <w:sz w:val="21"/>
        </w:rPr>
        <w:t>공식 Injective USDC 합의도 수익으로 ATOM을 매입해 Community Pool로 보내는 방식을 사용한다. 본 제안은 이 보수적 구조를 초기 default로 사용하고, 스테이커 직접분배·소각·보안보조금은 ATOM tokenomics Phase 2와 법률검토 이후 거버넌스가 결정하게 한다.</w:t>
      </w:r>
      <w:r>
        <w:t xml:space="preserve"> </w:t>
      </w:r>
      <w:hyperlink r:id="rId18">
        <w:r>
          <w:rPr>
            <w:rFonts w:ascii="NanumGothic" w:hAnsi="NanumGothic" w:eastAsia="NanumGothic"/>
            <w:color w:val="6F5AE8"/>
            <w:sz w:val="17"/>
            <w:b/>
          </w:rPr>
          <w:t>[R12]</w:t>
        </w:r>
      </w:hyperlink>
      <w:r>
        <w:t xml:space="preserve"> </w:t>
      </w:r>
      <w:hyperlink r:id="rId31">
        <w:r>
          <w:rPr>
            <w:rFonts w:ascii="NanumGothic" w:hAnsi="NanumGothic" w:eastAsia="NanumGothic"/>
            <w:color w:val="6F5AE8"/>
            <w:sz w:val="17"/>
            <w:b/>
          </w:rPr>
          <w:t>[R13]</w:t>
        </w:r>
      </w:hyperlink>
    </w:p>
    <w:p>
      <w:pPr>
        <w:pStyle w:val="Heading2"/>
        <w:spacing w:before="200" w:after="100" w:line="252" w:lineRule="auto"/>
        <w:keepNext/>
      </w:pPr>
      <w:r>
        <w:rPr>
          <w:rFonts w:ascii="NanumSquare" w:hAnsi="NanumSquare" w:eastAsia="NanumSquare"/>
          <w:b/>
          <w:color w:val="1E244D"/>
          <w:sz w:val="28"/>
        </w:rPr>
        <w:t>8.4 투명성 요구사항</w:t>
      </w:r>
    </w:p>
    <w:p>
      <w:pPr>
        <w:pStyle w:val="ListBullet"/>
        <w:spacing w:before="0" w:after="60" w:line="269" w:lineRule="auto"/>
        <w:ind w:left="340" w:hanging="170"/>
      </w:pPr>
      <w:r>
        <w:rPr>
          <w:rFonts w:ascii="NanumGothic" w:hAnsi="NanumGothic" w:eastAsia="NanumGothic"/>
          <w:color w:val="1F2633"/>
          <w:sz w:val="21"/>
        </w:rPr>
        <w:t>Mintscan에 gross revenue, provider payout, reserve, ATOM 매입, Community Pool 입금내역을 실시간 공개한다.</w:t>
      </w:r>
    </w:p>
    <w:p>
      <w:pPr>
        <w:pStyle w:val="ListBullet"/>
        <w:spacing w:before="0" w:after="60" w:line="269" w:lineRule="auto"/>
        <w:ind w:left="340" w:hanging="170"/>
      </w:pPr>
      <w:r>
        <w:rPr>
          <w:rFonts w:ascii="NanumGothic" w:hAnsi="NanumGothic" w:eastAsia="NanumGothic"/>
          <w:color w:val="1F2633"/>
          <w:sz w:val="21"/>
        </w:rPr>
        <w:t>오프체인 기업계약은 최소한 protocol share 계산식, 지급주기, 미지급 상태를 공개한다.</w:t>
      </w:r>
    </w:p>
    <w:p>
      <w:pPr>
        <w:pStyle w:val="ListBullet"/>
        <w:spacing w:before="0" w:after="60" w:line="269" w:lineRule="auto"/>
        <w:ind w:left="340" w:hanging="170"/>
      </w:pPr>
      <w:r>
        <w:rPr>
          <w:rFonts w:ascii="NanumGothic" w:hAnsi="NanumGothic" w:eastAsia="NanumGothic"/>
          <w:color w:val="1F2633"/>
          <w:sz w:val="21"/>
        </w:rPr>
        <w:t>다중서명 수동정산을 줄이고 가능한 범위에서 자동 Revenue Router를 사용한다.</w:t>
      </w:r>
    </w:p>
    <w:p>
      <w:pPr>
        <w:pStyle w:val="ListBullet"/>
        <w:spacing w:before="0" w:after="60" w:line="269" w:lineRule="auto"/>
        <w:ind w:left="340" w:hanging="170"/>
      </w:pPr>
      <w:r>
        <w:rPr>
          <w:rFonts w:ascii="NanumGothic" w:hAnsi="NanumGothic" w:eastAsia="NanumGothic"/>
          <w:color w:val="1F2633"/>
          <w:sz w:val="21"/>
        </w:rPr>
        <w:t>성과보고는 token price가 아니라 반복수익·거래품질·외부고객 수로 평가한다.</w:t>
      </w:r>
    </w:p>
    <w:p>
      <w:pPr>
        <w:pStyle w:val="Heading1"/>
        <w:spacing w:before="280" w:after="140" w:line="252" w:lineRule="auto"/>
        <w:keepNext/>
      </w:pPr>
      <w:r>
        <w:rPr>
          <w:rFonts w:ascii="NanumSquare" w:hAnsi="NanumSquare" w:eastAsia="NanumSquare"/>
          <w:b/>
          <w:color w:val="1E244D"/>
          <w:sz w:val="36"/>
        </w:rPr>
        <w:t>9. 경제성·수수료 설계</w:t>
      </w:r>
    </w:p>
    <w:tbl>
      <w:tblPr>
        <w:tblW w:type="auto" w:w="0"/>
        <w:jc w:val="left"/>
        <w:tblLayout w:type="fixed"/>
        <w:tblLook w:firstColumn="1" w:firstRow="1" w:lastColumn="0" w:lastRow="0" w:noHBand="0" w:noVBand="1" w:val="04A0"/>
      </w:tblPr>
      <w:tblGrid>
        <w:gridCol w:w="9752"/>
      </w:tblGrid>
      <w:tr>
        <w:trPr>
          <w:cantSplit/>
        </w:trPr>
        <w:tc>
          <w:tcPr>
            <w:tcW w:type="dxa" w:w="2551"/>
            <w:shd w:fill="FFF4E8"/>
            <w:tcBorders>
              <w:top w:val="single" w:sz="8" w:color="D97A2B"/>
              <w:left w:val="single" w:sz="8" w:color="D97A2B"/>
              <w:bottom w:val="single" w:sz="8" w:color="D97A2B"/>
              <w:right w:val="single" w:sz="8" w:color="D97A2B"/>
            </w:tcBorders>
            <w:tcMar>
              <w:top w:w="60" w:type="dxa"/>
              <w:start w:w="110" w:type="dxa"/>
              <w:bottom w:w="60" w:type="dxa"/>
              <w:end w:w="110" w:type="dxa"/>
            </w:tcMar>
          </w:tcPr>
          <w:p>
            <w:pPr>
              <w:spacing w:before="0" w:after="0" w:line="240" w:lineRule="auto"/>
            </w:pPr>
            <w:r>
              <w:rPr>
                <w:rFonts w:ascii="NanumGothic" w:hAnsi="NanumGothic" w:eastAsia="NanumGothic"/>
                <w:b/>
                <w:color w:val="D97A2B"/>
                <w:sz w:val="18"/>
              </w:rPr>
              <w:t>[가정 기반 민감도 분석]</w:t>
            </w:r>
          </w:p>
        </w:tc>
      </w:tr>
    </w:tbl>
    <w:p>
      <w:pPr>
        <w:spacing w:after="0"/>
      </w:pPr>
    </w:p>
    <w:p>
      <w:pPr>
        <w:pStyle w:val="Heading2"/>
        <w:spacing w:before="200" w:after="100" w:line="252" w:lineRule="auto"/>
        <w:keepNext/>
      </w:pPr>
      <w:r>
        <w:rPr>
          <w:rFonts w:ascii="NanumSquare" w:hAnsi="NanumSquare" w:eastAsia="NanumSquare"/>
          <w:b/>
          <w:color w:val="1E244D"/>
          <w:sz w:val="28"/>
        </w:rPr>
        <w:t>9.1 기본 수익식</w:t>
      </w:r>
    </w:p>
    <w:tbl>
      <w:tblPr>
        <w:tblW w:type="auto" w:w="0"/>
        <w:jc w:val="center"/>
        <w:tblLayout w:type="autofit"/>
        <w:tblLook w:firstColumn="1" w:firstRow="1" w:lastColumn="0" w:lastRow="0" w:noHBand="0" w:noVBand="1" w:val="04A0"/>
      </w:tblPr>
      <w:tblGrid>
        <w:gridCol w:w="9752"/>
      </w:tblGrid>
      <w:tr>
        <w:trPr>
          <w:cantSplit/>
        </w:trPr>
        <w:tc>
          <w:tcPr>
            <w:tcW w:type="dxa" w:w="9752"/>
            <w:shd w:fill="FFF4E8"/>
            <w:tcBorders>
              <w:top w:val="single" w:sz="12" w:color="D97A2B"/>
              <w:left w:val="single" w:sz="12" w:color="D97A2B"/>
              <w:bottom w:val="single" w:sz="12" w:color="D97A2B"/>
              <w:right w:val="single" w:sz="12" w:color="D97A2B"/>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수익식</w:t>
              <w:br/>
            </w:r>
            <w:r>
              <w:rPr>
                <w:rFonts w:ascii="NanumGothic" w:hAnsi="NanumGothic" w:eastAsia="NanumGothic"/>
                <w:color w:val="1F2633"/>
                <w:sz w:val="21"/>
              </w:rPr>
              <w:t>① Asset Distribution Revenue = 적격 평균 유통잔액 × 발행사 incentive rate × Hub share</w:t>
              <w:br/>
              <w:t>② Guaranteed Delivery Revenue = premium transaction volume × protocol fee rate</w:t>
              <w:br/>
              <w:t>③ Enterprise Revenue = 기관 수 × 연간 SLA 계약액 × protocol share</w:t>
              <w:br/>
              <w:t>④ Registry Revenue = 검증·API 요청량 × 단가 × protocol share</w:t>
            </w:r>
          </w:p>
        </w:tc>
      </w:tr>
    </w:tbl>
    <w:p>
      <w:pPr>
        <w:spacing w:after="40"/>
      </w:pPr>
    </w:p>
    <w:p>
      <w:pPr>
        <w:pStyle w:val="Heading2"/>
        <w:spacing w:before="200" w:after="100" w:line="252" w:lineRule="auto"/>
        <w:keepNext/>
      </w:pPr>
      <w:r>
        <w:rPr>
          <w:rFonts w:ascii="NanumSquare" w:hAnsi="NanumSquare" w:eastAsia="NanumSquare"/>
          <w:b/>
          <w:color w:val="1E244D"/>
          <w:sz w:val="28"/>
        </w:rPr>
        <w:t>9.2 Premium volume 민감도</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94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연간 유료경로 거래액</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0.05bp</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0.10bp</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0.20bp</w:t>
            </w:r>
          </w:p>
        </w:tc>
      </w:tr>
      <w:tr>
        <w:trPr>
          <w:cantSplit/>
        </w:trPr>
        <w:tc>
          <w:tcPr>
            <w:tcW w:type="dxa" w:w="294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$100B</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$500K</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$2.0M</w:t>
            </w:r>
          </w:p>
        </w:tc>
      </w:tr>
      <w:tr>
        <w:trPr>
          <w:cantSplit/>
        </w:trPr>
        <w:tc>
          <w:tcPr>
            <w:tcW w:type="dxa" w:w="294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$500B</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$2.5M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$10.0M</w:t>
            </w:r>
          </w:p>
        </w:tc>
      </w:tr>
      <w:tr>
        <w:trPr>
          <w:cantSplit/>
        </w:trPr>
        <w:tc>
          <w:tcPr>
            <w:tcW w:type="dxa" w:w="294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$1000B</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$20.0M</w:t>
            </w:r>
          </w:p>
        </w:tc>
      </w:tr>
      <w:tr>
        <w:trPr>
          <w:cantSplit/>
        </w:trPr>
        <w:tc>
          <w:tcPr>
            <w:tcW w:type="dxa" w:w="294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$5000B</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$25.0M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$100.0M</w:t>
            </w:r>
          </w:p>
        </w:tc>
      </w:tr>
    </w:tbl>
    <w:p>
      <w:pPr>
        <w:spacing w:before="0" w:after="20" w:line="283" w:lineRule="auto"/>
      </w:pPr>
    </w:p>
    <w:p>
      <w:pPr>
        <w:spacing w:before="0" w:after="100" w:line="259" w:lineRule="auto"/>
      </w:pPr>
      <w:r>
        <w:rPr>
          <w:rFonts w:ascii="NanumGothic" w:hAnsi="NanumGothic" w:eastAsia="NanumGothic"/>
          <w:i/>
          <w:color w:val="5B6475"/>
          <w:sz w:val="17"/>
        </w:rPr>
        <w:t>단순 산술 민감도이며 시장전망이 아니다. 실제 fee는 provider premium, gas, liquidity cost와 분리하여 고객 인터뷰와 pilot에서 검증해야 한다.</w:t>
      </w:r>
    </w:p>
    <w:p>
      <w:pPr>
        <w:pStyle w:val="Heading2"/>
        <w:spacing w:before="200" w:after="100" w:line="252" w:lineRule="auto"/>
        <w:keepNext/>
      </w:pPr>
      <w:r>
        <w:rPr>
          <w:rFonts w:ascii="NanumSquare" w:hAnsi="NanumSquare" w:eastAsia="NanumSquare"/>
          <w:b/>
          <w:color w:val="1E244D"/>
          <w:sz w:val="28"/>
        </w:rPr>
        <w:t>9.3 가격설계 원칙</w:t>
      </w:r>
    </w:p>
    <w:p>
      <w:pPr>
        <w:pStyle w:val="ListBullet"/>
        <w:spacing w:before="0" w:after="60" w:line="269" w:lineRule="auto"/>
        <w:ind w:left="340" w:hanging="170"/>
      </w:pPr>
      <w:r>
        <w:rPr>
          <w:rFonts w:ascii="NanumGothic" w:hAnsi="NanumGothic" w:eastAsia="NanumGothic"/>
          <w:color w:val="1F2633"/>
          <w:sz w:val="21"/>
        </w:rPr>
        <w:t>Base IBC: 별도 Hub premium 0. 사용자가 직접 경로를 선택할 자유를 유지한다.</w:t>
      </w:r>
    </w:p>
    <w:p>
      <w:pPr>
        <w:pStyle w:val="ListBullet"/>
        <w:spacing w:before="0" w:after="60" w:line="269" w:lineRule="auto"/>
        <w:ind w:left="340" w:hanging="170"/>
      </w:pPr>
      <w:r>
        <w:rPr>
          <w:rFonts w:ascii="NanumGothic" w:hAnsi="NanumGothic" w:eastAsia="NanumGothic"/>
          <w:color w:val="1F2633"/>
          <w:sz w:val="21"/>
        </w:rPr>
        <w:t>Distribution: 성과형 인센티브 pool에서 Hub가 take rate를 받는다.</w:t>
      </w:r>
    </w:p>
    <w:p>
      <w:pPr>
        <w:pStyle w:val="ListBullet"/>
        <w:spacing w:before="0" w:after="60" w:line="269" w:lineRule="auto"/>
        <w:ind w:left="340" w:hanging="170"/>
      </w:pPr>
      <w:r>
        <w:rPr>
          <w:rFonts w:ascii="NanumGothic" w:hAnsi="NanumGothic" w:eastAsia="NanumGothic"/>
          <w:color w:val="1F2633"/>
          <w:sz w:val="21"/>
        </w:rPr>
        <w:t>Guaranteed Delivery: provider가 premium을 제시하고 Hub는 일정 비율 또는 소액 protocol fee를 취득한다.</w:t>
      </w:r>
    </w:p>
    <w:p>
      <w:pPr>
        <w:pStyle w:val="ListBullet"/>
        <w:spacing w:before="0" w:after="60" w:line="269" w:lineRule="auto"/>
        <w:ind w:left="340" w:hanging="170"/>
      </w:pPr>
      <w:r>
        <w:rPr>
          <w:rFonts w:ascii="NanumGothic" w:hAnsi="NanumGothic" w:eastAsia="NanumGothic"/>
          <w:color w:val="1F2633"/>
          <w:sz w:val="21"/>
        </w:rPr>
        <w:t>Institutional: 거래액 수수료와 연간 SLA 계약을 혼합하되 초대형 거래에는 fee cap을 둔다.</w:t>
      </w:r>
    </w:p>
    <w:p>
      <w:pPr>
        <w:pStyle w:val="ListBullet"/>
        <w:spacing w:before="0" w:after="60" w:line="269" w:lineRule="auto"/>
        <w:ind w:left="340" w:hanging="170"/>
      </w:pPr>
      <w:r>
        <w:rPr>
          <w:rFonts w:ascii="NanumGothic" w:hAnsi="NanumGothic" w:eastAsia="NanumGothic"/>
          <w:color w:val="1F2633"/>
          <w:sz w:val="21"/>
        </w:rPr>
        <w:t>Registry: 공개 핵심데이터는 무료, 검증·감사·SLA·대량 API를 유료화한다.</w:t>
      </w:r>
    </w:p>
    <w:p>
      <w:pPr>
        <w:pStyle w:val="ListBullet"/>
        <w:spacing w:before="0" w:after="60" w:line="269" w:lineRule="auto"/>
        <w:ind w:left="340" w:hanging="170"/>
      </w:pPr>
      <w:r>
        <w:rPr>
          <w:rFonts w:ascii="NanumGothic" w:hAnsi="NanumGothic" w:eastAsia="NanumGothic"/>
          <w:color w:val="1F2633"/>
          <w:sz w:val="21"/>
        </w:rPr>
        <w:t>가격은 ATOM 시세가 아니라 외부 고객의 절감비용·위험감소·완료확실성을 기준으로 책정한다.</w:t>
      </w:r>
    </w:p>
    <w:p>
      <w:pPr>
        <w:pStyle w:val="Heading2"/>
        <w:spacing w:before="200" w:after="100" w:line="252" w:lineRule="auto"/>
        <w:keepNext/>
      </w:pPr>
      <w:r>
        <w:rPr>
          <w:rFonts w:ascii="NanumSquare" w:hAnsi="NanumSquare" w:eastAsia="NanumSquare"/>
          <w:b/>
          <w:color w:val="1E244D"/>
          <w:sz w:val="28"/>
        </w:rPr>
        <w:t>9.4 손익분기 전에 확인할 질문</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00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질문</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확인할 지표</w:t>
            </w:r>
          </w:p>
        </w:tc>
        <w:tc>
          <w:tcPr>
            <w:tcW w:type="dxa" w:w="30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의사결정</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발행사가 유통에 돈을 내는가?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계약금·성과 pool·renewal</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1 계속/중단</w:t>
            </w:r>
          </w:p>
        </w:tc>
      </w:tr>
      <w:tr>
        <w:trPr>
          <w:cantSplit/>
        </w:trPr>
        <w:tc>
          <w:tcPr>
            <w:tcW w:type="dxa" w:w="300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사용자가 보장에 돈을 내는가?</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premium 선택률·평균 fee</w:t>
            </w:r>
          </w:p>
        </w:tc>
        <w:tc>
          <w:tcPr>
            <w:tcW w:type="dxa" w:w="30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2 가격조정</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provider가 bond를 감수하는가?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공급자 수·담보비용·quote spread</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SLA 범위 축소/확대</w:t>
            </w:r>
          </w:p>
        </w:tc>
      </w:tr>
      <w:tr>
        <w:trPr>
          <w:cantSplit/>
        </w:trPr>
        <w:tc>
          <w:tcPr>
            <w:tcW w:type="dxa" w:w="300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기관이 단일접속을 원하는가?</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PoC→유료전환·integration saving</w:t>
            </w:r>
          </w:p>
        </w:tc>
        <w:tc>
          <w:tcPr>
            <w:tcW w:type="dxa" w:w="30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3 착수</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ATOM 귀속이 실제인가?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외부자산 매출→ATOM 매입 금액</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토크노믹스 연계</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10. 기술 구현·보안</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[실행 설계]</w:t>
            </w:r>
          </w:p>
        </w:tc>
      </w:tr>
    </w:tbl>
    <w:p>
      <w:pPr>
        <w:spacing w:after="0"/>
      </w:pPr>
    </w:p>
    <w:p>
      <w:pPr>
        <w:pStyle w:val="Heading2"/>
        <w:spacing w:before="200" w:after="100" w:line="252" w:lineRule="auto"/>
        <w:keepNext/>
      </w:pPr>
      <w:r>
        <w:rPr>
          <w:rFonts w:ascii="NanumSquare" w:hAnsi="NanumSquare" w:eastAsia="NanumSquare"/>
          <w:b/>
          <w:color w:val="1E244D"/>
          <w:sz w:val="28"/>
        </w:rPr>
        <w:t>10.1 “계약과 데이터부터, 모듈은 나중에”</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단계</w:t>
            </w:r>
          </w:p>
        </w:tc>
        <w:tc>
          <w:tcPr>
            <w:tcW w:type="dxa" w:w="249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구현 위치</w:t>
            </w:r>
          </w:p>
        </w:tc>
        <w:tc>
          <w:tcPr>
            <w:tcW w:type="dxa" w:w="345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기능</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승격 조건</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0</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오프체인 계약 + Mintscan dashboard</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Injective USDC 수익흐름 공개, issuer 캠페인 표준계약</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반복 지급과 데이터 정확성</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1</w:t>
            </w:r>
          </w:p>
        </w:tc>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감사된 CosmWasm</w:t>
            </w:r>
          </w:p>
        </w:tc>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Revenue Vault, fee escrow, campaign payout</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2개 이상 issuer·실매출</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2</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오프체인 signed quote + CosmWasm bond/receipt</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Guaranteed Delivery pilot</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provider 3개+, SLA 수요</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3</w:t>
            </w:r>
          </w:p>
        </w:tc>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최소 SDK module 검토</w:t>
            </w:r>
          </w:p>
        </w:tc>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고빈도 receipt·native fee routing</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계약성능·운영비 병목이 입증될 때만</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Scale</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표준 API/enterprise adapters</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기관 SLA, DvP/PvP adapter</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법률·시장·기술 PMF</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10.2 오프체인과 온체인의 경계</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1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오프체인</w:t>
            </w:r>
          </w:p>
        </w:tc>
        <w:tc>
          <w:tcPr>
            <w:tcW w:type="dxa" w:w="311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온체인</w:t>
            </w:r>
          </w:p>
        </w:tc>
        <w:tc>
          <w:tcPr>
            <w:tcW w:type="dxa" w:w="323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이유</w:t>
            </w:r>
          </w:p>
        </w:tc>
      </w:tr>
      <w:tr>
        <w:trPr>
          <w:cantSplit/>
        </w:trPr>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route calculation·RFQ discovery</w:t>
            </w:r>
          </w:p>
        </w:tc>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quote hash·provider signature</w:t>
            </w:r>
          </w:p>
        </w:tc>
        <w:tc>
          <w:tcPr>
            <w:tcW w:type="dxa" w:w="32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저지연 경쟁과 검증가능성 동시 확보</w:t>
            </w:r>
          </w:p>
        </w:tc>
      </w:tr>
      <w:tr>
        <w:trPr>
          <w:cantSplit/>
        </w:trPr>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기업계약·지원·법률조건</w:t>
            </w:r>
          </w:p>
        </w:tc>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protocol share·payment receipt</w:t>
            </w:r>
          </w:p>
        </w:tc>
        <w:tc>
          <w:tcPr>
            <w:tcW w:type="dxa" w:w="32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상업기밀과 공공수익 투명성 분리</w:t>
            </w:r>
          </w:p>
        </w:tc>
      </w:tr>
      <w:tr>
        <w:trPr>
          <w:cantSplit/>
        </w:trPr>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KYC 원자료·정책판단</w:t>
            </w:r>
          </w:p>
        </w:tc>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attestation·expiry·revocation</w:t>
            </w:r>
          </w:p>
        </w:tc>
        <w:tc>
          <w:tcPr>
            <w:tcW w:type="dxa" w:w="32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PII 비저장</w:t>
            </w:r>
          </w:p>
        </w:tc>
      </w:tr>
      <w:tr>
        <w:trPr>
          <w:cantSplit/>
        </w:trPr>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monitoring·alert·analytics</w:t>
            </w:r>
          </w:p>
        </w:tc>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최종 receipt·bond·payout</w:t>
            </w:r>
          </w:p>
        </w:tc>
        <w:tc>
          <w:tcPr>
            <w:tcW w:type="dxa" w:w="32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고비용 데이터는 외부, 핵심 책임은 체인</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10.3 보안모델</w:t>
      </w:r>
    </w:p>
    <w:p>
      <w:pPr>
        <w:pStyle w:val="ListBullet"/>
        <w:spacing w:before="0" w:after="60" w:line="269" w:lineRule="auto"/>
        <w:ind w:left="340" w:hanging="170"/>
      </w:pPr>
      <w:r>
        <w:rPr>
          <w:rFonts w:ascii="NanumGothic" w:hAnsi="NanumGothic" w:eastAsia="NanumGothic"/>
          <w:color w:val="1F2633"/>
          <w:sz w:val="21"/>
        </w:rPr>
        <w:t>IBC/Eureka의 light-client 또는 ZK-proof 보안모델을 그대로 활용하고 별도 멀티시그 브리지를 새로 만들지 않는다.</w:t>
      </w:r>
      <w:r>
        <w:t xml:space="preserve"> </w:t>
      </w:r>
      <w:hyperlink r:id="rId13">
        <w:r>
          <w:rPr>
            <w:rFonts w:ascii="NanumGothic" w:hAnsi="NanumGothic" w:eastAsia="NanumGothic"/>
            <w:color w:val="6F5AE8"/>
            <w:sz w:val="17"/>
            <w:b/>
          </w:rPr>
          <w:t>[R5]</w:t>
        </w:r>
      </w:hyperlink>
      <w:r>
        <w:t xml:space="preserve"> </w:t>
      </w:r>
      <w:hyperlink r:id="rId20">
        <w:r>
          <w:rPr>
            <w:rFonts w:ascii="NanumGothic" w:hAnsi="NanumGothic" w:eastAsia="NanumGothic"/>
            <w:color w:val="6F5AE8"/>
            <w:sz w:val="17"/>
            <w:b/>
          </w:rPr>
          <w:t>[R8]</w:t>
        </w:r>
      </w:hyperlink>
    </w:p>
    <w:p>
      <w:pPr>
        <w:pStyle w:val="ListBullet"/>
        <w:spacing w:before="0" w:after="60" w:line="269" w:lineRule="auto"/>
        <w:ind w:left="340" w:hanging="170"/>
      </w:pPr>
      <w:r>
        <w:rPr>
          <w:rFonts w:ascii="NanumGothic" w:hAnsi="NanumGothic" w:eastAsia="NanumGothic"/>
          <w:color w:val="1F2633"/>
          <w:sz w:val="21"/>
        </w:rPr>
        <w:t>Provider bond는 실행오류·SLA 위반만 보장하며, 체인 자체의 시스템 리스크를 전부 떠안지 않는다.</w:t>
      </w:r>
    </w:p>
    <w:p>
      <w:pPr>
        <w:pStyle w:val="ListBullet"/>
        <w:spacing w:before="0" w:after="60" w:line="269" w:lineRule="auto"/>
        <w:ind w:left="340" w:hanging="170"/>
      </w:pPr>
      <w:r>
        <w:rPr>
          <w:rFonts w:ascii="NanumGothic" w:hAnsi="NanumGothic" w:eastAsia="NanumGothic"/>
          <w:color w:val="1F2633"/>
          <w:sz w:val="21"/>
        </w:rPr>
        <w:t>Receipt 판정은 source tx, IBC ack/timeout, destination tx, route hash의 조합으로 결정한다.</w:t>
      </w:r>
    </w:p>
    <w:p>
      <w:pPr>
        <w:pStyle w:val="ListBullet"/>
        <w:spacing w:before="0" w:after="60" w:line="269" w:lineRule="auto"/>
        <w:ind w:left="340" w:hanging="170"/>
      </w:pPr>
      <w:r>
        <w:rPr>
          <w:rFonts w:ascii="NanumGothic" w:hAnsi="NanumGothic" w:eastAsia="NanumGothic"/>
          <w:color w:val="1F2633"/>
          <w:sz w:val="21"/>
        </w:rPr>
        <w:t>Oracle 의존성을 최소화하고, 가격보장은 quoted minimum amount out과 실제 수취량으로 판정한다.</w:t>
      </w:r>
    </w:p>
    <w:p>
      <w:pPr>
        <w:pStyle w:val="ListBullet"/>
        <w:spacing w:before="0" w:after="60" w:line="269" w:lineRule="auto"/>
        <w:ind w:left="340" w:hanging="170"/>
      </w:pPr>
      <w:r>
        <w:rPr>
          <w:rFonts w:ascii="NanumGothic" w:hAnsi="NanumGothic" w:eastAsia="NanumGothic"/>
          <w:color w:val="1F2633"/>
          <w:sz w:val="21"/>
        </w:rPr>
        <w:t>Revenue Vault와 bond contract는 독립 감사, bug bounty, 제한된 upgrade 권한을 요구한다.</w:t>
      </w:r>
    </w:p>
    <w:p>
      <w:pPr>
        <w:pStyle w:val="ListBullet"/>
        <w:spacing w:before="0" w:after="60" w:line="269" w:lineRule="auto"/>
        <w:ind w:left="340" w:hanging="170"/>
      </w:pPr>
      <w:r>
        <w:rPr>
          <w:rFonts w:ascii="NanumGothic" w:hAnsi="NanumGothic" w:eastAsia="NanumGothic"/>
          <w:color w:val="1F2633"/>
          <w:sz w:val="21"/>
        </w:rPr>
        <w:t>실패분쟁은 자동판정 가능한 유형부터 시작하고 주관적 사건은 초기 SLA에서 제외한다.</w:t>
      </w:r>
    </w:p>
    <w:p>
      <w:pPr>
        <w:pStyle w:val="Heading2"/>
        <w:spacing w:before="200" w:after="100" w:line="252" w:lineRule="auto"/>
        <w:keepNext/>
      </w:pPr>
      <w:r>
        <w:rPr>
          <w:rFonts w:ascii="NanumSquare" w:hAnsi="NanumSquare" w:eastAsia="NanumSquare"/>
          <w:b/>
          <w:color w:val="1E244D"/>
          <w:sz w:val="28"/>
        </w:rPr>
        <w:t>10.4 기존 인프라를 소유하지 말고 조합할 것</w:t>
      </w:r>
    </w:p>
    <w:p>
      <w:pPr>
        <w:spacing w:before="0" w:after="140" w:line="283" w:lineRule="auto"/>
      </w:pPr>
      <w:r>
        <w:rPr>
          <w:rFonts w:ascii="NanumGothic" w:hAnsi="NanumGothic" w:eastAsia="NanumGothic"/>
          <w:color w:val="1F2633"/>
          <w:sz w:val="21"/>
        </w:rPr>
        <w:t>Skip Go는 경로·스왑·tracking, Eureka는 외부체인 transport, Mintscan은 data, IBC는 verification을 담당한다. 공식팀도 이 분업을 공개했다. Hub의 신규개발은 이들을 복제하지 않고, 그 위에서 시장규칙·에스크로·완료 receipt·수익귀속을 담당해야 한다.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p>
      <w:pPr>
        <w:pStyle w:val="Heading1"/>
        <w:spacing w:before="280" w:after="140" w:line="252" w:lineRule="auto"/>
        <w:keepNext/>
      </w:pPr>
      <w:r>
        <w:rPr>
          <w:rFonts w:ascii="NanumSquare" w:hAnsi="NanumSquare" w:eastAsia="NanumSquare"/>
          <w:b/>
          <w:color w:val="1E244D"/>
          <w:sz w:val="36"/>
        </w:rPr>
        <w:t>11. 거버넌스·중립성 헌장</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[거버넌스 제안]</w:t>
            </w:r>
          </w:p>
        </w:tc>
      </w:tr>
    </w:tbl>
    <w:p>
      <w:pPr>
        <w:spacing w:after="0"/>
      </w:pPr>
    </w:p>
    <w:p>
      <w:pPr>
        <w:pStyle w:val="Heading2"/>
        <w:spacing w:before="200" w:after="100" w:line="252" w:lineRule="auto"/>
        <w:keepNext/>
      </w:pPr>
      <w:r>
        <w:rPr>
          <w:rFonts w:ascii="NanumSquare" w:hAnsi="NanumSquare" w:eastAsia="NanumSquare"/>
          <w:b/>
          <w:color w:val="1E244D"/>
          <w:sz w:val="28"/>
        </w:rPr>
        <w:t>11.1 Neutrality Charter</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020"/>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조항</w:t>
            </w:r>
          </w:p>
        </w:tc>
        <w:tc>
          <w:tcPr>
            <w:tcW w:type="dxa" w:w="839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원칙</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기본 IBC는 개방형으로 유지하며 Hub 프리미엄은 선택형이다.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2</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Hub는 특정 DEX·stablecoin·router를 독점적 “공식” 사업자로 지정하지 않는다.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3</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등록·견적·성과·수익분배 규칙은 공개되고 기계적으로 검증 가능해야 한다.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4</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사업자 진입은 객관적 보안·bond·운영요건으로 결정한다.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Hub는 사용자 자산의 원금 custody와 market making을 하지 않는다.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6</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PII는 저장하지 않고 외부 규제사업자의 credential만 검증한다.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7</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오프체인 매출도 Hub 인증서비스라면 protocol share와 지급상태를 공개한다.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8</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신규 native module은 PMF·감사·업그레이드 비용 분석 후에만 채택한다.</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11.2 Provider 거버넌스</w:t>
      </w:r>
    </w:p>
    <w:p>
      <w:pPr>
        <w:pStyle w:val="ListBullet"/>
        <w:spacing w:before="0" w:after="60" w:line="269" w:lineRule="auto"/>
        <w:ind w:left="340" w:hanging="170"/>
      </w:pPr>
      <w:r>
        <w:rPr>
          <w:rFonts w:ascii="NanumGothic" w:hAnsi="NanumGothic" w:eastAsia="NanumGothic"/>
          <w:color w:val="1F2633"/>
          <w:sz w:val="21"/>
        </w:rPr>
        <w:t>최소 bond, uptime, incident disclosure, software audit 등 등록기준을 표준화한다.</w:t>
      </w:r>
    </w:p>
    <w:p>
      <w:pPr>
        <w:pStyle w:val="ListBullet"/>
        <w:spacing w:before="0" w:after="60" w:line="269" w:lineRule="auto"/>
        <w:ind w:left="340" w:hanging="170"/>
      </w:pPr>
      <w:r>
        <w:rPr>
          <w:rFonts w:ascii="NanumGothic" w:hAnsi="NanumGothic" w:eastAsia="NanumGothic"/>
          <w:color w:val="1F2633"/>
          <w:sz w:val="21"/>
        </w:rPr>
        <w:t>성과 순위는 fee뿐 아니라 성공률, latency, compensation 이행률, concentration을 반영한다.</w:t>
      </w:r>
    </w:p>
    <w:p>
      <w:pPr>
        <w:pStyle w:val="ListBullet"/>
        <w:spacing w:before="0" w:after="60" w:line="269" w:lineRule="auto"/>
        <w:ind w:left="340" w:hanging="170"/>
      </w:pPr>
      <w:r>
        <w:rPr>
          <w:rFonts w:ascii="NanumGothic" w:hAnsi="NanumGothic" w:eastAsia="NanumGothic"/>
          <w:color w:val="1F2633"/>
          <w:sz w:val="21"/>
        </w:rPr>
        <w:t>단일 provider가 premium flow의 50~60%를 넘으면 신규 orderflow에 분산 인센티브를 적용한다.</w:t>
      </w:r>
    </w:p>
    <w:p>
      <w:pPr>
        <w:pStyle w:val="ListBullet"/>
        <w:spacing w:before="0" w:after="60" w:line="269" w:lineRule="auto"/>
        <w:ind w:left="340" w:hanging="170"/>
      </w:pPr>
      <w:r>
        <w:rPr>
          <w:rFonts w:ascii="NanumGothic" w:hAnsi="NanumGothic" w:eastAsia="NanumGothic"/>
          <w:color w:val="1F2633"/>
          <w:sz w:val="21"/>
        </w:rPr>
        <w:t>거버넌스 투표가 개별 route·자산을 일상적으로 선택하지 않도록 자동규칙을 우선한다.</w:t>
      </w:r>
    </w:p>
    <w:p>
      <w:pPr>
        <w:pStyle w:val="ListBullet"/>
        <w:spacing w:before="0" w:after="60" w:line="269" w:lineRule="auto"/>
        <w:ind w:left="340" w:hanging="170"/>
      </w:pPr>
      <w:r>
        <w:rPr>
          <w:rFonts w:ascii="NanumGothic" w:hAnsi="NanumGothic" w:eastAsia="NanumGothic"/>
          <w:color w:val="1F2633"/>
          <w:sz w:val="21"/>
        </w:rPr>
        <w:t>이해상충이 있는 validator·위원·개발사는 campaign 심사와 자금배분에서 공개·회피한다.</w:t>
      </w:r>
    </w:p>
    <w:p>
      <w:pPr>
        <w:pStyle w:val="Heading2"/>
        <w:spacing w:before="200" w:after="100" w:line="252" w:lineRule="auto"/>
        <w:keepNext/>
      </w:pPr>
      <w:r>
        <w:rPr>
          <w:rFonts w:ascii="NanumSquare" w:hAnsi="NanumSquare" w:eastAsia="NanumSquare"/>
          <w:b/>
          <w:color w:val="1E244D"/>
          <w:sz w:val="28"/>
        </w:rPr>
        <w:t>11.3 법적 경계</w:t>
      </w:r>
    </w:p>
    <w:p>
      <w:pPr>
        <w:spacing w:before="0" w:after="140" w:line="283" w:lineRule="auto"/>
      </w:pPr>
      <w:r>
        <w:rPr>
          <w:rFonts w:ascii="NanumGothic" w:hAnsi="NanumGothic" w:eastAsia="NanumGothic"/>
          <w:color w:val="1F2633"/>
          <w:sz w:val="21"/>
        </w:rPr>
        <w:t>“Clearing”, “settlement”, “guarantee”는 관할권에 따라 지급결제·중개·보험·금융시장인프라 규제를 유발할 수 있다. 따라서 MVP는 비수탁형 소프트웨어, 서비스 수수료 에스크로, 객관적 SLA bond로 범위를 좁히고, 고객원금 custody·다자간 netting·신용공여는 제외한다.</w:t>
      </w:r>
    </w:p>
    <w:p>
      <w:pPr>
        <w:spacing w:before="0" w:after="140" w:line="283" w:lineRule="auto"/>
      </w:pPr>
      <w:r>
        <w:rPr>
          <w:rFonts w:ascii="NanumGothic" w:hAnsi="NanumGothic" w:eastAsia="NanumGothic"/>
          <w:color w:val="1F2633"/>
          <w:sz w:val="21"/>
        </w:rPr>
        <w:t>CLS식 PvP와 netting은 장기적으로 유용한 비교대상이지만, 초기 제품에 넣을 경우 법률·유동성·운영 복잡도가 급증한다. Phase 4 이전에는 “완료 receipt와 DvP/PvP adapter 연구” 수준으로 제한한다.</w:t>
      </w:r>
      <w:r>
        <w:t xml:space="preserve"> </w:t>
      </w:r>
      <w:hyperlink r:id="rId26">
        <w:r>
          <w:rPr>
            <w:rFonts w:ascii="NanumGothic" w:hAnsi="NanumGothic" w:eastAsia="NanumGothic"/>
            <w:color w:val="6F5AE8"/>
            <w:sz w:val="17"/>
            <w:b/>
          </w:rPr>
          <w:t>[R18]</w:t>
        </w:r>
      </w:hyperlink>
    </w:p>
    <w:p>
      <w:pPr>
        <w:pStyle w:val="Heading1"/>
        <w:spacing w:before="280" w:after="140" w:line="252" w:lineRule="auto"/>
        <w:keepNext/>
      </w:pPr>
      <w:r>
        <w:rPr>
          <w:rFonts w:ascii="NanumSquare" w:hAnsi="NanumSquare" w:eastAsia="NanumSquare"/>
          <w:b/>
          <w:color w:val="1E244D"/>
          <w:sz w:val="36"/>
        </w:rPr>
        <w:t>12. 로드맵·KPI·중단 기준</w:t>
      </w:r>
    </w:p>
    <w:tbl>
      <w:tblPr>
        <w:tblW w:type="auto" w:w="0"/>
        <w:jc w:val="left"/>
        <w:tblLayout w:type="fixed"/>
        <w:tblLook w:firstColumn="1" w:firstRow="1" w:lastColumn="0" w:lastRow="0" w:noHBand="0" w:noVBand="1" w:val="04A0"/>
      </w:tblPr>
      <w:tblGrid>
        <w:gridCol w:w="9752"/>
      </w:tblGrid>
      <w:tr>
        <w:trPr>
          <w:cantSplit/>
        </w:trPr>
        <w:tc>
          <w:tcPr>
            <w:tcW w:type="dxa" w:w="2551"/>
            <w:shd w:fill="ECF7F0"/>
            <w:tcBorders>
              <w:top w:val="single" w:sz="8" w:color="25885A"/>
              <w:left w:val="single" w:sz="8" w:color="25885A"/>
              <w:bottom w:val="single" w:sz="8" w:color="25885A"/>
              <w:right w:val="single" w:sz="8" w:color="25885A"/>
            </w:tcBorders>
            <w:tcMar>
              <w:top w:w="60" w:type="dxa"/>
              <w:start w:w="110" w:type="dxa"/>
              <w:bottom w:w="60" w:type="dxa"/>
              <w:end w:w="110" w:type="dxa"/>
            </w:tcMar>
          </w:tcPr>
          <w:p>
            <w:pPr>
              <w:spacing w:before="0" w:after="0" w:line="240" w:lineRule="auto"/>
            </w:pPr>
            <w:r>
              <w:rPr>
                <w:rFonts w:ascii="NanumGothic" w:hAnsi="NanumGothic" w:eastAsia="NanumGothic"/>
                <w:b/>
                <w:color w:val="25885A"/>
                <w:sz w:val="18"/>
              </w:rPr>
              <w:t>[실행 권고]</w:t>
            </w:r>
          </w:p>
        </w:tc>
      </w:tr>
    </w:tbl>
    <w:p>
      <w:pPr>
        <w:spacing w:after="0"/>
      </w:pPr>
    </w:p>
    <w:p>
      <w:pPr>
        <w:pStyle w:val="Heading2"/>
        <w:spacing w:before="200" w:after="100" w:line="252" w:lineRule="auto"/>
        <w:keepNext/>
      </w:pPr>
      <w:r>
        <w:rPr>
          <w:rFonts w:ascii="NanumSquare" w:hAnsi="NanumSquare" w:eastAsia="NanumSquare"/>
          <w:b/>
          <w:color w:val="1E244D"/>
          <w:sz w:val="28"/>
        </w:rPr>
        <w:t>12.1 단계별 로드맵</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30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기간</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목표</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핵심 산출물</w:t>
            </w:r>
          </w:p>
        </w:tc>
        <w:tc>
          <w:tcPr>
            <w:tcW w:type="dxa" w:w="209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승인 게이트</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0~90일</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Evidence &amp; Charter</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Neutrality Charter, 수익 dashboard, issuer/provider 인터뷰, 법률 memo</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고객 2곳 이상 LOI</w:t>
            </w:r>
          </w:p>
        </w:tc>
      </w:tr>
      <w:tr>
        <w:trPr>
          <w:cantSplit/>
        </w:trPr>
        <w:tc>
          <w:tcPr>
            <w:tcW w:type="dxa" w:w="130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3~6개월</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Distribution MVP</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campaign contract, Revenue Vault, Mintscan 실시간 공개</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실제 외부매출·반복지급</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6~12개월</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Guaranteed Delivery Pilot</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signed quote, escrow, bond, receipt, 제한된 chain/asset</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3개+, 성공률 목표</w:t>
            </w:r>
          </w:p>
        </w:tc>
      </w:tr>
      <w:tr>
        <w:trPr>
          <w:cantSplit/>
        </w:trPr>
        <w:tc>
          <w:tcPr>
            <w:tcW w:type="dxa" w:w="130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12~18개월</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Open Provider Market</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다중 router/relayer/MM, wallet integration, SLA tiers</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경쟁·마진·수요 검증</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18개월+</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Institutional Scale</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gateway, DvP/PvP adapters, 규제형 attestation</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유료기관·법률승인</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12.2 핵심 KPI</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영역</w:t>
            </w:r>
          </w:p>
        </w:tc>
        <w:tc>
          <w:tcPr>
            <w:tcW w:type="dxa" w:w="43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KPI</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왜 중요한가</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연속 12개월 비인플레이션 매출, net margin</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진짜 BM 여부</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Distribution</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적격 평균잔액, active holder, liquidity, renewal</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유통의 질</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Premium flow</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유료경로 거래액, 선택률, 평균 premium</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보장서비스 수요</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Reliability</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성공률, p50/p95 완료시간, compensation 이행</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SLA 신뢰</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Competition</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active provider 수, 상위1개 점유율, quote spread</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중립시장 건강성</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ATOM accrual</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외부매출 기반 ATOM 매입·Community Pool 유입</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가치포착 실체</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Enterprise</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PoC→유료전환, 연간계약, 지원비용</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PMF</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Security</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incident, loss, reserve coverage, audit finding</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존속가능성</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12.3 Kill / Pivot 기준</w:t>
      </w:r>
    </w:p>
    <w:tbl>
      <w:tblPr>
        <w:tblW w:type="auto" w:w="0"/>
        <w:jc w:val="center"/>
        <w:tblLayout w:type="autofit"/>
        <w:tblLook w:firstColumn="1" w:firstRow="1" w:lastColumn="0" w:lastRow="0" w:noHBand="0" w:noVBand="1" w:val="04A0"/>
      </w:tblPr>
      <w:tblGrid>
        <w:gridCol w:w="9752"/>
      </w:tblGrid>
      <w:tr>
        <w:trPr>
          <w:cantSplit/>
        </w:trPr>
        <w:tc>
          <w:tcPr>
            <w:tcW w:type="dxa" w:w="9752"/>
            <w:shd w:fill="FBECEC"/>
            <w:tcBorders>
              <w:top w:val="single" w:sz="12" w:color="B44444"/>
              <w:left w:val="single" w:sz="12" w:color="B44444"/>
              <w:bottom w:val="single" w:sz="12" w:color="B44444"/>
              <w:right w:val="single" w:sz="12" w:color="B44444"/>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기능을 유지하기 위한 최소 증거</w:t>
              <w:br/>
            </w:r>
            <w:r>
              <w:rPr>
                <w:rFonts w:ascii="NanumGothic" w:hAnsi="NanumGothic" w:eastAsia="NanumGothic"/>
                <w:color w:val="1F2633"/>
                <w:sz w:val="21"/>
              </w:rPr>
              <w:t>① 12개월 내 반복 외부매출이 발생하지 않음, ② distribution campaign renewal이 없음, ③ provider가 2개 이하로 고착, ④ premium 선택률이 지속적으로 미미함, ⑤ 보험·운영비가 protocol take를 초과, ⑥ 중립성 훼손으로 주요 체인이 이탈 — 이 중 2개 이상이면 native module 확대를 중단하고 제품을 축소·피벗한다.</w:t>
            </w:r>
          </w:p>
        </w:tc>
      </w:tr>
    </w:tbl>
    <w:p>
      <w:pPr>
        <w:spacing w:after="40"/>
      </w:pPr>
    </w:p>
    <w:p>
      <w:pPr>
        <w:pStyle w:val="Heading1"/>
        <w:spacing w:before="280" w:after="140" w:line="252" w:lineRule="auto"/>
        <w:keepNext/>
      </w:pPr>
      <w:r>
        <w:rPr>
          <w:rFonts w:ascii="NanumSquare" w:hAnsi="NanumSquare" w:eastAsia="NanumSquare"/>
          <w:b/>
          <w:color w:val="1E244D"/>
          <w:sz w:val="36"/>
        </w:rPr>
        <w:t>13. 리스크와 대응</w:t>
      </w:r>
    </w:p>
    <w:tbl>
      <w:tblPr>
        <w:tblW w:type="auto" w:w="0"/>
        <w:jc w:val="left"/>
        <w:tblLayout w:type="fixed"/>
        <w:tblLook w:firstColumn="1" w:firstRow="1" w:lastColumn="0" w:lastRow="0" w:noHBand="0" w:noVBand="1" w:val="04A0"/>
      </w:tblPr>
      <w:tblGrid>
        <w:gridCol w:w="9752"/>
      </w:tblGrid>
      <w:tr>
        <w:trPr>
          <w:cantSplit/>
        </w:trPr>
        <w:tc>
          <w:tcPr>
            <w:tcW w:type="dxa" w:w="2551"/>
            <w:shd w:fill="FBECEC"/>
            <w:tcBorders>
              <w:top w:val="single" w:sz="8" w:color="B44444"/>
              <w:left w:val="single" w:sz="8" w:color="B44444"/>
              <w:bottom w:val="single" w:sz="8" w:color="B44444"/>
              <w:right w:val="single" w:sz="8" w:color="B44444"/>
            </w:tcBorders>
            <w:tcMar>
              <w:top w:w="60" w:type="dxa"/>
              <w:start w:w="110" w:type="dxa"/>
              <w:bottom w:w="60" w:type="dxa"/>
              <w:end w:w="110" w:type="dxa"/>
            </w:tcMar>
          </w:tcPr>
          <w:p>
            <w:pPr>
              <w:spacing w:before="0" w:after="0" w:line="240" w:lineRule="auto"/>
            </w:pPr>
            <w:r>
              <w:rPr>
                <w:rFonts w:ascii="NanumGothic" w:hAnsi="NanumGothic" w:eastAsia="NanumGothic"/>
                <w:b/>
                <w:color w:val="B44444"/>
                <w:sz w:val="18"/>
              </w:rPr>
              <w:t>[반대 논거 포함]</w:t>
            </w:r>
          </w:p>
        </w:tc>
      </w:tr>
    </w:tbl>
    <w:p>
      <w:pPr>
        <w:spacing w:after="0"/>
      </w:pP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리스크</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발생경로</w:t>
            </w:r>
          </w:p>
        </w:tc>
        <w:tc>
          <w:tcPr>
            <w:tcW w:type="dxa" w:w="328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대응</w:t>
            </w:r>
          </w:p>
        </w:tc>
        <w:tc>
          <w:tcPr>
            <w:tcW w:type="dxa" w:w="181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잔여위험</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Hub 우회</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직접 IBC가 더 싸고 간단</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기본전송이 아닌 보장·감사·SLA 판매</w:t>
            </w:r>
          </w:p>
        </w:tc>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premium 가치가 약하면 실패</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중립성 훼손</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특정 issuer/router 우대</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공개 campaign, 객관적 KPI, 비독점</w:t>
            </w:r>
          </w:p>
        </w:tc>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거버넌스 포획</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규제</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clearing·guarantee가 금융업으로 해석</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비수탁·bond 한정, jurisdiction별 법률검토</w:t>
            </w:r>
          </w:p>
        </w:tc>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국가별 불확실성</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기술공격면</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escrow·receipt·registry 취약점</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작은 MVP, audit, cap, pause, reserve</w:t>
            </w:r>
          </w:p>
        </w:tc>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새 코드의 불가피한 위험</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담보부족</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대형사고가 provider bond 초과</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책임범위 제한, 보험 tier, reserve</w:t>
            </w:r>
          </w:p>
        </w:tc>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tail risk</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수익부족</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초저율 fee와 낮은 거래량</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issuer incentive·SLA subscription 병행</w:t>
            </w:r>
          </w:p>
        </w:tc>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규모경제 도달 실패</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사업자 독점</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Skip/Cosmos Labs 중심화</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open spec, 복수 operator, concentration KPI</w:t>
            </w:r>
          </w:p>
        </w:tc>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네트워크 효과</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ATOM 규제성</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수익의 직접 배당 약속</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Community Pool buyback 중심, 법률검토</w:t>
            </w:r>
          </w:p>
        </w:tc>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관할별 해석</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로드맵 팽창</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EVM·DEX·privacy까지 동시 개발</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제품별 gate, PMF 전 native module 금지</w:t>
            </w:r>
          </w:p>
        </w:tc>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커뮤니티 압력</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13.1 가장 강한 반론과 답변</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345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반론</w:t>
            </w:r>
          </w:p>
        </w:tc>
        <w:tc>
          <w:tcPr>
            <w:tcW w:type="dxa" w:w="600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답변</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IBC는 무료인데 누가 Hub에 돈을 내나?</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전송 자체가 아니라 issuer distribution, SLA, guarantee, audit, one-connection 운영비에 지불한다.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Skip Go가 이미 다 하는 것 아닌가?</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Skip은 route·UX를 제공한다. Hub는 복수 provider 경쟁, bond, escrow, receipt, protocol revenue를 제공한다.</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Hub가 또 앱체인이 되는 것 아닌가?</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DEX·lending·market making을 금지하고 최소 coordination primitive만 둔다.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ATOM buyback이 가격부양용 아닌가?</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외부고객 매출을 Community Pool 자산으로 전환하는 treasury 정책이며, 가격보장이나 배당약속이 아니다.</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기관은 public chain을 원하지 않을 수 있다.</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private DLT도 IBC/Eureka 계층과 enterprise gateway를 통해 선택적으로 연결하도록 설계한다.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거래 실패를 완전히 보장할 수 없다.</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객관적으로 provider가 통제 가능한 SLA만 보장하고 chain halt 등은 면책·옵션보험으로 분리한다.</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14. 의사결정 요청안</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[권장 거버넌스·운영 결정]</w:t>
            </w:r>
          </w:p>
        </w:tc>
      </w:tr>
    </w:tbl>
    <w:p>
      <w:pPr>
        <w:spacing w:after="0"/>
      </w:pPr>
    </w:p>
    <w:p>
      <w:pPr>
        <w:pStyle w:val="Heading2"/>
        <w:spacing w:before="200" w:after="100" w:line="252" w:lineRule="auto"/>
        <w:keepNext/>
      </w:pPr>
      <w:r>
        <w:rPr>
          <w:rFonts w:ascii="NanumSquare" w:hAnsi="NanumSquare" w:eastAsia="NanumSquare"/>
          <w:b/>
          <w:color w:val="1E244D"/>
          <w:sz w:val="28"/>
        </w:rPr>
        <w:t>14.1 지금 승인할 것</w:t>
      </w:r>
    </w:p>
    <w:p>
      <w:pPr>
        <w:spacing w:before="0" w:after="100" w:line="276" w:lineRule="auto"/>
      </w:pPr>
      <w:r>
        <w:rPr>
          <w:rFonts w:ascii="NanumGothic" w:hAnsi="NanumGothic" w:eastAsia="NanumGothic"/>
          <w:b/>
          <w:color w:val="1E244D"/>
          <w:sz w:val="22"/>
        </w:rPr>
        <w:t>1  방향 승인</w:t>
      </w:r>
      <w:r>
        <w:rPr>
          <w:rFonts w:ascii="NanumGothic" w:hAnsi="NanumGothic" w:eastAsia="NanumGothic"/>
          <w:color w:val="1F2633"/>
          <w:sz w:val="21"/>
        </w:rPr>
        <w:t xml:space="preserve"> — Cosmos Hub의 우선 BM 탐색을 “Neutral Interchain Distribution &amp; Assurance”로 좁힌다.</w:t>
      </w:r>
    </w:p>
    <w:p>
      <w:pPr>
        <w:spacing w:before="0" w:after="100" w:line="276" w:lineRule="auto"/>
      </w:pPr>
      <w:r>
        <w:rPr>
          <w:rFonts w:ascii="NanumGothic" w:hAnsi="NanumGothic" w:eastAsia="NanumGothic"/>
          <w:b/>
          <w:color w:val="1E244D"/>
          <w:sz w:val="22"/>
        </w:rPr>
        <w:t>2  중립성 헌장</w:t>
      </w:r>
      <w:r>
        <w:rPr>
          <w:rFonts w:ascii="NanumGothic" w:hAnsi="NanumGothic" w:eastAsia="NanumGothic"/>
          <w:color w:val="1F2633"/>
          <w:sz w:val="21"/>
        </w:rPr>
        <w:t xml:space="preserve"> — 기본 IBC 무과금, 비수탁, 비독점, 앱체인 비경쟁, PII 비저장을 원칙으로 채택한다.</w:t>
      </w:r>
    </w:p>
    <w:p>
      <w:pPr>
        <w:spacing w:before="0" w:after="100" w:line="276" w:lineRule="auto"/>
      </w:pPr>
      <w:r>
        <w:rPr>
          <w:rFonts w:ascii="NanumGothic" w:hAnsi="NanumGothic" w:eastAsia="NanumGothic"/>
          <w:b/>
          <w:color w:val="1E244D"/>
          <w:sz w:val="22"/>
        </w:rPr>
        <w:t>3  90일 Discovery</w:t>
      </w:r>
      <w:r>
        <w:rPr>
          <w:rFonts w:ascii="NanumGothic" w:hAnsi="NanumGothic" w:eastAsia="NanumGothic"/>
          <w:color w:val="1F2633"/>
          <w:sz w:val="21"/>
        </w:rPr>
        <w:t xml:space="preserve"> — 발행사·은행·router·wallet·validator 인터뷰와 법률·기술 검증을 진행한다.</w:t>
      </w:r>
    </w:p>
    <w:p>
      <w:pPr>
        <w:spacing w:before="0" w:after="100" w:line="276" w:lineRule="auto"/>
      </w:pPr>
      <w:r>
        <w:rPr>
          <w:rFonts w:ascii="NanumGothic" w:hAnsi="NanumGothic" w:eastAsia="NanumGothic"/>
          <w:b/>
          <w:color w:val="1E244D"/>
          <w:sz w:val="22"/>
        </w:rPr>
        <w:t>4  Revenue Transparency</w:t>
      </w:r>
      <w:r>
        <w:rPr>
          <w:rFonts w:ascii="NanumGothic" w:hAnsi="NanumGothic" w:eastAsia="NanumGothic"/>
          <w:color w:val="1F2633"/>
          <w:sz w:val="21"/>
        </w:rPr>
        <w:t xml:space="preserve"> — Injective USDC 수익부터 Mintscan 공개 대시보드를 구축한다.</w:t>
      </w:r>
    </w:p>
    <w:p>
      <w:pPr>
        <w:spacing w:before="0" w:after="100" w:line="276" w:lineRule="auto"/>
      </w:pPr>
      <w:r>
        <w:rPr>
          <w:rFonts w:ascii="NanumGothic" w:hAnsi="NanumGothic" w:eastAsia="NanumGothic"/>
          <w:b/>
          <w:color w:val="1E244D"/>
          <w:sz w:val="22"/>
        </w:rPr>
        <w:t>5  Distribution MVP</w:t>
      </w:r>
      <w:r>
        <w:rPr>
          <w:rFonts w:ascii="NanumGothic" w:hAnsi="NanumGothic" w:eastAsia="NanumGothic"/>
          <w:color w:val="1F2633"/>
          <w:sz w:val="21"/>
        </w:rPr>
        <w:t xml:space="preserve"> — 최소 1개 추가 issuer와 공개 campaign pilot을 추진한다.</w:t>
      </w:r>
    </w:p>
    <w:p>
      <w:pPr>
        <w:spacing w:before="0" w:after="100" w:line="276" w:lineRule="auto"/>
      </w:pPr>
      <w:r>
        <w:rPr>
          <w:rFonts w:ascii="NanumGothic" w:hAnsi="NanumGothic" w:eastAsia="NanumGothic"/>
          <w:b/>
          <w:color w:val="1E244D"/>
          <w:sz w:val="22"/>
        </w:rPr>
        <w:t>6  모듈 동결 원칙</w:t>
      </w:r>
      <w:r>
        <w:rPr>
          <w:rFonts w:ascii="NanumGothic" w:hAnsi="NanumGothic" w:eastAsia="NanumGothic"/>
          <w:color w:val="1F2633"/>
          <w:sz w:val="21"/>
        </w:rPr>
        <w:t xml:space="preserve"> — PMF가 확인되기 전 대형 native module·Hub 자체 DEX·custody를 착수하지 않는다.</w:t>
      </w:r>
    </w:p>
    <w:p>
      <w:pPr>
        <w:pStyle w:val="Heading2"/>
        <w:spacing w:before="200" w:after="100" w:line="252" w:lineRule="auto"/>
        <w:keepNext/>
      </w:pPr>
      <w:r>
        <w:rPr>
          <w:rFonts w:ascii="NanumSquare" w:hAnsi="NanumSquare" w:eastAsia="NanumSquare"/>
          <w:b/>
          <w:color w:val="1E244D"/>
          <w:sz w:val="28"/>
        </w:rPr>
        <w:t>14.2 아직 승인하지 말 것</w:t>
      </w:r>
    </w:p>
    <w:p>
      <w:pPr>
        <w:pStyle w:val="ListBullet"/>
        <w:spacing w:before="0" w:after="60" w:line="269" w:lineRule="auto"/>
        <w:ind w:left="340" w:hanging="170"/>
      </w:pPr>
      <w:r>
        <w:rPr>
          <w:rFonts w:ascii="NanumGothic" w:hAnsi="NanumGothic" w:eastAsia="NanumGothic"/>
          <w:color w:val="1F2633"/>
          <w:sz w:val="21"/>
        </w:rPr>
        <w:t>CLS식 netting·중앙 balance sheet·고객원금 custody</w:t>
      </w:r>
    </w:p>
    <w:p>
      <w:pPr>
        <w:pStyle w:val="ListBullet"/>
        <w:spacing w:before="0" w:after="60" w:line="269" w:lineRule="auto"/>
        <w:ind w:left="340" w:hanging="170"/>
      </w:pPr>
      <w:r>
        <w:rPr>
          <w:rFonts w:ascii="NanumGothic" w:hAnsi="NanumGothic" w:eastAsia="NanumGothic"/>
          <w:color w:val="1F2633"/>
          <w:sz w:val="21"/>
        </w:rPr>
        <w:t>Hub 공식 stablecoin 또는 공식 DEX 지정</w:t>
      </w:r>
    </w:p>
    <w:p>
      <w:pPr>
        <w:pStyle w:val="ListBullet"/>
        <w:spacing w:before="0" w:after="60" w:line="269" w:lineRule="auto"/>
        <w:ind w:left="340" w:hanging="170"/>
      </w:pPr>
      <w:r>
        <w:rPr>
          <w:rFonts w:ascii="NanumGothic" w:hAnsi="NanumGothic" w:eastAsia="NanumGothic"/>
          <w:color w:val="1F2633"/>
          <w:sz w:val="21"/>
        </w:rPr>
        <w:t>모든 IBC/Eureka 트래픽에 강제 protocol toll</w:t>
      </w:r>
    </w:p>
    <w:p>
      <w:pPr>
        <w:pStyle w:val="ListBullet"/>
        <w:spacing w:before="0" w:after="60" w:line="269" w:lineRule="auto"/>
        <w:ind w:left="340" w:hanging="170"/>
      </w:pPr>
      <w:r>
        <w:rPr>
          <w:rFonts w:ascii="NanumGothic" w:hAnsi="NanumGothic" w:eastAsia="NanumGothic"/>
          <w:color w:val="1F2633"/>
          <w:sz w:val="21"/>
        </w:rPr>
        <w:t>ATOM 보유자에게 직접 수익률을 약속하는 배당구조</w:t>
      </w:r>
    </w:p>
    <w:p>
      <w:pPr>
        <w:pStyle w:val="ListBullet"/>
        <w:spacing w:before="0" w:after="60" w:line="269" w:lineRule="auto"/>
        <w:ind w:left="340" w:hanging="170"/>
      </w:pPr>
      <w:r>
        <w:rPr>
          <w:rFonts w:ascii="NanumGothic" w:hAnsi="NanumGothic" w:eastAsia="NanumGothic"/>
          <w:color w:val="1F2633"/>
          <w:sz w:val="21"/>
        </w:rPr>
        <w:t>EVM·privacy·liquidity venue를 동시에 추진하는 대형 범위</w:t>
      </w:r>
    </w:p>
    <w:p>
      <w:pPr>
        <w:pStyle w:val="Heading2"/>
        <w:spacing w:before="200" w:after="100" w:line="252" w:lineRule="auto"/>
        <w:keepNext/>
      </w:pPr>
      <w:r>
        <w:rPr>
          <w:rFonts w:ascii="NanumSquare" w:hAnsi="NanumSquare" w:eastAsia="NanumSquare"/>
          <w:b/>
          <w:color w:val="1E244D"/>
          <w:sz w:val="28"/>
        </w:rPr>
        <w:t>14.3 90일 산출물</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산출물</w:t>
            </w:r>
          </w:p>
        </w:tc>
        <w:tc>
          <w:tcPr>
            <w:tcW w:type="dxa" w:w="447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필수 내용</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Go 조건</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Customer Evidence Pack</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5+, 기관 5+, provider 10+ 인터뷰·LOI</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유료의향 확인</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Legal Boundary Memo</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비수탁·bond·registry·enterprise fee 관할분석</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MVP 가능구조</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Technical MVP Spec</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데이터객체, receipt, escrow, failure taxonomy</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audit 가능한 범위</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 Dashboard</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USDC 계약·ATOM 매입·Community Pool 흐름</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데이터 검증</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Pilot Commercial Term Sheet</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campaign KPI·take rate·renewal</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최소 1개 서명</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Governance Charter</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중립성·conflict·provider entry</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합의</w:t>
            </w:r>
          </w:p>
        </w:tc>
      </w:tr>
    </w:tbl>
    <w:p>
      <w:pPr>
        <w:spacing w:before="0" w:after="20" w:line="283" w:lineRule="auto"/>
      </w:pP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최종 권고</w:t>
              <w:br/>
            </w:r>
            <w:r>
              <w:rPr>
                <w:rFonts w:ascii="NanumGothic" w:hAnsi="NanumGothic" w:eastAsia="NanumGothic"/>
                <w:color w:val="1F2633"/>
                <w:sz w:val="21"/>
              </w:rPr>
              <w:t>Cosmos Hub의 승부처는 “모든 체인을 Hub 아래에 두는 것”이 아니다. 어떤 체인이든 독립성을 유지한 채, 자산을 유통하고 거래를 완결할 때 Cosmos Hub의 선택형 프리미엄 시장을 사용하는 것이 더 싸고 안전하고 감사하기 쉬운 상태를 만드는 것이다.</w:t>
            </w:r>
          </w:p>
        </w:tc>
      </w:tr>
    </w:tbl>
    <w:p>
      <w:pPr>
        <w:spacing w:after="40"/>
      </w:pPr>
    </w:p>
    <w:p>
      <w:pPr>
        <w:pStyle w:val="Heading1"/>
        <w:spacing w:before="280" w:after="140" w:line="252" w:lineRule="auto"/>
        <w:keepNext/>
      </w:pPr>
      <w:r>
        <w:rPr>
          <w:rFonts w:ascii="NanumSquare" w:hAnsi="NanumSquare" w:eastAsia="NanumSquare"/>
          <w:b/>
          <w:color w:val="1E244D"/>
          <w:sz w:val="36"/>
        </w:rPr>
        <w:t>결론</w:t>
      </w:r>
    </w:p>
    <w:p>
      <w:pPr>
        <w:spacing w:before="0" w:after="140" w:line="283" w:lineRule="auto"/>
      </w:pPr>
      <w:r>
        <w:rPr>
          <w:rFonts w:ascii="NanumGothic" w:hAnsi="NanumGothic" w:eastAsia="NanumGothic"/>
          <w:color w:val="1F2633"/>
          <w:sz w:val="21"/>
        </w:rPr>
        <w:t>Cosmos의 기술철학은 주권 체인과 개방형 상호운용성이다. 이 철학을 훼손하지 않고 Hub가 돈을 벌려면 base protocol에 세금을 붙이는 것이 아니라, 그 위에서 발생하는 상업적 문제 — 자산 배포, 경로선택, 완료확실성, 기관운영, 검증데이터 — 를 상품화해야 한다.</w:t>
      </w:r>
    </w:p>
    <w:p>
      <w:pPr>
        <w:spacing w:before="0" w:after="140" w:line="283" w:lineRule="auto"/>
      </w:pPr>
      <w:r>
        <w:rPr>
          <w:rFonts w:ascii="NanumGothic" w:hAnsi="NanumGothic" w:eastAsia="NanumGothic"/>
          <w:color w:val="1F2633"/>
          <w:sz w:val="21"/>
        </w:rPr>
        <w:t>가장 현실적인 시작은 Injective USDC 수익배분 사례를 표준화한 Interchain Asset Distribution Market이다. 그 다음 provider 경쟁과 bond를 붙인 Guaranteed Delivery, 기관용 One-Connection Gateway, Asset &amp; Service Registry로 확장한다. 각 제품은 Hub가 고객과 경쟁하지 않는 최소기능만 가져야 한다.</w:t>
      </w:r>
    </w:p>
    <w:p>
      <w:pPr>
        <w:spacing w:before="0" w:after="140" w:line="283" w:lineRule="auto"/>
      </w:pPr>
      <w:r>
        <w:rPr>
          <w:rFonts w:ascii="NanumGothic" w:hAnsi="NanumGothic" w:eastAsia="NanumGothic"/>
          <w:color w:val="1F2633"/>
          <w:sz w:val="21"/>
        </w:rPr>
        <w:t>이 모델이 성공하면 Cosmos Hub는 “앱이 많은 체인”이 아니라 “다른 체인과 금융기관이 서로 거래할 때 선택하는 신뢰 가능한 중립시장”이 된다. 그리고 ATOM은 단순 인플레이션 보상자산을 넘어 외부고객 수익이 축적되는 Hub의 보안·거버넌스 자산으로 재정의될 수 있다.</w:t>
      </w:r>
    </w:p>
    <w:p>
      <w:r>
        <w:br w:type="page"/>
      </w:r>
    </w:p>
    <w:p>
      <w:pPr>
        <w:pStyle w:val="Heading1"/>
        <w:spacing w:before="280" w:after="140" w:line="252" w:lineRule="auto"/>
        <w:keepNext/>
      </w:pPr>
      <w:r>
        <w:rPr>
          <w:rFonts w:ascii="NanumSquare" w:hAnsi="NanumSquare" w:eastAsia="NanumSquare"/>
          <w:b/>
          <w:color w:val="1E244D"/>
          <w:sz w:val="36"/>
        </w:rPr>
        <w:t>부록 A. 공식 사실 · 분석 · 신규 제안 교차표</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53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분류</w:t>
            </w:r>
          </w:p>
        </w:tc>
        <w:tc>
          <w:tcPr>
            <w:tcW w:type="dxa" w:w="5953"/>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명제</w:t>
            </w:r>
          </w:p>
        </w:tc>
        <w:tc>
          <w:tcPr>
            <w:tcW w:type="dxa" w:w="198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근거</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IBC는 permissionless이며 직접 chain-to-chain 연결 가능</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R5, R6, R20</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Eureka는 Hub 연결 체인의 Ethereum 접근을 지원하고 smart relayer 비용은 사용자가 부담</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R7, R8</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Skip Go는 경로·스왑·추적을 제공하고 affiliate fee 기능이 존재</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R9, R10, R11</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Injective USDC incentive 일부가 Hub에 귀속되고 ATOM 매입→Community Pool로 사용될 합의</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R12</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Hub팀은 TradFi↔DeFi gateway 및 issuance/distribution/access를 유망 방향으로 검증 중</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 R3</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Gaia v28 소프트웨어에 ICS provider module 제거 포함</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R14</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분석</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현재 일반화된 외부고객 기반 Hub protocol BM은 미완성</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R1~R15 종합</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Interchain Asset Distribution Market</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Guaranteed Delivery, signed quote, provider bond, SLA compensation</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One-Connection Gateway와 protocol metering share</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Asset &amp; Service Registry / attestation</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Revenue Vault 초기 50/30/20 배분</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 — 법률·토크노믹스 검토 전제</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부록 B. 핵심 용어</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238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용어</w:t>
            </w:r>
          </w:p>
        </w:tc>
        <w:tc>
          <w:tcPr>
            <w:tcW w:type="dxa" w:w="7087"/>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정의</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IBC</w:t>
            </w:r>
          </w:p>
        </w:tc>
        <w:tc>
          <w:tcPr>
            <w:tcW w:type="dxa" w:w="708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Inter-Blockchain Communication. 독립 체인의 상태와 메시지를 검증해 통신하는 프로토콜.</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Eureka</w:t>
            </w:r>
          </w:p>
        </w:tc>
        <w:tc>
          <w:tcPr>
            <w:tcW w:type="dxa" w:w="708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IBC v2 기반 Cosmos↔Ethereum/EVM 연결 구현.</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Skip Go</w:t>
            </w:r>
          </w:p>
        </w:tc>
        <w:tc>
          <w:tcPr>
            <w:tcW w:type="dxa" w:w="708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여러 DEX·bridge·IBC 경로를 조합하고 추적하는 interop API/UX 플랫폼.</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Clearing</w:t>
            </w:r>
          </w:p>
        </w:tc>
        <w:tc>
          <w:tcPr>
            <w:tcW w:type="dxa" w:w="708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문서에서는 주문·견적·수수료·결과를 정리하는 프로토콜 조정 의미. 법률상 CCP와 동일하지 않음.</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Settlement Receipt</w:t>
            </w:r>
          </w:p>
        </w:tc>
        <w:tc>
          <w:tcPr>
            <w:tcW w:type="dxa" w:w="708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목적지 거래 완료를 증명하는 source tx, ack/proof, destination tx의 기록.</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Bond</w:t>
            </w:r>
          </w:p>
        </w:tc>
        <w:tc>
          <w:tcPr>
            <w:tcW w:type="dxa" w:w="708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서비스 사업자가 SLA 위반 시 보상재원으로 잠그는 담보.</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Distribution Incentive</w:t>
            </w:r>
          </w:p>
        </w:tc>
        <w:tc>
          <w:tcPr>
            <w:tcW w:type="dxa" w:w="708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발행사가 자산의 멀티체인 채택·유통을 촉진하기 위해 지급하는 성과형 보상.</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 Vault</w:t>
            </w:r>
          </w:p>
        </w:tc>
        <w:tc>
          <w:tcPr>
            <w:tcW w:type="dxa" w:w="708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프로토콜 매출·비용·reserve·ATOM 매입을 투명하게 처리하는 온체인 금고.</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DvP/PvP</w:t>
            </w:r>
          </w:p>
        </w:tc>
        <w:tc>
          <w:tcPr>
            <w:tcW w:type="dxa" w:w="708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Delivery-versus-Payment / Payment-versus-Payment. 양쪽 자산 지급의 동시성을 보장하는 정산 원리.</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Thin Core</w:t>
            </w:r>
          </w:p>
        </w:tc>
        <w:tc>
          <w:tcPr>
            <w:tcW w:type="dxa" w:w="708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코어는 최소 공통기능만 제공하고 전문기능은 경쟁하는 edge 사업자에게 맡기는 설계.</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부록 C. 레퍼런스</w:t>
      </w:r>
    </w:p>
    <w:p>
      <w:pPr>
        <w:spacing w:before="0" w:after="140" w:line="283" w:lineRule="auto"/>
      </w:pPr>
      <w:r>
        <w:rPr>
          <w:rFonts w:ascii="NanumGothic" w:hAnsi="NanumGothic" w:eastAsia="NanumGothic"/>
          <w:color w:val="1F2633"/>
          <w:sz w:val="21"/>
        </w:rPr>
        <w:t>아래 자료는 2026년 8월 27일 기준으로 확인했다. Cosmos Hub Forum의 팀 업데이트는 공식 커뮤니케이션이지만 거버넌스 승인이나 법적 약속과 동일하지 않으며, 기술문서·GitHub 릴리스와 구분해 해석해야 한다.</w:t>
      </w: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Hub Weekly Update #12: August 13, 2026</w:t>
            </w:r>
            <w:r>
              <w:rPr>
                <w:rFonts w:ascii="NanumGothic" w:hAnsi="NanumGothic" w:eastAsia="NanumGothic"/>
                <w:color w:val="5B6475"/>
                <w:sz w:val="16"/>
              </w:rPr>
              <w:br/>
              <w:t>Cosmos Hub Forum / Hub Unit · 2026-08-13 · 공식 팀 업데이트(예비 방향)</w:t>
            </w:r>
            <w:r>
              <w:rPr>
                <w:rFonts w:ascii="NanumGothic" w:hAnsi="NanumGothic" w:eastAsia="NanumGothic"/>
                <w:color w:val="1F2633"/>
                <w:sz w:val="16"/>
              </w:rPr>
              <w:br/>
              <w:t xml:space="preserve">활용: TradFi↔DeFi 게이트웨이 가설, RWA 유통·접근 문제, Hub/Skip/IBC/Eureka/Mintscan 역할 구분, 9월 말 로드맵 목표.  </w:t>
            </w:r>
            <w:hyperlink r:id="rId11">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R2</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From Chaos to Stability to Growth: the Plan to Build the Cosmos Hub Roadmap in Public</w:t>
            </w:r>
            <w:r>
              <w:rPr>
                <w:rFonts w:ascii="NanumGothic" w:hAnsi="NanumGothic" w:eastAsia="NanumGothic"/>
                <w:color w:val="5B6475"/>
                <w:sz w:val="16"/>
              </w:rPr>
              <w:br/>
              <w:t>Cosmos Hub Forum / Hub Relations · 2026-05-08 · 공식 팀 업데이트(로드맵 프로세스)</w:t>
            </w:r>
            <w:r>
              <w:rPr>
                <w:rFonts w:ascii="NanumGothic" w:hAnsi="NanumGothic" w:eastAsia="NanumGothic"/>
                <w:color w:val="1F2633"/>
                <w:sz w:val="16"/>
              </w:rPr>
              <w:br/>
              <w:t xml:space="preserve">활용: Hub와 ATOM에 이익이 돌아오는 인프라, Eureka의 외부시장 확장, Hub 경유 방향, 제품·토크노믹스 성장단계.  </w:t>
            </w:r>
            <w:hyperlink r:id="rId32">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R3</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Hub Weekly Update #13: August 21, 2026</w:t>
            </w:r>
            <w:r>
              <w:rPr>
                <w:rFonts w:ascii="NanumGothic" w:hAnsi="NanumGothic" w:eastAsia="NanumGothic"/>
                <w:color w:val="5B6475"/>
                <w:sz w:val="16"/>
              </w:rPr>
              <w:br/>
              <w:t>Cosmos Hub Forum / Hub Unit · 2026-08-21 · 공식 팀 업데이트(진행상태)</w:t>
            </w:r>
            <w:r>
              <w:rPr>
                <w:rFonts w:ascii="NanumGothic" w:hAnsi="NanumGothic" w:eastAsia="NanumGothic"/>
                <w:color w:val="1F2633"/>
                <w:sz w:val="16"/>
              </w:rPr>
              <w:br/>
              <w:t xml:space="preserve">활용: Injective USDC 개발자 흐름, ATOM 토크노믹스 Phase 2, Gaia v28 테스트 및 ICS deprecation 진행.  </w:t>
            </w:r>
            <w:hyperlink r:id="rId12">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R4</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Cosmos Quarterly #1 Q2-26 — Three Pillars, Three Teams</w:t>
            </w:r>
            <w:r>
              <w:rPr>
                <w:rFonts w:ascii="NanumGothic" w:hAnsi="NanumGothic" w:eastAsia="NanumGothic"/>
                <w:color w:val="5B6475"/>
                <w:sz w:val="16"/>
              </w:rPr>
              <w:br/>
              <w:t>Cosmos Hub Forum / Cosmos Labs · 2026-07-28 · 공식 조직·전략 업데이트</w:t>
            </w:r>
            <w:r>
              <w:rPr>
                <w:rFonts w:ascii="NanumGothic" w:hAnsi="NanumGothic" w:eastAsia="NanumGothic"/>
                <w:color w:val="1F2633"/>
                <w:sz w:val="16"/>
              </w:rPr>
              <w:br/>
              <w:t xml:space="preserve">활용: Mintscan 인수, Cosmos Labs Korea, Skip:Go·Mintscan·Eureka·Hub 인프라 통합, 엔터프라이즈·오픈소스·생태계 3축.  </w:t>
            </w:r>
            <w:hyperlink r:id="rId23">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R5</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How the IBC Protocol Works</w:t>
            </w:r>
            <w:r>
              <w:rPr>
                <w:rFonts w:ascii="NanumGothic" w:hAnsi="NanumGothic" w:eastAsia="NanumGothic"/>
                <w:color w:val="5B6475"/>
                <w:sz w:val="16"/>
              </w:rPr>
              <w:br/>
              <w:t>IBC Protocol · 상시 문서 · 프로토콜 공식 설명</w:t>
            </w:r>
            <w:r>
              <w:rPr>
                <w:rFonts w:ascii="NanumGothic" w:hAnsi="NanumGothic" w:eastAsia="NanumGothic"/>
                <w:color w:val="1F2633"/>
                <w:sz w:val="16"/>
              </w:rPr>
              <w:br/>
              <w:t xml:space="preserve">활용: IBC의 permissionless·sovereign chain 간 데이터 통신, client/core/app 계층.  </w:t>
            </w:r>
            <w:hyperlink r:id="rId13">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R6</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12 Myths &amp; Realities About the IBC Protocol</w:t>
            </w:r>
            <w:r>
              <w:rPr>
                <w:rFonts w:ascii="NanumGothic" w:hAnsi="NanumGothic" w:eastAsia="NanumGothic"/>
                <w:color w:val="5B6475"/>
                <w:sz w:val="16"/>
              </w:rPr>
              <w:br/>
              <w:t>IBC Protocol · 2024 · 프로토콜 공식 설명</w:t>
            </w:r>
            <w:r>
              <w:rPr>
                <w:rFonts w:ascii="NanumGothic" w:hAnsi="NanumGothic" w:eastAsia="NanumGothic"/>
                <w:color w:val="1F2633"/>
                <w:sz w:val="16"/>
              </w:rPr>
              <w:br/>
              <w:t xml:space="preserve">활용: 릴레이 permissionless, light client 기반 직접 chain-to-chain 검증, 중앙 router chain 불필요라는 설계 원칙.  </w:t>
            </w:r>
            <w:hyperlink r:id="rId14">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R7</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IBC Eureka — Overview</w:t>
            </w:r>
            <w:r>
              <w:rPr>
                <w:rFonts w:ascii="NanumGothic" w:hAnsi="NanumGothic" w:eastAsia="NanumGothic"/>
                <w:color w:val="5B6475"/>
                <w:sz w:val="16"/>
              </w:rPr>
              <w:br/>
              <w:t>Cosmos Developer Documentation · 상시 문서 · 공식 기술문서</w:t>
            </w:r>
            <w:r>
              <w:rPr>
                <w:rFonts w:ascii="NanumGothic" w:hAnsi="NanumGothic" w:eastAsia="NanumGothic"/>
                <w:color w:val="1F2633"/>
                <w:sz w:val="16"/>
              </w:rPr>
              <w:br/>
              <w:t xml:space="preserve">활용: Hub에 IBC 연결된 체인의 Ethereum/EVM 호환성, 외부 생태계 연결의 현재 구조.  </w:t>
            </w:r>
            <w:hyperlink r:id="rId15">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R8</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IBC Eureka — Technical Overview</w:t>
            </w:r>
            <w:r>
              <w:rPr>
                <w:rFonts w:ascii="NanumGothic" w:hAnsi="NanumGothic" w:eastAsia="NanumGothic"/>
                <w:color w:val="5B6475"/>
                <w:sz w:val="16"/>
              </w:rPr>
              <w:br/>
              <w:t>Cosmos Developer Documentation · 상시 문서 · 공식 기술문서</w:t>
            </w:r>
            <w:r>
              <w:rPr>
                <w:rFonts w:ascii="NanumGothic" w:hAnsi="NanumGothic" w:eastAsia="NanumGothic"/>
                <w:color w:val="1F2633"/>
                <w:sz w:val="16"/>
              </w:rPr>
              <w:br/>
              <w:t xml:space="preserve">활용: light client·ZK proof, end-user-paid smart relayer, Hub 경유 구조, 보안·비용 모델.  </w:t>
            </w:r>
            <w:hyperlink r:id="rId20">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R9</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IBC Token Routing: Problem + Skip Go API Routing Algorithm</w:t>
            </w:r>
            <w:r>
              <w:rPr>
                <w:rFonts w:ascii="NanumGothic" w:hAnsi="NanumGothic" w:eastAsia="NanumGothic"/>
                <w:color w:val="5B6475"/>
                <w:sz w:val="16"/>
              </w:rPr>
              <w:br/>
              <w:t>Cosmos Developer Documentation / Skip Go · 상시 문서 · 공식 기술문서</w:t>
            </w:r>
            <w:r>
              <w:rPr>
                <w:rFonts w:ascii="NanumGothic" w:hAnsi="NanumGothic" w:eastAsia="NanumGothic"/>
                <w:color w:val="1F2633"/>
                <w:sz w:val="16"/>
              </w:rPr>
              <w:br/>
              <w:t xml:space="preserve">활용: IBC denom 경로 의존성, origin unwind, 최단·유동성 경로 추천 및 라우팅 문제.  </w:t>
            </w:r>
            <w:hyperlink r:id="rId16">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R10</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Skip Go API — Introduction</w:t>
            </w:r>
            <w:r>
              <w:rPr>
                <w:rFonts w:ascii="NanumGothic" w:hAnsi="NanumGothic" w:eastAsia="NanumGothic"/>
                <w:color w:val="5B6475"/>
                <w:sz w:val="16"/>
              </w:rPr>
              <w:br/>
              <w:t>Cosmos Developer Documentation / Skip Go · 상시 문서 · 공식 제품문서</w:t>
            </w:r>
            <w:r>
              <w:rPr>
                <w:rFonts w:ascii="NanumGothic" w:hAnsi="NanumGothic" w:eastAsia="NanumGothic"/>
                <w:color w:val="1F2633"/>
                <w:sz w:val="16"/>
              </w:rPr>
              <w:br/>
              <w:t xml:space="preserve">활용: 멀티프로토콜 route composition, tracking, fee-sharing 구조, API의 역할.  </w:t>
            </w:r>
            <w:hyperlink r:id="rId21">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R11</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Setting Affiliate Fees</w:t>
            </w:r>
            <w:r>
              <w:rPr>
                <w:rFonts w:ascii="NanumGothic" w:hAnsi="NanumGothic" w:eastAsia="NanumGothic"/>
                <w:color w:val="5B6475"/>
                <w:sz w:val="16"/>
              </w:rPr>
              <w:br/>
              <w:t>Cosmos Developer Documentation / Skip Go · 상시 문서 · 공식 제품문서</w:t>
            </w:r>
            <w:r>
              <w:rPr>
                <w:rFonts w:ascii="NanumGothic" w:hAnsi="NanumGothic" w:eastAsia="NanumGothic"/>
                <w:color w:val="1F2633"/>
                <w:sz w:val="16"/>
              </w:rPr>
              <w:br/>
              <w:t xml:space="preserve">활용: swap 통합자가 수수료를 부과·분배할 수 있는 현행 기능과 transfer fee의 향후 가능성.  </w:t>
            </w:r>
            <w:hyperlink r:id="rId33">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R12</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Hub Weekly Update #1: May 14, 2026</w:t>
            </w:r>
            <w:r>
              <w:rPr>
                <w:rFonts w:ascii="NanumGothic" w:hAnsi="NanumGothic" w:eastAsia="NanumGothic"/>
                <w:color w:val="5B6475"/>
                <w:sz w:val="16"/>
              </w:rPr>
              <w:br/>
              <w:t>Cosmos Hub Forum / Hub Unit · 2026-05-14 · 공식 팀 업데이트(실증 계약)</w:t>
            </w:r>
            <w:r>
              <w:rPr>
                <w:rFonts w:ascii="NanumGothic" w:hAnsi="NanumGothic" w:eastAsia="NanumGothic"/>
                <w:color w:val="1F2633"/>
                <w:sz w:val="16"/>
              </w:rPr>
              <w:br/>
              <w:t xml:space="preserve">활용: Injective USDC issuance incentive 중 Hub 50%(dYdX 33%), ATOM 매입 후 Community Pool 귀속, 4년 약정.  </w:t>
            </w:r>
            <w:hyperlink r:id="rId18">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R13</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ATOM Tokenomics: Phase 1 Outcomes</w:t>
            </w:r>
            <w:r>
              <w:rPr>
                <w:rFonts w:ascii="NanumGothic" w:hAnsi="NanumGothic" w:eastAsia="NanumGothic"/>
                <w:color w:val="5B6475"/>
                <w:sz w:val="16"/>
              </w:rPr>
              <w:br/>
              <w:t>Cosmos Hub Forum / Research Workstream · 2026-07-10 · 공식 연구결과</w:t>
            </w:r>
            <w:r>
              <w:rPr>
                <w:rFonts w:ascii="NanumGothic" w:hAnsi="NanumGothic" w:eastAsia="NanumGothic"/>
                <w:color w:val="1F2633"/>
                <w:sz w:val="16"/>
              </w:rPr>
              <w:br/>
              <w:t xml:space="preserve">활용: 보상·매도 흐름 실증분석, Phase 2 설계를 위한 경제적 기초.  </w:t>
            </w:r>
            <w:hyperlink r:id="rId31">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R14</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Gaia v28.0.0 Release Notes</w:t>
            </w:r>
            <w:r>
              <w:rPr>
                <w:rFonts w:ascii="NanumGothic" w:hAnsi="NanumGothic" w:eastAsia="NanumGothic"/>
                <w:color w:val="5B6475"/>
                <w:sz w:val="16"/>
              </w:rPr>
              <w:br/>
              <w:t>cosmos/gaia GitHub · 2026-08-21 · 공식 소프트웨어 릴리스</w:t>
            </w:r>
            <w:r>
              <w:rPr>
                <w:rFonts w:ascii="NanumGothic" w:hAnsi="NanumGothic" w:eastAsia="NanumGothic"/>
                <w:color w:val="1F2633"/>
                <w:sz w:val="16"/>
              </w:rPr>
              <w:br/>
              <w:t xml:space="preserve">활용: ICS provider module 제거가 포함된 Gaia 소프트웨어 릴리스. Mainnet 활성화는 별도 거버넌스 절차.  </w:t>
            </w:r>
            <w:hyperlink r:id="rId22">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R15</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Cosmos Hub Documentation — Introduction / Delegator FAQ</w:t>
            </w:r>
            <w:r>
              <w:rPr>
                <w:rFonts w:ascii="NanumGothic" w:hAnsi="NanumGothic" w:eastAsia="NanumGothic"/>
                <w:color w:val="5B6475"/>
                <w:sz w:val="16"/>
              </w:rPr>
              <w:br/>
              <w:t>Cosmos Developer Documentation · 상시 문서 · 공식 네트워크 문서</w:t>
            </w:r>
            <w:r>
              <w:rPr>
                <w:rFonts w:ascii="NanumGothic" w:hAnsi="NanumGothic" w:eastAsia="NanumGothic"/>
                <w:color w:val="1F2633"/>
                <w:sz w:val="16"/>
              </w:rPr>
              <w:br/>
              <w:t xml:space="preserve">활용: ATOM의 보안·거버넌스·PoS 보상 및 Hub의 기본 역할.  </w:t>
            </w:r>
            <w:hyperlink r:id="rId17">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R16</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SWIFT — Global Financial Messaging</w:t>
            </w:r>
            <w:r>
              <w:rPr>
                <w:rFonts w:ascii="NanumGothic" w:hAnsi="NanumGothic" w:eastAsia="NanumGothic"/>
                <w:color w:val="5B6475"/>
                <w:sz w:val="16"/>
              </w:rPr>
              <w:br/>
              <w:t>SWIFT · 상시 문서 · 비교대상 공식자료</w:t>
            </w:r>
            <w:r>
              <w:rPr>
                <w:rFonts w:ascii="NanumGothic" w:hAnsi="NanumGothic" w:eastAsia="NanumGothic"/>
                <w:color w:val="1F2633"/>
                <w:sz w:val="16"/>
              </w:rPr>
              <w:br/>
              <w:t xml:space="preserve">활용: 회원 소유의 보안 금융 메시징 네트워크. 자금 자체를 보유하는 기관과 메시징 기능을 구분하는 비교 기준.  </w:t>
            </w:r>
            <w:hyperlink r:id="rId24">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R17</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VisaNet</w:t>
            </w:r>
            <w:r>
              <w:rPr>
                <w:rFonts w:ascii="NanumGothic" w:hAnsi="NanumGothic" w:eastAsia="NanumGothic"/>
                <w:color w:val="5B6475"/>
                <w:sz w:val="16"/>
              </w:rPr>
              <w:br/>
              <w:t>Visa · 상시 문서 · 비교대상 공식자료</w:t>
            </w:r>
            <w:r>
              <w:rPr>
                <w:rFonts w:ascii="NanumGothic" w:hAnsi="NanumGothic" w:eastAsia="NanumGothic"/>
                <w:color w:val="1F2633"/>
                <w:sz w:val="16"/>
              </w:rPr>
              <w:br/>
              <w:t xml:space="preserve">활용: authorization, clearing, settlement를 지원하는 네트워크 서비스 비교 기준.  </w:t>
            </w:r>
            <w:hyperlink r:id="rId25">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R18</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CLSSettlement</w:t>
            </w:r>
            <w:r>
              <w:rPr>
                <w:rFonts w:ascii="NanumGothic" w:hAnsi="NanumGothic" w:eastAsia="NanumGothic"/>
                <w:color w:val="5B6475"/>
                <w:sz w:val="16"/>
              </w:rPr>
              <w:br/>
              <w:t>CLS Group · 상시 문서 · 비교대상 공식자료</w:t>
            </w:r>
            <w:r>
              <w:rPr>
                <w:rFonts w:ascii="NanumGothic" w:hAnsi="NanumGothic" w:eastAsia="NanumGothic"/>
                <w:color w:val="1F2633"/>
                <w:sz w:val="16"/>
              </w:rPr>
              <w:br/>
              <w:t xml:space="preserve">활용: PvP, settlement-risk mitigation, netting·liquidity optimization. 고도화 단계의 비교 기준.  </w:t>
            </w:r>
            <w:hyperlink r:id="rId26">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R19</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Definition of an Internet Exchange Point</w:t>
            </w:r>
            <w:r>
              <w:rPr>
                <w:rFonts w:ascii="NanumGothic" w:hAnsi="NanumGothic" w:eastAsia="NanumGothic"/>
                <w:color w:val="5B6475"/>
                <w:sz w:val="16"/>
              </w:rPr>
              <w:br/>
              <w:t>Euro-IX · 상시 문서 · 비교대상 공식자료</w:t>
            </w:r>
            <w:r>
              <w:rPr>
                <w:rFonts w:ascii="NanumGothic" w:hAnsi="NanumGothic" w:eastAsia="NanumGothic"/>
                <w:color w:val="1F2633"/>
                <w:sz w:val="16"/>
              </w:rPr>
              <w:br/>
              <w:t xml:space="preserve">활용: 독립 네트워크의 중립적 상호접속, 트래픽 비간섭, transit 사업과의 구분.  </w:t>
            </w:r>
            <w:hyperlink r:id="rId27">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R20</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Chain Support Requirements</w:t>
            </w:r>
            <w:r>
              <w:rPr>
                <w:rFonts w:ascii="NanumGothic" w:hAnsi="NanumGothic" w:eastAsia="NanumGothic"/>
                <w:color w:val="5B6475"/>
                <w:sz w:val="16"/>
              </w:rPr>
              <w:br/>
              <w:t>Cosmos Developer Documentation / Skip Go · 상시 문서 · 공식 운영문서</w:t>
            </w:r>
            <w:r>
              <w:rPr>
                <w:rFonts w:ascii="NanumGothic" w:hAnsi="NanumGothic" w:eastAsia="NanumGothic"/>
                <w:color w:val="1F2633"/>
                <w:sz w:val="16"/>
              </w:rPr>
              <w:br/>
              <w:t xml:space="preserve">활용: relayer 역할, direct IBC path, 노드·채널·유동성·메타데이터 요구사항.  </w:t>
            </w:r>
            <w:hyperlink r:id="rId19">
              <w:r>
                <w:rPr>
                  <w:rFonts w:ascii="NanumGothic" w:hAnsi="NanumGothic" w:eastAsia="NanumGothic"/>
                  <w:color w:val="6F5AE8"/>
                  <w:sz w:val="16"/>
                  <w:u w:val="single"/>
                  <w:b/>
                </w:rPr>
                <w:t>원문 링크</w:t>
              </w:r>
            </w:hyperlink>
          </w:p>
        </w:tc>
      </w:tr>
    </w:tbl>
    <w:p>
      <w:pPr>
        <w:spacing w:after="20"/>
      </w:pPr>
    </w:p>
    <w:p>
      <w:pPr>
        <w:pStyle w:val="Heading1"/>
        <w:spacing w:before="280" w:after="140" w:line="252" w:lineRule="auto"/>
        <w:keepNext/>
      </w:pPr>
      <w:r>
        <w:rPr>
          <w:rFonts w:ascii="NanumSquare" w:hAnsi="NanumSquare" w:eastAsia="NanumSquare"/>
          <w:b/>
          <w:color w:val="1E244D"/>
          <w:sz w:val="36"/>
        </w:rPr>
        <w:t>제안서 사용 메모</w:t>
      </w: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권장 사용 방식</w:t>
              <w:br/>
            </w:r>
            <w:r>
              <w:rPr>
                <w:rFonts w:ascii="NanumGothic" w:hAnsi="NanumGothic" w:eastAsia="NanumGothic"/>
                <w:color w:val="1F2633"/>
                <w:sz w:val="21"/>
              </w:rPr>
              <w:t>이 문서는 완성된 온체인 거버넌스 제안문이 아니라 전략·제품·BM 설계의 v1.0이다. 다음 개정에서는 90일 고객증거, 법률경계, MVP 기술사양, 발행사 term sheet를 붙여 “의사결정용 v1.1”로 전환하는 것이 적절하다.</w:t>
            </w:r>
          </w:p>
        </w:tc>
      </w:tr>
    </w:tbl>
    <w:p>
      <w:pPr>
        <w:spacing w:after="40"/>
      </w:pPr>
    </w:p>
    <w:p>
      <w:pPr>
        <w:spacing w:before="0" w:after="140" w:line="283" w:lineRule="auto"/>
      </w:pPr>
      <w:r>
        <w:rPr>
          <w:rFonts w:ascii="NanumGothic" w:hAnsi="NanumGothic" w:eastAsia="NanumGothic"/>
          <w:color w:val="1F2633"/>
          <w:sz w:val="21"/>
        </w:rPr>
        <w:t>본 문서의 제안은 Cosmos Hub 공식팀이 공개한 TradFi↔DeFi gateway 방향과 정렬되지만, NICM·provider bond·Revenue Vault 배분·중립성 헌장은 독립 제안이다. 공식 채택 여부는 공개 토론, 법률·기술 검증, 거버넌스 절차를 거쳐야 한다.</w:t>
      </w:r>
    </w:p>
    <w:p>
      <w:pPr>
        <w:spacing w:before="400" w:after="0" w:line="240" w:lineRule="auto"/>
        <w:jc w:val="center"/>
      </w:pPr>
      <w:r>
        <w:rPr>
          <w:rFonts w:ascii="NanumSquare" w:hAnsi="NanumSquare" w:eastAsia="NanumSquare"/>
          <w:b/>
          <w:color w:val="6F5AE8"/>
          <w:sz w:val="22"/>
        </w:rPr>
        <w:t>— END OF DOCUMENT —</w:t>
      </w:r>
    </w:p>
    <w:sectPr w:rsidR="00FC693F" w:rsidRPr="0006063C" w:rsidSect="00034616">
      <w:headerReference w:type="default" r:id="rId9"/>
      <w:footerReference w:type="default" r:id="rId10"/>
      <w:pgSz w:w="11906" w:h="16838"/>
      <w:pgMar w:top="1020" w:right="1077" w:bottom="964"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76"/>
      <w:gridCol w:w="4876"/>
    </w:tblGrid>
    <w:tr>
      <w:tc>
        <w:tcPr>
          <w:tcW w:type="dxa" w:w="7483"/>
          <w:tcMar>
            <w:top w:w="0" w:type="dxa"/>
            <w:start w:w="0" w:type="dxa"/>
            <w:bottom w:w="0" w:type="dxa"/>
            <w:end w:w="0" w:type="dxa"/>
          </w:tcMar>
          <w:tcBorders>
            <w:top w:val="single" w:sz="4" w:color="D7DAE3"/>
          </w:tcBorders>
        </w:tcPr>
        <w:p>
          <w:pPr>
            <w:spacing w:before="0" w:after="0" w:line="240" w:lineRule="auto"/>
          </w:pPr>
          <w:r>
            <w:rPr>
              <w:rFonts w:ascii="NanumGothic" w:hAnsi="NanumGothic" w:eastAsia="NanumGothic"/>
              <w:color w:val="5B6475"/>
              <w:sz w:val="15"/>
            </w:rPr>
            <w:t>독립 제안 · 공식 Cosmos Hub 로드맵/거버넌스 결의가 아님</w:t>
          </w:r>
        </w:p>
      </w:tc>
      <w:tc>
        <w:tcPr>
          <w:tcW w:type="dxa" w:w="2268"/>
          <w:tcMar>
            <w:top w:w="0" w:type="dxa"/>
            <w:start w:w="0" w:type="dxa"/>
            <w:bottom w:w="0" w:type="dxa"/>
            <w:end w:w="0" w:type="dxa"/>
          </w:tcMar>
          <w:tcBorders>
            <w:top w:val="single" w:sz="4" w:color="D7DAE3"/>
          </w:tcBorders>
        </w:tcPr>
        <w:p>
          <w:pPr>
            <w:spacing w:before="0" w:after="0" w:line="240" w:lineRule="auto"/>
            <w:jc w:val="right"/>
          </w:pPr>
          <w:r>
            <w:rPr>
              <w:rFonts w:ascii="NanumGothic" w:hAnsi="NanumGothic" w:eastAsia="NanumGothic"/>
              <w:color w:val="5B6475"/>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Gothic" w:hAnsi="NanumGothic" w:eastAsia="NanumGothic"/>
        <w:b/>
        <w:color w:val="5B6475"/>
        <w:sz w:val="16"/>
      </w:rPr>
      <w:t>COSMOS HUB BM IMPROVEMENT PROPOSAL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NanumGothic" w:hAnsi="NanumGothic" w:eastAsia="NanumGothic"/>
      <w:color w:val="1F2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E24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E24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1E24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00" w:after="160"/>
      <w:ind w:left="454" w:right="454"/>
    </w:pPr>
    <w:rPr>
      <w:rFonts w:ascii="NanumGothic" w:hAnsi="NanumGothic" w:eastAsia="NanumGothic"/>
      <w:i/>
      <w:color w:val="1E24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orum.cosmos.network/t/hub-weekly-update-12-august-13-2026/17241" TargetMode="External"/><Relationship Id="rId12" Type="http://schemas.openxmlformats.org/officeDocument/2006/relationships/hyperlink" Target="https://forum.cosmos.network/t/hub-weekly-update-13-august-21-2026/17255" TargetMode="External"/><Relationship Id="rId13" Type="http://schemas.openxmlformats.org/officeDocument/2006/relationships/hyperlink" Target="https://ibcprotocol.dev/how-ibc-works" TargetMode="External"/><Relationship Id="rId14" Type="http://schemas.openxmlformats.org/officeDocument/2006/relationships/hyperlink" Target="https://ibcprotocol.dev/blog/12-ibc-myths" TargetMode="External"/><Relationship Id="rId15" Type="http://schemas.openxmlformats.org/officeDocument/2006/relationships/hyperlink" Target="https://docs.cosmos.network/skip-go/eureka/eureka-overview" TargetMode="External"/><Relationship Id="rId16" Type="http://schemas.openxmlformats.org/officeDocument/2006/relationships/hyperlink" Target="https://docs.cosmos.network/skip-go/advanced-transfer/ibc-routing-algorithm" TargetMode="External"/><Relationship Id="rId17" Type="http://schemas.openxmlformats.org/officeDocument/2006/relationships/hyperlink" Target="https://docs.cosmos.network/hub/latest" TargetMode="External"/><Relationship Id="rId18" Type="http://schemas.openxmlformats.org/officeDocument/2006/relationships/hyperlink" Target="https://forum.cosmos.network/t/hub-weekly-update-1-may-14-2026/16960" TargetMode="External"/><Relationship Id="rId19" Type="http://schemas.openxmlformats.org/officeDocument/2006/relationships/hyperlink" Target="https://docs.cosmos.network/skip-go/support-requirements/chain-support-requirements" TargetMode="External"/><Relationship Id="rId20" Type="http://schemas.openxmlformats.org/officeDocument/2006/relationships/hyperlink" Target="https://docs.cosmos.network/skip-go/eureka/eureka-tech-overview" TargetMode="External"/><Relationship Id="rId21" Type="http://schemas.openxmlformats.org/officeDocument/2006/relationships/hyperlink" Target="https://docs.cosmos.network/skip-go/general/getting-started" TargetMode="External"/><Relationship Id="rId22" Type="http://schemas.openxmlformats.org/officeDocument/2006/relationships/hyperlink" Target="https://github.com/cosmos/gaia/releases/tag/v28.0.0" TargetMode="External"/><Relationship Id="rId23" Type="http://schemas.openxmlformats.org/officeDocument/2006/relationships/hyperlink" Target="https://forum.cosmos.network/t/cosmos-quarterly-1-q2-26-three-pillars-three-teams/17200" TargetMode="External"/><Relationship Id="rId24" Type="http://schemas.openxmlformats.org/officeDocument/2006/relationships/hyperlink" Target="https://www.swift.com/financial-messaging" TargetMode="External"/><Relationship Id="rId25" Type="http://schemas.openxmlformats.org/officeDocument/2006/relationships/hyperlink" Target="https://corporate.visa.com/en/about-visa/visanet.html" TargetMode="External"/><Relationship Id="rId26" Type="http://schemas.openxmlformats.org/officeDocument/2006/relationships/hyperlink" Target="https://www.cls-group.com/publications/clssettlement/" TargetMode="External"/><Relationship Id="rId27" Type="http://schemas.openxmlformats.org/officeDocument/2006/relationships/hyperlink" Target="https://www.euro-ix.net/en/forixps/"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hyperlink" Target="https://forum.cosmos.network/t/atom-tokenomics-phase-1-outcomes/17146" TargetMode="External"/><Relationship Id="rId32" Type="http://schemas.openxmlformats.org/officeDocument/2006/relationships/hyperlink" Target="https://forum.cosmos.network/t/from-chaos-to-stability-to-growth-the-plan-to-build-the-cosmos-hub-roadmap-in-public/16937" TargetMode="External"/><Relationship Id="rId33" Type="http://schemas.openxmlformats.org/officeDocument/2006/relationships/hyperlink" Target="https://docs.cosmos.network/skip-go/general/affiliate-f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Cosmos Hub BM 개선 제안서 — Neutral Interchain Clearing Market</dc:title>
  <dc:subject>허브 본연의 역할을 유지하면서 ATOM에 반복수익을 귀속시키는 연결·검증·라우팅·거래완결 BM</dc:subject>
  <dc:creator/>
  <cp:keywords>Cosmos Hub, ATOM, IBC, Eureka, Skip Go, RWA, business model, interchain</cp:keywords>
  <dc:description>독립 전략·사업모델 제안. 공식 사실·분석·신규 제안을 구분함. 레퍼런스 확인일 2026-08-27 KST.</dc:description>
  <cp:lastModifiedBy/>
  <cp:revision>1</cp:revision>
  <dcterms:created xsi:type="dcterms:W3CDTF">2013-12-23T23:15:00Z</dcterms:created>
  <dcterms:modified xsi:type="dcterms:W3CDTF">2013-12-23T23:15:00Z</dcterms:modified>
  <cp:category/>
</cp:coreProperties>
</file>