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line="240" w:lineRule="auto"/>
      </w:pPr>
      <w:r>
        <w:rPr>
          <w:rFonts w:ascii="NanumSquare" w:hAnsi="NanumSquare" w:eastAsia="NanumSquare"/>
          <w:b/>
          <w:color w:val="6F5AE8"/>
          <w:sz w:val="32"/>
        </w:rPr>
        <w:t>COSMOS HUB</w:t>
      </w:r>
    </w:p>
    <w:p>
      <w:pPr>
        <w:spacing w:before="0" w:after="180" w:line="240" w:lineRule="auto"/>
      </w:pPr>
      <w:r>
        <w:rPr>
          <w:rFonts w:ascii="NanumSquare" w:hAnsi="NanumSquare" w:eastAsia="NanumSquare"/>
          <w:b/>
          <w:color w:val="1E244D"/>
          <w:sz w:val="62"/>
        </w:rPr>
        <w:t>BM 개선 제안서</w:t>
      </w:r>
    </w:p>
    <w:p>
      <w:pPr>
        <w:spacing w:before="0" w:after="240" w:line="264" w:lineRule="auto"/>
      </w:pPr>
      <w:r>
        <w:rPr>
          <w:rFonts w:ascii="NanumSquare" w:hAnsi="NanumSquare" w:eastAsia="NanumSquare"/>
          <w:b/>
          <w:color w:val="6F5AE8"/>
          <w:sz w:val="44"/>
        </w:rPr>
        <w:t>Neutral Interchain Coordination Market</w:t>
      </w:r>
    </w:p>
    <w:p>
      <w:pPr>
        <w:spacing w:before="0" w:after="400" w:line="288" w:lineRule="auto"/>
      </w:pPr>
      <w:r>
        <w:rPr>
          <w:rFonts w:ascii="NanumGothic" w:hAnsi="NanumGothic" w:eastAsia="NanumGothic"/>
          <w:color w:val="1F2633"/>
          <w:sz w:val="28"/>
        </w:rPr>
        <w:t>기본 IBC는 개방형으로 유지하고, 자산 유통·전송 확실성·기관 접속을</w:t>
        <w:br/>
        <w:t>선택형 시장으로 조정하여 ATOM에 반복수익을 귀속시키는 “얇은 허브” 모델</w:t>
      </w:r>
    </w:p>
    <w:p>
      <w:pPr>
        <w:spacing w:before="0" w:after="360" w:line="240" w:lineRule="auto"/>
        <w:jc w:val="left"/>
      </w:pPr>
      <w:r>
        <w:rPr>
          <w:rFonts w:ascii="NanumGothic" w:hAnsi="NanumGothic" w:eastAsia="NanumGothic"/>
          <w:color w:val="6F5AE8"/>
          <w:sz w:val="20"/>
        </w:rPr>
        <w:t>━━━━━━━━━━━━━━━━━━━━━━━━━━━━━━━━━━━━━━━━</w:t>
      </w:r>
    </w:p>
    <w:tbl>
      <w:tblPr>
        <w:tblW w:type="auto" w:w="0"/>
        <w:jc w:val="left"/>
        <w:tblLayout w:type="fixed"/>
        <w:tblLook w:firstColumn="1" w:firstRow="1" w:lastColumn="0" w:lastRow="0" w:noHBand="0" w:noVBand="1" w:val="04A0"/>
      </w:tblPr>
      <w:tblGrid>
        <w:gridCol w:w="4876"/>
        <w:gridCol w:w="4876"/>
      </w:tblGrid>
      <w:tr>
        <w:trPr>
          <w:cantSplit/>
        </w:trPr>
        <w:tc>
          <w:tcPr>
            <w:tcW w:type="dxa" w:w="2041"/>
            <w:shd w:fill="1E244D"/>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b/>
                <w:color w:val="FFFFFF"/>
                <w:sz w:val="19"/>
              </w:rPr>
              <w:t>문서 성격</w:t>
            </w:r>
          </w:p>
        </w:tc>
        <w:tc>
          <w:tcPr>
            <w:tcW w:type="dxa" w:w="7087"/>
            <w:shd w:fill="FFFFFF"/>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color w:val="1F2633"/>
                <w:sz w:val="19"/>
              </w:rPr>
              <w:t>독립 전략·사업모델 제안</w:t>
            </w:r>
          </w:p>
        </w:tc>
      </w:tr>
      <w:tr>
        <w:trPr>
          <w:cantSplit/>
        </w:trPr>
        <w:tc>
          <w:tcPr>
            <w:tcW w:type="dxa" w:w="2041"/>
            <w:shd w:fill="1E244D"/>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b/>
                <w:color w:val="FFFFFF"/>
                <w:sz w:val="19"/>
              </w:rPr>
              <w:t>기준일</w:t>
            </w:r>
          </w:p>
        </w:tc>
        <w:tc>
          <w:tcPr>
            <w:tcW w:type="dxa" w:w="7087"/>
            <w:shd w:fill="FFFFFF"/>
            <w:tcMar>
              <w:top w:w="95" w:type="dxa"/>
              <w:start w:w="120" w:type="dxa"/>
              <w:bottom w:w="95" w:type="dxa"/>
              <w:end w:w="120" w:type="dxa"/>
            </w:tcMar>
            <w:tcBorders>
              <w:top w:val="single" w:sz="5" w:color="D7DAE3"/>
              <w:left w:val="single" w:sz="5" w:color="D7DAE3"/>
              <w:bottom w:val="single" w:sz="5" w:color="D7DAE3"/>
              <w:right w:val="single" w:sz="5" w:color="D7DAE3"/>
            </w:tcBorders>
            <w:vAlign w:val="center"/>
          </w:tcPr>
          <w:p>
            <w:pPr>
              <w:spacing w:before="0" w:after="0" w:line="252" w:lineRule="auto"/>
            </w:pPr>
            <w:r>
              <w:rPr>
                <w:rFonts w:ascii="NanumGothic" w:hAnsi="NanumGothic" w:eastAsia="NanumGothic"/>
                <w:color w:val="1E244D"/>
                <w:sz w:val="16"/>
              </w:rPr>
              <w:t>2026년 8월 28일 (KST)</w:t>
            </w:r>
          </w:p>
        </w:tc>
      </w:tr>
      <w:tr>
        <w:trPr>
          <w:cantSplit/>
        </w:trPr>
        <w:tc>
          <w:tcPr>
            <w:tcW w:type="dxa" w:w="2041"/>
            <w:shd w:fill="1E244D"/>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b/>
                <w:color w:val="FFFFFF"/>
                <w:sz w:val="19"/>
              </w:rPr>
              <w:t>버전</w:t>
            </w:r>
          </w:p>
        </w:tc>
        <w:tc>
          <w:tcPr>
            <w:tcW w:type="dxa" w:w="7087"/>
            <w:shd w:fill="FFFFFF"/>
            <w:tcMar>
              <w:top w:w="95" w:type="dxa"/>
              <w:start w:w="120" w:type="dxa"/>
              <w:bottom w:w="95" w:type="dxa"/>
              <w:end w:w="120" w:type="dxa"/>
            </w:tcMar>
            <w:tcBorders>
              <w:top w:val="single" w:sz="5" w:color="D7DAE3"/>
              <w:left w:val="single" w:sz="5" w:color="D7DAE3"/>
              <w:bottom w:val="single" w:sz="5" w:color="D7DAE3"/>
              <w:right w:val="single" w:sz="5" w:color="D7DAE3"/>
            </w:tcBorders>
            <w:vAlign w:val="center"/>
          </w:tcPr>
          <w:p>
            <w:pPr>
              <w:spacing w:before="0" w:after="0" w:line="252" w:lineRule="auto"/>
            </w:pPr>
            <w:r>
              <w:rPr>
                <w:rFonts w:ascii="NanumGothic" w:hAnsi="NanumGothic" w:eastAsia="NanumGothic"/>
                <w:color w:val="1E244D"/>
                <w:sz w:val="16"/>
              </w:rPr>
              <w:t>v1.1 CANDIDATE</w:t>
            </w:r>
          </w:p>
        </w:tc>
      </w:tr>
      <w:tr>
        <w:trPr>
          <w:cantSplit/>
        </w:trPr>
        <w:tc>
          <w:tcPr>
            <w:tcW w:type="dxa" w:w="2041"/>
            <w:shd w:fill="1E244D"/>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b/>
                <w:color w:val="FFFFFF"/>
                <w:sz w:val="19"/>
              </w:rPr>
              <w:t>주요 대상</w:t>
            </w:r>
          </w:p>
        </w:tc>
        <w:tc>
          <w:tcPr>
            <w:tcW w:type="dxa" w:w="7087"/>
            <w:shd w:fill="FFFFFF"/>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color w:val="1F2633"/>
                <w:sz w:val="19"/>
              </w:rPr>
              <w:t>Cosmos Hub 거버넌스 · Cosmos Labs · Validator · ATOM 커뮤니티</w:t>
            </w:r>
          </w:p>
        </w:tc>
      </w:tr>
      <w:tr>
        <w:trPr>
          <w:cantSplit/>
        </w:trPr>
        <w:tc>
          <w:tcPr>
            <w:tcW w:type="dxa" w:w="2041"/>
            <w:shd w:fill="1E244D"/>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b/>
                <w:color w:val="FFFFFF"/>
                <w:sz w:val="19"/>
              </w:rPr>
              <w:t>검증 원칙</w:t>
            </w:r>
          </w:p>
        </w:tc>
        <w:tc>
          <w:tcPr>
            <w:tcW w:type="dxa" w:w="7087"/>
            <w:shd w:fill="FFFFFF"/>
            <w:tcMar>
              <w:top w:w="95" w:type="dxa"/>
              <w:start w:w="120" w:type="dxa"/>
              <w:bottom w:w="95" w:type="dxa"/>
              <w:end w:w="120" w:type="dxa"/>
            </w:tcMar>
            <w:tcBorders>
              <w:top w:val="single" w:sz="5" w:color="D7DAE3"/>
              <w:left w:val="single" w:sz="5" w:color="D7DAE3"/>
              <w:bottom w:val="single" w:sz="5" w:color="D7DAE3"/>
              <w:right w:val="single" w:sz="5" w:color="D7DAE3"/>
            </w:tcBorders>
          </w:tcPr>
          <w:p>
            <w:pPr>
              <w:spacing w:before="0" w:after="0" w:line="240" w:lineRule="auto"/>
            </w:pPr>
            <w:r>
              <w:rPr>
                <w:rFonts w:ascii="NanumGothic" w:hAnsi="NanumGothic" w:eastAsia="NanumGothic"/>
                <w:color w:val="1F2633"/>
                <w:sz w:val="19"/>
              </w:rPr>
              <w:t>공식 사실 / 분석 / 신규 제안을 문서 내에서 분리 표기</w:t>
            </w:r>
          </w:p>
        </w:tc>
      </w:tr>
      <w:tr>
        <w:tc>
          <w:tcPr>
            <w:tcW w:type="dxa" w:w="4876"/>
            <w:vAlign w:val="center"/>
            <w:shd w:fill="1E244D"/>
          </w:tcPr>
          <w:p>
            <w:pPr>
              <w:spacing w:after="0" w:before="0" w:line="252" w:lineRule="auto"/>
            </w:pPr>
            <w:r>
              <w:rPr>
                <w:rFonts w:ascii="NanumGothic" w:hAnsi="NanumGothic" w:eastAsia="NanumGothic"/>
                <w:b/>
                <w:color w:val="FFFFFF"/>
                <w:sz w:val="16"/>
              </w:rPr>
              <w:t>개정 성격</w:t>
            </w:r>
          </w:p>
        </w:tc>
        <w:tc>
          <w:tcPr>
            <w:tcW w:type="dxa" w:w="4876"/>
            <w:vAlign w:val="center"/>
          </w:tcPr>
          <w:p>
            <w:pPr>
              <w:spacing w:after="0" w:before="0" w:line="252" w:lineRule="auto"/>
            </w:pPr>
            <w:r>
              <w:rPr>
                <w:rFonts w:ascii="NanumGothic" w:hAnsi="NanumGothic" w:eastAsia="NanumGothic"/>
                <w:color w:val="1E244D"/>
                <w:sz w:val="16"/>
              </w:rPr>
              <w:t>대항군 교차검증 반영 / 증거강도·법률경계·경제설계 보강</w:t>
            </w:r>
          </w:p>
        </w:tc>
      </w:tr>
    </w:tbl>
    <w:p>
      <w:pPr>
        <w:spacing w:before="700" w:after="0" w:line="240" w:lineRule="auto"/>
      </w:pPr>
      <w:r>
        <w:rPr>
          <w:rFonts w:ascii="NanumSquare" w:hAnsi="NanumSquare" w:eastAsia="NanumSquare"/>
          <w:b/>
          <w:color w:val="6F5AE8"/>
          <w:sz w:val="24"/>
        </w:rPr>
        <w:t>핵심 명제</w:t>
      </w:r>
    </w:p>
    <w:p>
      <w:pPr>
        <w:pStyle w:val="QuoteBox"/>
      </w:pPr>
      <w:r>
        <w:rPr>
          <w:rFonts w:ascii="NanumGothic" w:hAnsi="NanumGothic" w:eastAsia="NanumGothic"/>
          <w:b/>
          <w:color w:val="1E244D"/>
          <w:sz w:val="26"/>
        </w:rPr>
        <w:t>“Cosmos Hub는 자산을 만들거나 직접 거래하지 않는다. 체인·자산·서비스 사업자를 연결하고 경쟁시키며, 완료·복구 상태를 검증하고 선택형 SLA 서비스의 대가로 돈을 번다.”</w:t>
      </w:r>
    </w:p>
    <w:p>
      <w:r>
        <w:br w:type="page"/>
      </w:r>
    </w:p>
    <w:p>
      <w:pPr>
        <w:pStyle w:val="Heading1"/>
      </w:pPr>
      <w:r>
        <w:rPr>
          <w:rFonts w:ascii="NanumSquare" w:hAnsi="NanumSquare" w:eastAsia="NanumSquare"/>
        </w:rPr>
        <w:t>변경이력</w:t>
      </w:r>
    </w:p>
    <w:tbl>
      <w:tblPr>
        <w:tblW w:type="auto" w:w="0"/>
        <w:jc w:val="center"/>
        <w:tblLayout w:type="fixed"/>
        <w:tblLook w:firstColumn="1" w:firstRow="1" w:lastColumn="0" w:lastRow="0" w:noHBand="0" w:noVBand="1" w:val="04A0"/>
      </w:tblPr>
      <w:tblGrid>
        <w:gridCol w:w="3251"/>
        <w:gridCol w:w="3251"/>
        <w:gridCol w:w="3251"/>
      </w:tblGrid>
      <w:tr>
        <w:trPr>
          <w:cantSplit/>
          <w:tblHeader w:val="true"/>
        </w:trPr>
        <w:tc>
          <w:tcPr>
            <w:tcW w:type="dxa" w:w="1737"/>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6"/>
              </w:rPr>
              <w:t>버전</w:t>
            </w:r>
          </w:p>
        </w:tc>
        <w:tc>
          <w:tcPr>
            <w:tcW w:type="dxa" w:w="1930"/>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6"/>
              </w:rPr>
              <w:t>날짜</w:t>
            </w:r>
          </w:p>
        </w:tc>
        <w:tc>
          <w:tcPr>
            <w:tcW w:type="dxa" w:w="5982"/>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6"/>
              </w:rPr>
              <w:t>주요 변경</w:t>
            </w:r>
          </w:p>
        </w:tc>
      </w:tr>
      <w:tr>
        <w:trPr>
          <w:cantSplit/>
        </w:trPr>
        <w:tc>
          <w:tcPr>
            <w:tcW w:type="dxa" w:w="1737"/>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6"/>
              </w:rPr>
              <w:t>v1.0</w:t>
            </w:r>
          </w:p>
        </w:tc>
        <w:tc>
          <w:tcPr>
            <w:tcW w:type="dxa" w:w="1930"/>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6"/>
              </w:rPr>
              <w:t>2026-08-27</w:t>
            </w:r>
          </w:p>
        </w:tc>
        <w:tc>
          <w:tcPr>
            <w:tcW w:type="dxa" w:w="598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6"/>
              </w:rPr>
              <w:t>최초 BM 제안</w:t>
            </w:r>
          </w:p>
        </w:tc>
      </w:tr>
      <w:tr>
        <w:trPr>
          <w:cantSplit/>
        </w:trPr>
        <w:tc>
          <w:tcPr>
            <w:tcW w:type="dxa" w:w="1737"/>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6"/>
              </w:rPr>
              <w:t>v1.1 Candidate</w:t>
            </w:r>
          </w:p>
        </w:tc>
        <w:tc>
          <w:tcPr>
            <w:tcW w:type="dxa" w:w="1930"/>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6"/>
              </w:rPr>
              <w:t>2026-08-28</w:t>
            </w:r>
          </w:p>
        </w:tc>
        <w:tc>
          <w:tcPr>
            <w:tcW w:type="dxa" w:w="5982"/>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6"/>
              </w:rPr>
              <w:t>수익 증거강도, Eureka relay, failure taxonomy, 제품명, 계약구조, Revenue Vault, 담보·성과·buyback 보강</w:t>
            </w:r>
          </w:p>
        </w:tc>
      </w:tr>
    </w:tbl>
    <w:tbl>
      <w:tblPr>
        <w:tblW w:type="auto" w:w="0"/>
        <w:jc w:val="center"/>
        <w:tblLayout w:type="fixed"/>
        <w:tblLook w:firstColumn="1" w:firstRow="1" w:lastColumn="0" w:lastRow="0" w:noHBand="0" w:noVBand="1" w:val="04A0"/>
      </w:tblPr>
      <w:tblGrid>
        <w:gridCol w:w="9752"/>
      </w:tblGrid>
      <w:tr>
        <w:tc>
          <w:tcPr>
            <w:tcW w:type="dxa" w:w="9648"/>
            <w:tcMar>
              <w:top w:w="100" w:type="dxa"/>
              <w:start w:w="120" w:type="dxa"/>
              <w:bottom w:w="100" w:type="dxa"/>
              <w:end w:w="120" w:type="dxa"/>
            </w:tcMar>
            <w:tcBorders>
              <w:top w:val="single" w:sz="12" w:color="2D6FD2"/>
              <w:left w:val="single" w:sz="12" w:color="2D6FD2"/>
              <w:bottom w:val="single" w:sz="12" w:color="2D6FD2"/>
              <w:right w:val="single" w:sz="12" w:color="2D6FD2"/>
            </w:tcBorders>
            <w:shd w:fill="EEF4FE"/>
            <w:vAlign w:val="center"/>
          </w:tcPr>
          <w:p>
            <w:pPr>
              <w:spacing w:after="0" w:before="0" w:line="252" w:lineRule="auto"/>
            </w:pPr>
            <w:r>
              <w:rPr>
                <w:rFonts w:ascii="NanumSquare" w:hAnsi="NanumSquare" w:eastAsia="NanumSquare"/>
                <w:b/>
                <w:color w:val="1E244D"/>
                <w:sz w:val="16"/>
              </w:rPr>
              <w:t>개정 원칙</w:t>
            </w:r>
            <w:r>
              <w:rPr>
                <w:rFonts w:ascii="NanumGothic" w:hAnsi="NanumGothic" w:eastAsia="NanumGothic"/>
                <w:color w:val="1E244D"/>
                <w:sz w:val="16"/>
              </w:rPr>
              <w:br/>
              <w:t>v1.0의 Thin Core, Rich Edges와 4개 BM 구조를 유지하고, 교차검증에서 확인된 증거강도·법률·기술·경제 경계만 제한적으로 보정했다.</w:t>
            </w:r>
          </w:p>
        </w:tc>
      </w:tr>
    </w:tbl>
    <w:p>
      <w:r>
        <w:br w:type="page"/>
      </w:r>
    </w:p>
    <w:p>
      <w:pPr>
        <w:pStyle w:val="Heading1"/>
        <w:spacing w:before="280" w:after="140" w:line="252" w:lineRule="auto"/>
        <w:keepNext/>
      </w:pPr>
      <w:r>
        <w:rPr>
          <w:rFonts w:ascii="NanumSquare" w:hAnsi="NanumSquare" w:eastAsia="NanumSquare"/>
          <w:b/>
          <w:color w:val="1E244D"/>
          <w:sz w:val="36"/>
        </w:rPr>
        <w:t>문서 관리 및 해석 원칙</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192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구분</w:t>
            </w:r>
          </w:p>
        </w:tc>
        <w:tc>
          <w:tcPr>
            <w:tcW w:type="dxa" w:w="7483"/>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내용</w:t>
            </w:r>
          </w:p>
        </w:tc>
      </w:tr>
      <w:tr>
        <w:trPr>
          <w:cantSplit/>
        </w:trPr>
        <w:tc>
          <w:tcPr>
            <w:tcW w:type="dxa" w:w="192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공식 확인</w:t>
            </w:r>
          </w:p>
        </w:tc>
        <w:tc>
          <w:tcPr>
            <w:tcW w:type="dxa" w:w="748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프로토콜 문서, 소프트웨어 릴리스, Cosmos Hub/Cosmos Labs 공식 팀 업데이트에서 확인되는 사실</w:t>
            </w:r>
          </w:p>
        </w:tc>
      </w:tr>
      <w:tr>
        <w:trPr>
          <w:cantSplit/>
        </w:trPr>
        <w:tc>
          <w:tcPr>
            <w:tcW w:type="dxa" w:w="192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공식 예비 방향</w:t>
            </w:r>
          </w:p>
        </w:tc>
        <w:tc>
          <w:tcPr>
            <w:tcW w:type="dxa" w:w="748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팀이 공개적으로 검증 중인 가설·로드맵 방향. 거버넌스 승인 또는 제품 출시와 동일하지 않음</w:t>
            </w:r>
          </w:p>
        </w:tc>
      </w:tr>
      <w:tr>
        <w:trPr>
          <w:cantSplit/>
        </w:trPr>
        <w:tc>
          <w:tcPr>
            <w:tcW w:type="dxa" w:w="192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분석</w:t>
            </w:r>
          </w:p>
        </w:tc>
        <w:tc>
          <w:tcPr>
            <w:tcW w:type="dxa" w:w="748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공식 자료를 바탕으로 한 문제진단·비교·추론</w:t>
            </w:r>
          </w:p>
        </w:tc>
      </w:tr>
      <w:tr>
        <w:trPr>
          <w:cantSplit/>
        </w:trPr>
        <w:tc>
          <w:tcPr>
            <w:tcW w:type="dxa" w:w="192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신규 제안</w:t>
            </w:r>
          </w:p>
        </w:tc>
        <w:tc>
          <w:tcPr>
            <w:tcW w:type="dxa" w:w="748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NICM, Assured Delivery SLA, provider bond, Revenue Vault 등 본 문서가 추가하는 설계</w:t>
            </w:r>
          </w:p>
        </w:tc>
      </w:tr>
      <w:tr>
        <w:trPr>
          <w:cantSplit/>
        </w:trPr>
        <w:tc>
          <w:tcPr>
            <w:tcW w:type="dxa" w:w="192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수치 가정</w:t>
            </w:r>
          </w:p>
        </w:tc>
        <w:tc>
          <w:tcPr>
            <w:tcW w:type="dxa" w:w="748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매출 민감도·KPI 목표는 투자예측이 아니라 사업설계용 예시</w:t>
            </w:r>
          </w:p>
        </w:tc>
      </w:tr>
    </w:tbl>
    <w:p>
      <w:pPr>
        <w:spacing w:before="0" w:after="20" w:line="283" w:lineRule="auto"/>
      </w:pPr>
    </w:p>
    <w:tbl>
      <w:tblPr>
        <w:tblW w:type="auto" w:w="0"/>
        <w:jc w:val="center"/>
        <w:tblLayout w:type="autofit"/>
        <w:tblLook w:firstColumn="1" w:firstRow="1" w:lastColumn="0" w:lastRow="0" w:noHBand="0" w:noVBand="1" w:val="04A0"/>
      </w:tblPr>
      <w:tblGrid>
        <w:gridCol w:w="9752"/>
      </w:tblGrid>
      <w:tr>
        <w:trPr>
          <w:cantSplit/>
        </w:trPr>
        <w:tc>
          <w:tcPr>
            <w:tcW w:type="dxa" w:w="9752"/>
            <w:shd w:fill="EDF4FF"/>
            <w:tcBorders>
              <w:top w:val="single" w:sz="12" w:color="2E6FCE"/>
              <w:left w:val="single" w:sz="12" w:color="2E6FCE"/>
              <w:bottom w:val="single" w:sz="12" w:color="2E6FCE"/>
              <w:right w:val="single" w:sz="12" w:color="2E6FCE"/>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중요한 현재상태 해석</w:t>
              <w:br/>
            </w:r>
            <w:r>
              <w:rPr>
                <w:rFonts w:ascii="NanumGothic" w:hAnsi="NanumGothic" w:eastAsia="NanumGothic"/>
                <w:color w:val="1F2633"/>
                <w:sz w:val="21"/>
              </w:rPr>
              <w:t>Cosmos Hub 공식팀은 2026년 8월 TradFi와 DeFi 사이의 “유용한 연결점” 방향을 가장 유망한 가설로 제시했지만, 구체 제품 형태는 법률·기술 검증 중이라고 명시했다. 따라서 본 문서는 공식 방향과 정렬되되, 공식 확정안으로 오인되지 않도록 별도의 BM 제안으로 작성한다.</w:t>
            </w:r>
            <w:r>
              <w:t xml:space="preserve"> </w:t>
            </w:r>
            <w:hyperlink r:id="rId11">
              <w:r>
                <w:rPr>
                  <w:rFonts w:ascii="NanumGothic" w:hAnsi="NanumGothic" w:eastAsia="NanumGothic"/>
                  <w:color w:val="6F5AE8"/>
                  <w:sz w:val="17"/>
                  <w:b/>
                </w:rPr>
                <w:t>[R1]</w:t>
              </w:r>
            </w:hyperlink>
            <w:r>
              <w:t xml:space="preserve"> </w:t>
            </w:r>
            <w:hyperlink r:id="rId12">
              <w:r>
                <w:rPr>
                  <w:rFonts w:ascii="NanumGothic" w:hAnsi="NanumGothic" w:eastAsia="NanumGothic"/>
                  <w:color w:val="6F5AE8"/>
                  <w:sz w:val="17"/>
                  <w:b/>
                </w:rPr>
                <w:t>[R3]</w:t>
              </w:r>
            </w:hyperlink>
          </w:p>
        </w:tc>
      </w:tr>
    </w:tbl>
    <w:p>
      <w:pPr>
        <w:spacing w:after="40"/>
      </w:pPr>
    </w:p>
    <w:p>
      <w:pPr>
        <w:pStyle w:val="Heading1"/>
        <w:spacing w:before="280" w:after="140" w:line="252" w:lineRule="auto"/>
        <w:keepNext/>
      </w:pPr>
      <w:r>
        <w:rPr>
          <w:rFonts w:ascii="NanumSquare" w:hAnsi="NanumSquare" w:eastAsia="NanumSquare"/>
          <w:b/>
          <w:color w:val="1E244D"/>
          <w:sz w:val="36"/>
        </w:rPr>
        <w:t>Executive Summary</w:t>
      </w:r>
    </w:p>
    <w:tbl>
      <w:tblPr>
        <w:tblW w:type="auto" w:w="0"/>
        <w:jc w:val="center"/>
        <w:tblLayout w:type="autofit"/>
        <w:tblLook w:firstColumn="1" w:firstRow="1" w:lastColumn="0" w:lastRow="0" w:noHBand="0" w:noVBand="1" w:val="04A0"/>
      </w:tblPr>
      <w:tblGrid>
        <w:gridCol w:w="9752"/>
      </w:tblGrid>
      <w:tr>
        <w:trPr>
          <w:cantSplit/>
        </w:trPr>
        <w:tc>
          <w:tcPr>
            <w:tcW w:type="dxa" w:w="9752"/>
            <w:shd w:fill="F0EDFF"/>
            <w:tcBorders>
              <w:top w:val="single" w:sz="12" w:color="6F5AE8"/>
              <w:left w:val="single" w:sz="12" w:color="6F5AE8"/>
              <w:bottom w:val="single" w:sz="12" w:color="6F5AE8"/>
              <w:right w:val="single" w:sz="12" w:color="6F5AE8"/>
            </w:tcBorders>
            <w:tcMar>
              <w:top w:w="150" w:type="dxa"/>
              <w:start w:w="180" w:type="dxa"/>
              <w:bottom w:w="150" w:type="dxa"/>
              <w:end w:w="180" w:type="dxa"/>
            </w:tcMar>
            <w:vAlign w:val="center"/>
          </w:tcPr>
          <w:p>
            <w:pPr>
              <w:spacing w:before="0" w:after="0" w:line="252" w:lineRule="auto"/>
            </w:pPr>
            <w:r>
              <w:rPr>
                <w:rFonts w:ascii="NanumSquare" w:hAnsi="NanumSquare" w:eastAsia="NanumSquare"/>
                <w:b/>
                <w:color w:val="1E244D"/>
                <w:sz w:val="16"/>
              </w:rPr>
              <w:t>한 문장 제안</w:t>
            </w:r>
            <w:r>
              <w:rPr>
                <w:rFonts w:ascii="NanumGothic" w:hAnsi="NanumGothic" w:eastAsia="NanumGothic"/>
                <w:color w:val="1E244D"/>
                <w:sz w:val="16"/>
              </w:rPr>
              <w:br/>
              <w:t>무료·permissionless IBC를 건드리지 않고, Cosmos Hub 위에 “자산 유통 시장 + 전송확실성 SLA 시장 + 기관용 단일 접속 + 검증 레지스트리”를 선택형 프리미엄 계층으로 구축한다.</w:t>
            </w:r>
          </w:p>
        </w:tc>
      </w:tr>
    </w:tbl>
    <w:p>
      <w:pPr>
        <w:spacing w:after="40"/>
      </w:pPr>
    </w:p>
    <w:p>
      <w:pPr>
        <w:spacing w:before="0" w:after="140" w:line="283" w:lineRule="auto"/>
      </w:pPr>
      <w:r>
        <w:rPr>
          <w:rFonts w:ascii="NanumGothic" w:hAnsi="NanumGothic" w:eastAsia="NanumGothic"/>
          <w:color w:val="1F2633"/>
          <w:sz w:val="21"/>
        </w:rPr>
        <w:t>현재 Cosmos Hub는 ATOM이 보안과 거버넌스를 담당하는 PoS 체인이며, IBC/Eureka의 중요한 접속점이다. 그러나 IBC 자체는 독립 체인끼리 직접 연결할 수 있는 개방형 프로토콜이고, 실제 경로 계산·스왑 조합은 Skip Go가 담당한다. 따라서 “모든 외부 트래픽에 Hub 통행료를 강제”하는 방식은 기술철학에도 맞지 않고 우회경로를 촉진할 가능성이 높다.</w:t>
      </w:r>
      <w:r>
        <w:t xml:space="preserve"> </w:t>
      </w:r>
      <w:hyperlink r:id="rId13">
        <w:r>
          <w:rPr>
            <w:rFonts w:ascii="NanumGothic" w:hAnsi="NanumGothic" w:eastAsia="NanumGothic"/>
            <w:color w:val="6F5AE8"/>
            <w:sz w:val="17"/>
            <w:b/>
          </w:rPr>
          <w:t>[R5]</w:t>
        </w:r>
      </w:hyperlink>
      <w:r>
        <w:t xml:space="preserve"> </w:t>
      </w:r>
      <w:hyperlink r:id="rId14">
        <w:r>
          <w:rPr>
            <w:rFonts w:ascii="NanumGothic" w:hAnsi="NanumGothic" w:eastAsia="NanumGothic"/>
            <w:color w:val="6F5AE8"/>
            <w:sz w:val="17"/>
            <w:b/>
          </w:rPr>
          <w:t>[R6]</w:t>
        </w:r>
      </w:hyperlink>
      <w:r>
        <w:t xml:space="preserve"> </w:t>
      </w:r>
      <w:hyperlink r:id="rId15">
        <w:r>
          <w:rPr>
            <w:rFonts w:ascii="NanumGothic" w:hAnsi="NanumGothic" w:eastAsia="NanumGothic"/>
            <w:color w:val="6F5AE8"/>
            <w:sz w:val="17"/>
            <w:b/>
          </w:rPr>
          <w:t>[R7]</w:t>
        </w:r>
      </w:hyperlink>
      <w:r>
        <w:t xml:space="preserve"> </w:t>
      </w:r>
      <w:hyperlink r:id="rId16">
        <w:r>
          <w:rPr>
            <w:rFonts w:ascii="NanumGothic" w:hAnsi="NanumGothic" w:eastAsia="NanumGothic"/>
            <w:color w:val="6F5AE8"/>
            <w:sz w:val="17"/>
            <w:b/>
          </w:rPr>
          <w:t>[R9]</w:t>
        </w:r>
      </w:hyperlink>
      <w:r>
        <w:t xml:space="preserve"> </w:t>
      </w:r>
      <w:hyperlink r:id="rId17">
        <w:r>
          <w:rPr>
            <w:rFonts w:ascii="NanumGothic" w:hAnsi="NanumGothic" w:eastAsia="NanumGothic"/>
            <w:color w:val="6F5AE8"/>
            <w:sz w:val="17"/>
            <w:b/>
          </w:rPr>
          <w:t>[R15]</w:t>
        </w:r>
      </w:hyperlink>
    </w:p>
    <w:p>
      <w:pPr>
        <w:spacing w:before="0" w:after="140" w:line="283" w:lineRule="auto"/>
      </w:pPr>
      <w:r>
        <w:rPr>
          <w:rFonts w:ascii="NanumGothic" w:hAnsi="NanumGothic" w:eastAsia="NanumGothic"/>
          <w:color w:val="1F2633"/>
          <w:sz w:val="21"/>
        </w:rPr>
        <w:t>반면 Cosmos Hub에는 계약상 커밋된 중요한 수익 경로가 하나 있다. 공식 발표에 따르면 Cosmos Hub는 Injective USDC가 IBC를 통해 Cosmos 체인으로 유통될 때 Circle의 issuance incentive 일부를 받고, 해당 수익으로 ATOM을 매입해 Community Pool에 귀속시키는 4년 약정을 확보했다. 이는 외부 발행사의 유통경제를 Hub와 ATOM에 연결하는 계약상 커밋된 구조다. [R12]</w:t>
      </w:r>
    </w:p>
    <w:p>
      <w:pPr>
        <w:spacing w:after="60" w:line="252" w:lineRule="auto"/>
      </w:pPr>
      <w:r>
        <w:rPr>
          <w:rFonts w:ascii="NanumGothic" w:hAnsi="NanumGothic" w:eastAsia="NanumGothic"/>
          <w:b w:val="0"/>
          <w:color w:val="1E244D"/>
          <w:sz w:val="15"/>
        </w:rPr>
        <w:t>다만 공개된 계약서 원문, 반복적인 온체인 수익 입금, 실제 ATOM 매입 및 Community Pool 귀속이 확인되기 전까지 본 문서는 이를 실현된 반복매출이 아니라 계약상 예정된 반복수익 경로로 분류한다. 2026년 8월 21일 공식 업데이트상 롤아웃은 개발자 흐름 단계였고 일반 사용자 마이그레이션은 후속 단계였다. [R3] [R12]</w:t>
      </w:r>
    </w:p>
    <w:p>
      <w:pPr>
        <w:spacing w:before="0" w:after="140" w:line="283" w:lineRule="auto"/>
      </w:pPr>
      <w:r>
        <w:rPr>
          <w:rFonts w:ascii="NanumGothic" w:hAnsi="NanumGothic" w:eastAsia="NanumGothic"/>
          <w:color w:val="1F2633"/>
          <w:sz w:val="21"/>
        </w:rPr>
        <w:t>본 제안은 이 사례를 공개시장으로 일반화한다. Hub는 특정 스테이블코인이나 DEX를 직접 운영하지 않는다. 대신 발행사·기관·라우터·릴레이어·마켓메이커·지갑·attestation 사업자가 공개 규칙 아래 경쟁하게 하고, Hub는 등록·에스크로·완료증명·bond·수익분배라는 최소 공통기능만 제공한다.</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113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우선순위</w:t>
            </w:r>
          </w:p>
        </w:tc>
        <w:tc>
          <w:tcPr>
            <w:tcW w:type="dxa" w:w="260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제품/BM</w:t>
            </w:r>
          </w:p>
        </w:tc>
        <w:tc>
          <w:tcPr>
            <w:tcW w:type="dxa" w:w="209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지불자</w:t>
            </w:r>
          </w:p>
        </w:tc>
        <w:tc>
          <w:tcPr>
            <w:tcW w:type="dxa" w:w="272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Hub가 판매하는 가치</w:t>
            </w:r>
          </w:p>
        </w:tc>
        <w:tc>
          <w:tcPr>
            <w:tcW w:type="dxa" w:w="136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권장 착수</w:t>
            </w:r>
          </w:p>
        </w:tc>
      </w:tr>
      <w:tr>
        <w:trPr>
          <w:cantSplit/>
        </w:trPr>
        <w:tc>
          <w:tcPr>
            <w:tcW w:type="dxa" w:w="113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1</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Interchain Asset Distribution Market</w:t>
            </w:r>
          </w:p>
        </w:tc>
        <w:tc>
          <w:tcPr>
            <w:tcW w:type="dxa" w:w="209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Stablecoin·RWA 발행사</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여러 체인·지갑·유동성 venue로의 검증 가능한 유통</w:t>
            </w:r>
          </w:p>
        </w:tc>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즉시</w:t>
            </w:r>
          </w:p>
        </w:tc>
      </w:tr>
      <w:tr>
        <w:trPr>
          <w:cantSplit/>
        </w:trPr>
        <w:tc>
          <w:tcPr>
            <w:tcW w:type="dxa" w:w="113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2</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Assured Interchain Delivery SLA</w:t>
            </w:r>
          </w:p>
        </w:tc>
        <w:tc>
          <w:tcPr>
            <w:tcW w:type="dxa" w:w="209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기관·고액 사용자·지갑</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가격비교, SLA, 완료·복구 증명, 제한적 보상</w:t>
            </w:r>
          </w:p>
        </w:tc>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MVP 2단계</w:t>
            </w:r>
          </w:p>
        </w:tc>
      </w:tr>
      <w:tr>
        <w:trPr>
          <w:cantSplit/>
        </w:trPr>
        <w:tc>
          <w:tcPr>
            <w:tcW w:type="dxa" w:w="113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3</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Enterprise One-Connection Gateway</w:t>
            </w:r>
          </w:p>
        </w:tc>
        <w:tc>
          <w:tcPr>
            <w:tcW w:type="dxa" w:w="209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은행·수탁사·핀테크</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한 번의 접속으로 다수 체인·자산 접근</w:t>
            </w:r>
          </w:p>
        </w:tc>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MVP 검증 후</w:t>
            </w:r>
          </w:p>
        </w:tc>
      </w:tr>
      <w:tr>
        <w:trPr>
          <w:cantSplit/>
        </w:trPr>
        <w:tc>
          <w:tcPr>
            <w:tcW w:type="dxa" w:w="113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4</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Asset &amp; Service Registry</w:t>
            </w:r>
          </w:p>
        </w:tc>
        <w:tc>
          <w:tcPr>
            <w:tcW w:type="dxa" w:w="209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발행사·사업자·기관</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canonical asset·provider 이력·attestation 표준</w:t>
            </w:r>
          </w:p>
        </w:tc>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1단계 병행</w:t>
            </w:r>
          </w:p>
        </w:tc>
      </w:tr>
    </w:tbl>
    <w:p>
      <w:pPr>
        <w:spacing w:before="0" w:after="20" w:line="283" w:lineRule="auto"/>
      </w:pPr>
    </w:p>
    <w:p>
      <w:pPr>
        <w:spacing w:before="0" w:after="140" w:line="283" w:lineRule="auto"/>
      </w:pPr>
      <w:r>
        <w:rPr>
          <w:rFonts w:ascii="NanumGothic" w:hAnsi="NanumGothic" w:eastAsia="NanumGothic"/>
          <w:color w:val="1F2633"/>
          <w:sz w:val="21"/>
        </w:rPr>
        <w:t>권장 실행원칙은 “계약과 데이터부터, 네이티브 모듈은 나중에”다. 초기에는 오프체인 영업계약·서명견적과 감사된 CosmWasm 에스크로/Revenue Vault를 조합해 PMF를 검증한다. 실제 반복 외부매출과 운영 적합성이 확인된 기능만 최소 SDK 모듈로 승격한다.</w:t>
      </w:r>
    </w:p>
    <w:p>
      <w:pPr>
        <w:pStyle w:val="Heading1"/>
        <w:spacing w:before="280" w:after="140" w:line="252" w:lineRule="auto"/>
        <w:keepNext/>
      </w:pPr>
      <w:r>
        <w:rPr>
          <w:rFonts w:ascii="NanumSquare" w:hAnsi="NanumSquare" w:eastAsia="NanumSquare"/>
          <w:b/>
          <w:color w:val="1E244D"/>
          <w:sz w:val="36"/>
        </w:rPr>
        <w:t>문서 구성</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136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구분</w:t>
            </w:r>
          </w:p>
        </w:tc>
        <w:tc>
          <w:tcPr>
            <w:tcW w:type="dxa" w:w="8050"/>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내용</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현재 상태와 구조적 문제</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2</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설계 철학: Thin Core, Rich Edges</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3</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제안 아키텍처: NICM (Coordination)</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4</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BM 1 — 자산 유통 시장</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5</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BM 2 — Assured Delivery SLA 시장</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6</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BM 3 — 기관용 단일 접속</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7</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BM 4 — 자산·서비스 레지스트리</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8</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ATOM 가치포착과 Revenue Vault</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9</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경제성·수수료 설계</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10</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기술 구현·보안</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11</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거버넌스·중립성 헌장</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12</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로드맵·KPI·중단 기준</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13</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리스크와 대응</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14</w:t>
            </w:r>
          </w:p>
        </w:tc>
        <w:tc>
          <w:tcPr>
            <w:tcW w:type="dxa" w:w="805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의사결정 요청안</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부록</w:t>
            </w:r>
          </w:p>
        </w:tc>
        <w:tc>
          <w:tcPr>
            <w:tcW w:type="dxa" w:w="805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사실/제안 교차표 · 용어 · 레퍼런스</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1. 현재 상태와 구조적 문제</w:t>
      </w:r>
    </w:p>
    <w:tbl>
      <w:tblPr>
        <w:tblW w:type="auto" w:w="0"/>
        <w:jc w:val="left"/>
        <w:tblLayout w:type="fixed"/>
        <w:tblLook w:firstColumn="1" w:firstRow="1" w:lastColumn="0" w:lastRow="0" w:noHBand="0" w:noVBand="1" w:val="04A0"/>
      </w:tblPr>
      <w:tblGrid>
        <w:gridCol w:w="9752"/>
      </w:tblGrid>
      <w:tr>
        <w:trPr>
          <w:cantSplit/>
        </w:trPr>
        <w:tc>
          <w:tcPr>
            <w:tcW w:type="dxa" w:w="2551"/>
            <w:shd w:fill="EDF4FF"/>
            <w:tcBorders>
              <w:top w:val="single" w:sz="8" w:color="2E6FCE"/>
              <w:left w:val="single" w:sz="8" w:color="2E6FCE"/>
              <w:bottom w:val="single" w:sz="8" w:color="2E6FCE"/>
              <w:right w:val="single" w:sz="8" w:color="2E6FCE"/>
            </w:tcBorders>
            <w:tcMar>
              <w:top w:w="60" w:type="dxa"/>
              <w:start w:w="110" w:type="dxa"/>
              <w:bottom w:w="60" w:type="dxa"/>
              <w:end w:w="110" w:type="dxa"/>
            </w:tcMar>
          </w:tcPr>
          <w:p>
            <w:pPr>
              <w:spacing w:before="0" w:after="0" w:line="240" w:lineRule="auto"/>
            </w:pPr>
            <w:r>
              <w:rPr>
                <w:rFonts w:ascii="NanumGothic" w:hAnsi="NanumGothic" w:eastAsia="NanumGothic"/>
                <w:b/>
                <w:color w:val="2E6FCE"/>
                <w:sz w:val="18"/>
              </w:rPr>
              <w:t>[공식 확인 + 분석]</w:t>
            </w:r>
          </w:p>
        </w:tc>
      </w:tr>
    </w:tbl>
    <w:p>
      <w:pPr>
        <w:spacing w:after="0"/>
      </w:pPr>
    </w:p>
    <w:p>
      <w:pPr>
        <w:pStyle w:val="Heading2"/>
        <w:spacing w:before="200" w:after="100" w:line="252" w:lineRule="auto"/>
        <w:keepNext/>
      </w:pPr>
      <w:r>
        <w:rPr>
          <w:rFonts w:ascii="NanumSquare" w:hAnsi="NanumSquare" w:eastAsia="NanumSquare"/>
          <w:b/>
          <w:color w:val="1E244D"/>
          <w:sz w:val="28"/>
        </w:rPr>
        <w:t>1.1 지금의 Cosmos Hub가 실제로 하는 일</w:t>
      </w:r>
    </w:p>
    <w:p>
      <w:pPr>
        <w:spacing w:before="0" w:after="140" w:line="283" w:lineRule="auto"/>
      </w:pPr>
      <w:r>
        <w:rPr>
          <w:rFonts w:ascii="NanumGothic" w:hAnsi="NanumGothic" w:eastAsia="NanumGothic"/>
          <w:color w:val="1F2633"/>
          <w:sz w:val="21"/>
        </w:rPr>
        <w:t>Cosmos Hub의 기본 역할은 ATOM을 통한 네트워크 보안, 온체인 거버넌스, 송금·IBC·스마트컨트랙트 실행이다. 현재 스테이커 경제는 주로 새 ATOM 발행과 거래수수료를 기반으로 한다.</w:t>
      </w:r>
      <w:r>
        <w:t xml:space="preserve"> </w:t>
      </w:r>
      <w:hyperlink r:id="rId17">
        <w:r>
          <w:rPr>
            <w:rFonts w:ascii="NanumGothic" w:hAnsi="NanumGothic" w:eastAsia="NanumGothic"/>
            <w:color w:val="6F5AE8"/>
            <w:sz w:val="17"/>
            <w:b/>
          </w:rPr>
          <w:t>[R15]</w:t>
        </w:r>
      </w:hyperlink>
    </w:p>
    <w:p>
      <w:pPr>
        <w:spacing w:before="0" w:after="140" w:line="283" w:lineRule="auto"/>
      </w:pPr>
      <w:r>
        <w:rPr>
          <w:rFonts w:ascii="NanumGothic" w:hAnsi="NanumGothic" w:eastAsia="NanumGothic"/>
          <w:color w:val="1F2633"/>
          <w:sz w:val="21"/>
        </w:rPr>
        <w:t>IBC는 Cosmos Hub가 소유하는 독점 네트워크가 아니라, 서로 다른 주권 체인이 light client와 relayer를 통해 직접 통신할 수 있도록 설계된 permissionless 프로토콜이다. 따라서 “Cosmos 생태계가 성장하면 ATOM이 자동으로 수수료를 받는다”는 구조는 성립하지 않는다.</w:t>
      </w:r>
      <w:r>
        <w:t xml:space="preserve"> </w:t>
      </w:r>
      <w:hyperlink r:id="rId13">
        <w:r>
          <w:rPr>
            <w:rFonts w:ascii="NanumGothic" w:hAnsi="NanumGothic" w:eastAsia="NanumGothic"/>
            <w:color w:val="6F5AE8"/>
            <w:sz w:val="17"/>
            <w:b/>
          </w:rPr>
          <w:t>[R5]</w:t>
        </w:r>
      </w:hyperlink>
      <w:r>
        <w:t xml:space="preserve"> </w:t>
      </w:r>
      <w:hyperlink r:id="rId14">
        <w:r>
          <w:rPr>
            <w:rFonts w:ascii="NanumGothic" w:hAnsi="NanumGothic" w:eastAsia="NanumGothic"/>
            <w:color w:val="6F5AE8"/>
            <w:sz w:val="17"/>
            <w:b/>
          </w:rPr>
          <w:t>[R6]</w:t>
        </w:r>
      </w:hyperlink>
      <w:r>
        <w:t xml:space="preserve"> </w:t>
      </w:r>
      <w:hyperlink r:id="rId19">
        <w:r>
          <w:rPr>
            <w:rFonts w:ascii="NanumGothic" w:hAnsi="NanumGothic" w:eastAsia="NanumGothic"/>
            <w:color w:val="6F5AE8"/>
            <w:sz w:val="17"/>
            <w:b/>
          </w:rPr>
          <w:t>[R20]</w:t>
        </w:r>
      </w:hyperlink>
    </w:p>
    <w:p>
      <w:pPr>
        <w:spacing w:before="0" w:after="140" w:line="283" w:lineRule="auto"/>
      </w:pPr>
      <w:r>
        <w:rPr>
          <w:rFonts w:ascii="NanumGothic" w:hAnsi="NanumGothic" w:eastAsia="NanumGothic"/>
          <w:color w:val="1F2633"/>
          <w:sz w:val="21"/>
        </w:rPr>
        <w:t>Eureka는 Cosmos Hub와 연결된 IBC 체인이 Ethereum/EVM 생태계로 접근하기 쉽게 만들며, smart relayer의 proving·relaying·routing 비용은 최종사용자가 부담한다. 네트워크 접근은 permissionless하게 설계되어 있으나 초기 relay 운영은 permissioned set을 사용하며, 현재 liveness는 해당 relay set에 의존한다. 이는 light client/ZK proof의 위조 위험과 별개의 운영 가용성 제약이다. 이 구조는 Hub를 유용한 접속점으로 만들지만 그 자체가 Hub의 별도 프리미엄 매출을 자동 생성하지는 않는다. [R7] [R8]</w:t>
      </w:r>
    </w:p>
    <w:p>
      <w:pPr>
        <w:pStyle w:val="Heading2"/>
        <w:spacing w:before="200" w:after="100" w:line="252" w:lineRule="auto"/>
        <w:keepNext/>
      </w:pPr>
      <w:r>
        <w:rPr>
          <w:rFonts w:ascii="NanumSquare" w:hAnsi="NanumSquare" w:eastAsia="NanumSquare"/>
          <w:b/>
          <w:color w:val="1E244D"/>
          <w:sz w:val="28"/>
        </w:rPr>
        <w:t>1.2 라우팅·데이터·외부 연결의 현재 분업</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417"/>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52" w:lineRule="auto"/>
              <w:jc w:val="center"/>
            </w:pPr>
            <w:r>
              <w:rPr>
                <w:rFonts w:ascii="NanumGothic" w:hAnsi="NanumGothic" w:eastAsia="NanumGothic"/>
                <w:b/>
                <w:color w:val="FFFFFF"/>
                <w:sz w:val="13"/>
              </w:rPr>
              <w:t>구성요소</w:t>
            </w:r>
          </w:p>
        </w:tc>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52" w:lineRule="auto"/>
              <w:jc w:val="center"/>
            </w:pPr>
            <w:r>
              <w:rPr>
                <w:rFonts w:ascii="NanumGothic" w:hAnsi="NanumGothic" w:eastAsia="NanumGothic"/>
                <w:b/>
                <w:color w:val="FFFFFF"/>
                <w:sz w:val="13"/>
              </w:rPr>
              <w:t>현재 역할</w:t>
            </w:r>
          </w:p>
        </w:tc>
        <w:tc>
          <w:tcPr>
            <w:tcW w:type="dxa" w:w="255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52" w:lineRule="auto"/>
              <w:jc w:val="center"/>
            </w:pPr>
            <w:r>
              <w:rPr>
                <w:rFonts w:ascii="NanumGothic" w:hAnsi="NanumGothic" w:eastAsia="NanumGothic"/>
                <w:b/>
                <w:color w:val="FFFFFF"/>
                <w:sz w:val="13"/>
              </w:rPr>
              <w:t>현재 제약</w:t>
            </w:r>
          </w:p>
        </w:tc>
        <w:tc>
          <w:tcPr>
            <w:tcW w:type="dxa" w:w="277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52" w:lineRule="auto"/>
              <w:jc w:val="center"/>
            </w:pPr>
            <w:r>
              <w:rPr>
                <w:rFonts w:ascii="NanumGothic" w:hAnsi="NanumGothic" w:eastAsia="NanumGothic"/>
                <w:b/>
                <w:color w:val="FFFFFF"/>
                <w:sz w:val="13"/>
              </w:rPr>
              <w:t>BM 적용</w:t>
            </w:r>
          </w:p>
        </w:tc>
      </w:tr>
      <w:tr>
        <w:trPr>
          <w:cantSplit/>
        </w:trPr>
        <w:tc>
          <w:tcPr>
            <w:tcW w:type="dxa" w:w="141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IBC</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상태검증·메시지/자산 전송 표준</w:t>
            </w:r>
          </w:p>
        </w:tc>
        <w:tc>
          <w:tcPr>
            <w:tcW w:type="dxa" w:w="255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직접 연결·각 체인/relayer 운영비</w:t>
            </w:r>
          </w:p>
        </w:tc>
        <w:tc>
          <w:tcPr>
            <w:tcW w:type="dxa" w:w="277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강제 Hub toll 대신 선택형 premium</w:t>
            </w:r>
          </w:p>
        </w:tc>
      </w:tr>
      <w:tr>
        <w:trPr>
          <w:cantSplit/>
        </w:trPr>
        <w:tc>
          <w:tcPr>
            <w:tcW w:type="dxa" w:w="1417"/>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Eureka</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Cosmos↔Ethereum/EVM transport</w:t>
            </w:r>
          </w:p>
        </w:tc>
        <w:tc>
          <w:tcPr>
            <w:tcW w:type="dxa" w:w="255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초기 permissioned relay set, liveness 의존</w:t>
            </w:r>
          </w:p>
        </w:tc>
        <w:tc>
          <w:tcPr>
            <w:tcW w:type="dxa" w:w="277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transport 위 SLA·견적·monitoring 시장부터 적용</w:t>
            </w:r>
          </w:p>
        </w:tc>
      </w:tr>
      <w:tr>
        <w:trPr>
          <w:cantSplit/>
        </w:trPr>
        <w:tc>
          <w:tcPr>
            <w:tcW w:type="dxa" w:w="141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Skip Go</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DEX·bridge·IBC 경로·UX·추적</w:t>
            </w:r>
          </w:p>
        </w:tc>
        <w:tc>
          <w:tcPr>
            <w:tcW w:type="dxa" w:w="255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현행 fee 범위가 경로·기능별 상이</w:t>
            </w:r>
          </w:p>
        </w:tc>
        <w:tc>
          <w:tcPr>
            <w:tcW w:type="dxa" w:w="277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Hub 귀속은 별도 계약·metering 필요</w:t>
            </w:r>
          </w:p>
        </w:tc>
      </w:tr>
      <w:tr>
        <w:trPr>
          <w:cantSplit/>
        </w:trPr>
        <w:tc>
          <w:tcPr>
            <w:tcW w:type="dxa" w:w="1417"/>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Mintscan</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Explorer·indexing·데이터 가시화</w:t>
            </w:r>
          </w:p>
        </w:tc>
        <w:tc>
          <w:tcPr>
            <w:tcW w:type="dxa" w:w="255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단일 indexer 의존 가능성</w:t>
            </w:r>
          </w:p>
        </w:tc>
        <w:tc>
          <w:tcPr>
            <w:tcW w:type="dxa" w:w="277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복수 증거를 모은 protocol revenue 공개창</w:t>
            </w:r>
          </w:p>
        </w:tc>
      </w:tr>
      <w:tr>
        <w:trPr>
          <w:cantSplit/>
        </w:trPr>
        <w:tc>
          <w:tcPr>
            <w:tcW w:type="dxa" w:w="1417"/>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Cosmos Hub</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보안·거버넌스·실행·연결점</w:t>
            </w:r>
          </w:p>
        </w:tc>
        <w:tc>
          <w:tcPr>
            <w:tcW w:type="dxa" w:w="255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외부 수요 기반 반복 서비스 수익 부족</w:t>
            </w:r>
          </w:p>
        </w:tc>
        <w:tc>
          <w:tcPr>
            <w:tcW w:type="dxa" w:w="277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coordination·assurance·registry 공통규칙</w:t>
            </w:r>
          </w:p>
        </w:tc>
      </w:tr>
    </w:tbl>
    <w:p>
      <w:pPr>
        <w:spacing w:after="60" w:line="252" w:lineRule="auto"/>
      </w:pPr>
      <w:r>
        <w:rPr>
          <w:rFonts w:ascii="NanumGothic" w:hAnsi="NanumGothic" w:eastAsia="NanumGothic"/>
          <w:b w:val="0"/>
          <w:color w:val="1E244D"/>
          <w:sz w:val="14"/>
        </w:rPr>
        <w:t>Eureka의 접근 개방성과 relay 운영 개방성은 구분해야 한다. 체인과 사용자의 네트워크 접근은 permissionless하게 설계되어 있으나, 초기 Eureka relay 운영은 안전성을 위해 permissioned set을 사용하며 현재 liveness는 이 relay set에 의존한다. 따라서 초기 NICM은 raw relay 자체의 완전경쟁을 전제로 하지 않고, 그 위의 signed quote·SLA·monitoring·recovery·institutional reporting 계층부터 경쟁시장화한다. [R8]</w:t>
      </w:r>
    </w:p>
    <w:p>
      <w:pPr>
        <w:spacing w:before="0" w:after="20" w:line="283" w:lineRule="auto"/>
      </w:pPr>
    </w:p>
    <w:p>
      <w:pPr>
        <w:spacing w:before="0" w:after="140" w:line="283" w:lineRule="auto"/>
      </w:pPr>
      <w:r>
        <w:rPr>
          <w:rFonts w:ascii="NanumGothic" w:hAnsi="NanumGothic" w:eastAsia="NanumGothic"/>
          <w:color w:val="1F2633"/>
          <w:sz w:val="21"/>
        </w:rPr>
        <w:t>Skip Go는 이미 asset origin, IBC denom, 최단경로와 유동성을 고려해 경로를 추천하며, 멀티프로토콜 route composition과 실시간 추적을 제공한다. Hub가 자체 라우터를 만들어 Skip과 경쟁하는 것보다, 여러 라우터와 provider가 경쟁하는 중립 시장을 제공하는 편이 역할분리에 맞다.</w:t>
      </w:r>
      <w:r>
        <w:t xml:space="preserve"> </w:t>
      </w:r>
      <w:hyperlink r:id="rId16">
        <w:r>
          <w:rPr>
            <w:rFonts w:ascii="NanumGothic" w:hAnsi="NanumGothic" w:eastAsia="NanumGothic"/>
            <w:color w:val="6F5AE8"/>
            <w:sz w:val="17"/>
            <w:b/>
          </w:rPr>
          <w:t>[R9]</w:t>
        </w:r>
      </w:hyperlink>
      <w:r>
        <w:t xml:space="preserve"> </w:t>
      </w:r>
      <w:hyperlink r:id="rId21">
        <w:r>
          <w:rPr>
            <w:rFonts w:ascii="NanumGothic" w:hAnsi="NanumGothic" w:eastAsia="NanumGothic"/>
            <w:color w:val="6F5AE8"/>
            <w:sz w:val="17"/>
            <w:b/>
          </w:rPr>
          <w:t>[R10]</w:t>
        </w:r>
      </w:hyperlink>
    </w:p>
    <w:p>
      <w:pPr>
        <w:pStyle w:val="Heading2"/>
        <w:spacing w:before="200" w:after="100" w:line="252" w:lineRule="auto"/>
        <w:keepNext/>
      </w:pPr>
      <w:r>
        <w:rPr>
          <w:rFonts w:ascii="NanumSquare" w:hAnsi="NanumSquare" w:eastAsia="NanumSquare"/>
          <w:b/>
          <w:color w:val="1E244D"/>
          <w:sz w:val="28"/>
        </w:rPr>
        <w:t>1.3 계약상 커밋된 비인플레이션 수익 경로의 핵심 실증</w:t>
      </w:r>
    </w:p>
    <w:tbl>
      <w:tblPr>
        <w:tblW w:type="auto" w:w="0"/>
        <w:jc w:val="center"/>
        <w:tblLayout w:type="autofit"/>
        <w:tblLook w:firstColumn="1" w:firstRow="1" w:lastColumn="0" w:lastRow="0" w:noHBand="0" w:noVBand="1" w:val="04A0"/>
      </w:tblPr>
      <w:tblGrid>
        <w:gridCol w:w="9752"/>
      </w:tblGrid>
      <w:tr>
        <w:trPr>
          <w:cantSplit/>
        </w:trPr>
        <w:tc>
          <w:tcPr>
            <w:tcW w:type="dxa" w:w="9752"/>
            <w:shd w:fill="ECF7F0"/>
            <w:tcBorders>
              <w:top w:val="single" w:sz="12" w:color="25885A"/>
              <w:left w:val="single" w:sz="12" w:color="25885A"/>
              <w:bottom w:val="single" w:sz="12" w:color="25885A"/>
              <w:right w:val="single" w:sz="12" w:color="25885A"/>
            </w:tcBorders>
            <w:tcMar>
              <w:top w:w="150" w:type="dxa"/>
              <w:start w:w="180" w:type="dxa"/>
              <w:bottom w:w="150" w:type="dxa"/>
              <w:end w:w="180" w:type="dxa"/>
            </w:tcMar>
            <w:vAlign w:val="center"/>
          </w:tcPr>
          <w:p>
            <w:pPr>
              <w:spacing w:before="0" w:after="0" w:line="252" w:lineRule="auto"/>
            </w:pPr>
            <w:r>
              <w:rPr>
                <w:rFonts w:ascii="NanumSquare" w:hAnsi="NanumSquare" w:eastAsia="NanumSquare"/>
                <w:b/>
                <w:color w:val="1E244D"/>
                <w:sz w:val="15"/>
              </w:rPr>
              <w:t>Injective USDC 계약이 증명한 것</w:t>
            </w:r>
            <w:r>
              <w:rPr>
                <w:rFonts w:ascii="NanumGothic" w:hAnsi="NanumGothic" w:eastAsia="NanumGothic"/>
                <w:color w:val="1E244D"/>
                <w:sz w:val="14"/>
              </w:rPr>
              <w:br/>
              <w:t>공식 발표에 따르면 Cosmos Hub는 Injective USDC가 IBC를 통해 Cosmos 체인으로 유통될 때 Circle이 지급하는 issuance incentive의 일부를 받고, 해당 수익으로 ATOM을 매입해 Community Pool에 귀속시키는 4년 약정을 확보했다. 이는 외부 발행사의 유통경제를 Hub와 ATOM에 연결하는 계약상 커밋된 수익 경로다.</w:t>
              <w:br/>
              <w:br/>
              <w:t>다만 본 문서는 공개된 계약서 원문, 반복적인 온체인 수익 입금, 실제 ATOM 매입 및 Community Pool 귀속이 확인되기 전까지 이를 실현된 반복매출이 아니라 계약상 예정된 반복수익 경로로 분류한다. [R3] [R12]</w:t>
              <w:br/>
              <w:br/>
              <w:t>EVIDENCE STATUS = CONTRACTED / PUBLICLY ANNOUNCED / ROLLOUT IN PROGRESS / REPEATED ON-CHAIN REVENUE NOT YET VERIFIED</w:t>
            </w:r>
          </w:p>
        </w:tc>
      </w:tr>
    </w:tbl>
    <w:p>
      <w:pPr>
        <w:spacing w:after="40"/>
      </w:pPr>
    </w:p>
    <w:p>
      <w:pPr>
        <w:pStyle w:val="Heading2"/>
        <w:spacing w:before="200" w:after="100" w:line="252" w:lineRule="auto"/>
        <w:keepNext/>
      </w:pPr>
      <w:r>
        <w:rPr>
          <w:rFonts w:ascii="NanumSquare" w:hAnsi="NanumSquare" w:eastAsia="NanumSquare"/>
          <w:b/>
          <w:color w:val="1E244D"/>
          <w:sz w:val="28"/>
        </w:rPr>
        <w:t>1.4 기존 핵심 BM이었던 ICS의 후퇴가 주는 의미</w:t>
      </w:r>
    </w:p>
    <w:p>
      <w:pPr>
        <w:spacing w:before="0" w:after="140" w:line="283" w:lineRule="auto"/>
      </w:pPr>
      <w:r>
        <w:rPr>
          <w:rFonts w:ascii="NanumGothic" w:hAnsi="NanumGothic" w:eastAsia="NanumGothic"/>
          <w:color w:val="1F2633"/>
          <w:sz w:val="21"/>
        </w:rPr>
        <w:t>Gaia v28.0.0 소프트웨어 릴리스에는 ICS provider module 제거가 포함됐다. 이는 과거의 “Hub validator set을 consumer chain에 판매”하는 shared-security 모델이 현재 Hub의 주력 성장경로가 아니라는 신호다. 단, 소프트웨어 릴리스와 mainnet 활성화는 별도 거버넌스 절차라는 점을 구분해야 한다.</w:t>
      </w:r>
      <w:r>
        <w:t xml:space="preserve"> </w:t>
      </w:r>
      <w:hyperlink r:id="rId12">
        <w:r>
          <w:rPr>
            <w:rFonts w:ascii="NanumGothic" w:hAnsi="NanumGothic" w:eastAsia="NanumGothic"/>
            <w:color w:val="6F5AE8"/>
            <w:sz w:val="17"/>
            <w:b/>
          </w:rPr>
          <w:t>[R3]</w:t>
        </w:r>
      </w:hyperlink>
      <w:r>
        <w:t xml:space="preserve"> </w:t>
      </w:r>
      <w:hyperlink r:id="rId22">
        <w:r>
          <w:rPr>
            <w:rFonts w:ascii="NanumGothic" w:hAnsi="NanumGothic" w:eastAsia="NanumGothic"/>
            <w:color w:val="6F5AE8"/>
            <w:sz w:val="17"/>
            <w:b/>
          </w:rPr>
          <w:t>[R14]</w:t>
        </w:r>
      </w:hyperlink>
    </w:p>
    <w:p>
      <w:pPr>
        <w:spacing w:before="0" w:after="140" w:line="283" w:lineRule="auto"/>
      </w:pPr>
      <w:r>
        <w:rPr>
          <w:rFonts w:ascii="NanumGothic" w:hAnsi="NanumGothic" w:eastAsia="NanumGothic"/>
          <w:color w:val="1F2633"/>
          <w:sz w:val="21"/>
        </w:rPr>
        <w:t>따라서 새로운 BM은 단순히 보안을 임대하거나 Hub에 앱을 많이 올리는 방향보다, IBC·Eureka·Skip·Mintscan이라는 실제 강점을 하나의 유료 연결서비스로 조합하는 방향이 더 설득력 있다.</w:t>
      </w:r>
      <w:r>
        <w:t xml:space="preserve"> </w:t>
      </w:r>
      <w:hyperlink r:id="rId11">
        <w:r>
          <w:rPr>
            <w:rFonts w:ascii="NanumGothic" w:hAnsi="NanumGothic" w:eastAsia="NanumGothic"/>
            <w:color w:val="6F5AE8"/>
            <w:sz w:val="17"/>
            <w:b/>
          </w:rPr>
          <w:t>[R1]</w:t>
        </w:r>
      </w:hyperlink>
      <w:r>
        <w:t xml:space="preserve"> </w:t>
      </w:r>
      <w:hyperlink r:id="rId23">
        <w:r>
          <w:rPr>
            <w:rFonts w:ascii="NanumGothic" w:hAnsi="NanumGothic" w:eastAsia="NanumGothic"/>
            <w:color w:val="6F5AE8"/>
            <w:sz w:val="17"/>
            <w:b/>
          </w:rPr>
          <w:t>[R4]</w:t>
        </w:r>
      </w:hyperlink>
    </w:p>
    <w:p>
      <w:pPr>
        <w:pStyle w:val="Heading2"/>
        <w:spacing w:before="200" w:after="100" w:line="252" w:lineRule="auto"/>
        <w:keepNext/>
      </w:pPr>
      <w:r>
        <w:rPr>
          <w:rFonts w:ascii="NanumSquare" w:hAnsi="NanumSquare" w:eastAsia="NanumSquare"/>
          <w:b/>
          <w:color w:val="1E244D"/>
          <w:sz w:val="28"/>
        </w:rPr>
        <w:t>1.5 공식 방향과 본 제안의 접점</w:t>
      </w:r>
    </w:p>
    <w:p>
      <w:pPr>
        <w:spacing w:before="0" w:after="140" w:line="283" w:lineRule="auto"/>
      </w:pPr>
      <w:r>
        <w:rPr>
          <w:rFonts w:ascii="NanumGothic" w:hAnsi="NanumGothic" w:eastAsia="NanumGothic"/>
          <w:color w:val="1F2633"/>
          <w:sz w:val="21"/>
        </w:rPr>
        <w:t>2026년 8월 공식팀은 RWA 유통, TradFi의 DeFi 접근, DeFi 자산의 외부 유통을 핵심 문제로 보고 “Hub가 유일한 상호운용 레일이나 생태계 중심이 되려는 것이 아니라, 두 세계 사이에 연결할 가치가 있는 지점이 된다”는 방향을 제시했다. 동시에 구체 제품은 아직 검증 중이라고 명시했다.</w:t>
      </w:r>
      <w:r>
        <w:t xml:space="preserve"> </w:t>
      </w:r>
      <w:hyperlink r:id="rId11">
        <w:r>
          <w:rPr>
            <w:rFonts w:ascii="NanumGothic" w:hAnsi="NanumGothic" w:eastAsia="NanumGothic"/>
            <w:color w:val="6F5AE8"/>
            <w:sz w:val="17"/>
            <w:b/>
          </w:rPr>
          <w:t>[R1]</w:t>
        </w:r>
      </w:hyperlink>
    </w:p>
    <w:tbl>
      <w:tblPr>
        <w:tblW w:type="auto" w:w="0"/>
        <w:jc w:val="center"/>
        <w:tblLayout w:type="autofit"/>
        <w:tblLook w:firstColumn="1" w:firstRow="1" w:lastColumn="0" w:lastRow="0" w:noHBand="0" w:noVBand="1" w:val="04A0"/>
      </w:tblPr>
      <w:tblGrid>
        <w:gridCol w:w="9752"/>
      </w:tblGrid>
      <w:tr>
        <w:trPr>
          <w:cantSplit/>
        </w:trPr>
        <w:tc>
          <w:tcPr>
            <w:tcW w:type="dxa" w:w="9752"/>
            <w:shd w:fill="FFF4E8"/>
            <w:tcBorders>
              <w:top w:val="single" w:sz="12" w:color="D97A2B"/>
              <w:left w:val="single" w:sz="12" w:color="D97A2B"/>
              <w:bottom w:val="single" w:sz="12" w:color="D97A2B"/>
              <w:right w:val="single" w:sz="12" w:color="D97A2B"/>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진단</w:t>
              <w:br/>
            </w:r>
            <w:r>
              <w:rPr>
                <w:rFonts w:ascii="NanumGothic" w:hAnsi="NanumGothic" w:eastAsia="NanumGothic"/>
                <w:color w:val="1F2633"/>
                <w:sz w:val="21"/>
              </w:rPr>
              <w:t>Cosmos Hub의 문제는 연결기술이 없는 것이 아니다. “연결기술을 쓰는 고객이 무엇에 대해 돈을 내며, 그 돈이 어떤 규칙으로 ATOM에 귀속되는가”가 표준제품으로 정의되지 않은 것이 문제다.</w:t>
            </w:r>
          </w:p>
        </w:tc>
      </w:tr>
    </w:tbl>
    <w:p>
      <w:pPr>
        <w:spacing w:after="40"/>
      </w:pPr>
    </w:p>
    <w:p>
      <w:pPr>
        <w:pStyle w:val="Heading1"/>
        <w:spacing w:before="280" w:after="140" w:line="252" w:lineRule="auto"/>
        <w:keepNext/>
      </w:pPr>
      <w:r>
        <w:rPr>
          <w:rFonts w:ascii="NanumSquare" w:hAnsi="NanumSquare" w:eastAsia="NanumSquare"/>
          <w:b/>
          <w:color w:val="1E244D"/>
          <w:sz w:val="36"/>
        </w:rPr>
        <w:t>2. 설계 철학: Thin Core, Rich Edges</w:t>
      </w:r>
    </w:p>
    <w:tbl>
      <w:tblPr>
        <w:tblW w:type="auto" w:w="0"/>
        <w:jc w:val="left"/>
        <w:tblLayout w:type="fixed"/>
        <w:tblLook w:firstColumn="1" w:firstRow="1" w:lastColumn="0" w:lastRow="0" w:noHBand="0" w:noVBand="1" w:val="04A0"/>
      </w:tblPr>
      <w:tblGrid>
        <w:gridCol w:w="9752"/>
      </w:tblGrid>
      <w:tr>
        <w:trPr>
          <w:cantSplit/>
        </w:trPr>
        <w:tc>
          <w:tcPr>
            <w:tcW w:type="dxa" w:w="2551"/>
            <w:shd w:fill="F0EDFF"/>
            <w:tcBorders>
              <w:top w:val="single" w:sz="8" w:color="6F5AE8"/>
              <w:left w:val="single" w:sz="8" w:color="6F5AE8"/>
              <w:bottom w:val="single" w:sz="8" w:color="6F5AE8"/>
              <w:right w:val="single" w:sz="8" w:color="6F5AE8"/>
            </w:tcBorders>
            <w:tcMar>
              <w:top w:w="60" w:type="dxa"/>
              <w:start w:w="110" w:type="dxa"/>
              <w:bottom w:w="60" w:type="dxa"/>
              <w:end w:w="110" w:type="dxa"/>
            </w:tcMar>
          </w:tcPr>
          <w:p>
            <w:pPr>
              <w:spacing w:before="0" w:after="0" w:line="240" w:lineRule="auto"/>
            </w:pPr>
            <w:r>
              <w:rPr>
                <w:rFonts w:ascii="NanumGothic" w:hAnsi="NanumGothic" w:eastAsia="NanumGothic"/>
                <w:b/>
                <w:color w:val="6F5AE8"/>
                <w:sz w:val="18"/>
              </w:rPr>
              <w:t>[신규 제안의 불변 원칙]</w:t>
            </w:r>
          </w:p>
        </w:tc>
      </w:tr>
    </w:tbl>
    <w:p>
      <w:pPr>
        <w:spacing w:after="0"/>
      </w:pPr>
    </w:p>
    <w:p>
      <w:pPr>
        <w:pStyle w:val="Heading2"/>
        <w:spacing w:before="200" w:after="100" w:line="252" w:lineRule="auto"/>
        <w:keepNext/>
      </w:pPr>
      <w:r>
        <w:rPr>
          <w:rFonts w:ascii="NanumSquare" w:hAnsi="NanumSquare" w:eastAsia="NanumSquare"/>
          <w:b/>
          <w:color w:val="1E244D"/>
          <w:sz w:val="28"/>
        </w:rPr>
        <w:t>2.1 허브 본연의 역할</w:t>
      </w:r>
    </w:p>
    <w:p>
      <w:pPr>
        <w:spacing w:before="0" w:after="140" w:line="283" w:lineRule="auto"/>
      </w:pPr>
      <w:r>
        <w:rPr>
          <w:rFonts w:ascii="NanumGothic" w:hAnsi="NanumGothic" w:eastAsia="NanumGothic"/>
          <w:color w:val="1F2633"/>
          <w:sz w:val="21"/>
        </w:rPr>
        <w:t>본 제안은 “코어는 얇게, 전문기능은 가장자리에”라는 네트워크·소프트웨어 철학을 적용한다. Hub가 DEX·대출·파생·스테이블코인을 직접 운영하면 고객이 될 체인과 경쟁하게 되고, 중립 연결점으로서의 신뢰를 잃는다.</w:t>
      </w:r>
    </w:p>
    <w:p>
      <w:pPr>
        <w:spacing w:before="0" w:after="100" w:line="276" w:lineRule="auto"/>
      </w:pPr>
      <w:r>
        <w:rPr>
          <w:rFonts w:ascii="NanumGothic" w:hAnsi="NanumGothic" w:eastAsia="NanumGothic"/>
          <w:b/>
          <w:color w:val="1E244D"/>
          <w:sz w:val="22"/>
        </w:rPr>
        <w:t>①  Connect</w:t>
      </w:r>
      <w:r>
        <w:rPr>
          <w:rFonts w:ascii="NanumGothic" w:hAnsi="NanumGothic" w:eastAsia="NanumGothic"/>
          <w:color w:val="1F2633"/>
          <w:sz w:val="21"/>
        </w:rPr>
        <w:t xml:space="preserve"> — 체인·기관·자산이 최소한의 표준으로 접속할 수 있게 한다.</w:t>
      </w:r>
    </w:p>
    <w:p>
      <w:pPr>
        <w:spacing w:before="0" w:after="100" w:line="276" w:lineRule="auto"/>
      </w:pPr>
      <w:r>
        <w:rPr>
          <w:rFonts w:ascii="NanumGothic" w:hAnsi="NanumGothic" w:eastAsia="NanumGothic"/>
          <w:b/>
          <w:color w:val="1E244D"/>
          <w:sz w:val="22"/>
        </w:rPr>
        <w:t>②  Verify</w:t>
      </w:r>
      <w:r>
        <w:rPr>
          <w:rFonts w:ascii="NanumGothic" w:hAnsi="NanumGothic" w:eastAsia="NanumGothic"/>
          <w:color w:val="1F2633"/>
          <w:sz w:val="21"/>
        </w:rPr>
        <w:t xml:space="preserve"> — 상대체인 상태, 자산 출처, provider 성과, 거래 완료를 검증한다.</w:t>
      </w:r>
    </w:p>
    <w:p>
      <w:pPr>
        <w:spacing w:before="0" w:after="100" w:line="276" w:lineRule="auto"/>
      </w:pPr>
      <w:r>
        <w:rPr>
          <w:rFonts w:ascii="NanumGothic" w:hAnsi="NanumGothic" w:eastAsia="NanumGothic"/>
          <w:b/>
          <w:color w:val="1E244D"/>
          <w:sz w:val="22"/>
        </w:rPr>
        <w:t>③  Route Market</w:t>
      </w:r>
      <w:r>
        <w:rPr>
          <w:rFonts w:ascii="NanumGothic" w:hAnsi="NanumGothic" w:eastAsia="NanumGothic"/>
          <w:color w:val="1F2633"/>
          <w:sz w:val="21"/>
        </w:rPr>
        <w:t xml:space="preserve"> — Hub가 경로를 독점하지 않고 여러 전문 사업자가 견적과 품질로 경쟁하게 한다.</w:t>
      </w:r>
    </w:p>
    <w:p>
      <w:pPr>
        <w:spacing w:before="0" w:after="100" w:line="276" w:lineRule="auto"/>
      </w:pPr>
      <w:r>
        <w:rPr>
          <w:rFonts w:ascii="NanumGothic" w:hAnsi="NanumGothic" w:eastAsia="NanumGothic"/>
          <w:b/>
          <w:color w:val="1E244D"/>
          <w:sz w:val="22"/>
        </w:rPr>
        <w:t>④  Assure</w:t>
      </w:r>
      <w:r>
        <w:rPr>
          <w:rFonts w:ascii="NanumGothic" w:hAnsi="NanumGothic" w:eastAsia="NanumGothic"/>
          <w:color w:val="1F2633"/>
          <w:sz w:val="21"/>
        </w:rPr>
        <w:t xml:space="preserve"> — fee escrow, provider bond, 완료 receipt, 객관적 실패보상으로 선택형 확실성을 판매한다.</w:t>
      </w:r>
    </w:p>
    <w:p>
      <w:pPr>
        <w:pStyle w:val="Heading2"/>
        <w:spacing w:before="200" w:after="100" w:line="252" w:lineRule="auto"/>
        <w:keepNext/>
      </w:pPr>
      <w:r>
        <w:rPr>
          <w:rFonts w:ascii="NanumSquare" w:hAnsi="NanumSquare" w:eastAsia="NanumSquare"/>
          <w:b/>
          <w:color w:val="1E244D"/>
          <w:sz w:val="28"/>
        </w:rPr>
        <w:t>2.2 SWIFT + Visa + CLS + IX 비유의 정확한 범위</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47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비교대상</w:t>
            </w:r>
          </w:p>
        </w:tc>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차용할 기능</w:t>
            </w:r>
          </w:p>
        </w:tc>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차용하지 않을 기능</w:t>
            </w:r>
          </w:p>
        </w:tc>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Cosmos Hub 적용</w:t>
            </w:r>
          </w:p>
        </w:tc>
      </w:tr>
      <w:tr>
        <w:trPr>
          <w:cantSplit/>
        </w:trPr>
        <w:tc>
          <w:tcPr>
            <w:tcW w:type="dxa" w:w="147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SWIFT</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표준화된 신뢰 메시징·기관 접속</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고객자금 보관·신용공급</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자산·거래·receipt 메시지 표준</w:t>
            </w:r>
          </w:p>
        </w:tc>
      </w:tr>
      <w:tr>
        <w:trPr>
          <w:cantSplit/>
        </w:trPr>
        <w:tc>
          <w:tcPr>
            <w:tcW w:type="dxa" w:w="147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VisaNet</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다수 참여자 사이 authorization·clearing·settlement coordination</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카드 독점망·폐쇄형 회원규칙</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provider quote·경로선택·완료처리</w:t>
            </w:r>
          </w:p>
        </w:tc>
      </w:tr>
      <w:tr>
        <w:trPr>
          <w:cantSplit/>
        </w:trPr>
        <w:tc>
          <w:tcPr>
            <w:tcW w:type="dxa" w:w="147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CLS</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양쪽 지급 동시성, settlement-risk 완화, netting 원리</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초기단계의 중앙 balance sheet·법정 CCP 역할</w:t>
            </w:r>
          </w:p>
        </w:tc>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장기적으로 원자적 DvP/PvP adapter만 선택 적용</w:t>
            </w:r>
          </w:p>
        </w:tc>
      </w:tr>
      <w:tr>
        <w:trPr>
          <w:cantSplit/>
        </w:trPr>
        <w:tc>
          <w:tcPr>
            <w:tcW w:type="dxa" w:w="147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Internet IX</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독립 네트워크의 중립 접속·비간섭</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transit 사업·콘텐츠 사업</w:t>
            </w:r>
          </w:p>
        </w:tc>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기본 IBC의 개방성 유지, 선택형 프리미엄만 과금</w:t>
            </w:r>
          </w:p>
        </w:tc>
      </w:tr>
    </w:tbl>
    <w:p>
      <w:pPr>
        <w:spacing w:before="0" w:after="20" w:line="283" w:lineRule="auto"/>
      </w:pPr>
    </w:p>
    <w:p>
      <w:pPr>
        <w:spacing w:before="0" w:after="140" w:line="283" w:lineRule="auto"/>
      </w:pPr>
      <w:r>
        <w:rPr>
          <w:rFonts w:ascii="NanumGothic" w:hAnsi="NanumGothic" w:eastAsia="NanumGothic"/>
          <w:color w:val="1F2633"/>
          <w:sz w:val="21"/>
        </w:rPr>
        <w:t>SWIFT는 보안 금융 메시징, VisaNet은 authorization·clearing·settlement 네트워크 서비스, CLS는 PvP와 netting을 통한 결제위험 완화, IXP는 독립 네트워크의 중립적 상호접속을 제공한다. 제안의 목적은 이 기관을 복제하는 것이 아니라 공통분모인 “표준·경로·완료·확실성”을 인터체인 환경에 맞게 추출하는 것이다. [R16] [R17] [R18] [R19] 본 비교는 기능적 유사성을 설명하기 위한 것이며, NICM이 법률상 청산기관·CCP·지급결제기관·보험자 또는 원금보증기관임을 의미하지 않는다.</w:t>
      </w:r>
    </w:p>
    <w:p>
      <w:pPr>
        <w:pStyle w:val="Heading2"/>
        <w:spacing w:before="200" w:after="100" w:line="252" w:lineRule="auto"/>
        <w:keepNext/>
      </w:pPr>
      <w:r>
        <w:rPr>
          <w:rFonts w:ascii="NanumSquare" w:hAnsi="NanumSquare" w:eastAsia="NanumSquare"/>
          <w:b/>
          <w:color w:val="1E244D"/>
          <w:sz w:val="28"/>
        </w:rPr>
        <w:t>2.3 Hub Constitution: 하지 않을 일</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49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금지/제한</w:t>
            </w:r>
          </w:p>
        </w:tc>
        <w:tc>
          <w:tcPr>
            <w:tcW w:type="dxa" w:w="368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이유</w:t>
            </w:r>
          </w:p>
        </w:tc>
        <w:tc>
          <w:tcPr>
            <w:tcW w:type="dxa" w:w="328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대안</w:t>
            </w:r>
          </w:p>
        </w:tc>
      </w:tr>
      <w:tr>
        <w:trPr>
          <w:cantSplit/>
        </w:trPr>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기본 IBC 전송에 강제 통행료</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직접연결·permissionless 구조와 충돌, 우회 유발</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무료 base rail + 선택형 premium</w:t>
            </w:r>
          </w:p>
        </w:tc>
      </w:tr>
      <w:tr>
        <w:trPr>
          <w:cantSplit/>
        </w:trPr>
        <w:tc>
          <w:tcPr>
            <w:tcW w:type="dxa" w:w="249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Hub 자체 DEX·Lending·Perp</w:t>
            </w:r>
          </w:p>
        </w:tc>
        <w:tc>
          <w:tcPr>
            <w:tcW w:type="dxa" w:w="368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Osmosis·Injective 등 고객과 경쟁</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 venue를 provider로 연결</w:t>
            </w:r>
          </w:p>
        </w:tc>
      </w:tr>
      <w:tr>
        <w:trPr>
          <w:cantSplit/>
        </w:trPr>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Hub 자체 stablecoin·RWA 운용</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발행사 중립성·재무위험 훼손</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다수 발행사의 distribution market</w:t>
            </w:r>
          </w:p>
        </w:tc>
      </w:tr>
      <w:tr>
        <w:trPr>
          <w:cantSplit/>
        </w:trPr>
        <w:tc>
          <w:tcPr>
            <w:tcW w:type="dxa" w:w="249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직접 custody·market making</w:t>
            </w:r>
          </w:p>
        </w:tc>
        <w:tc>
          <w:tcPr>
            <w:tcW w:type="dxa" w:w="368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원금·유동성·규제 리스크</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에스크로는 수수료·담보에 한정</w:t>
            </w:r>
          </w:p>
        </w:tc>
      </w:tr>
      <w:tr>
        <w:trPr>
          <w:cantSplit/>
        </w:trPr>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개인정보 KYC 데이터베이스</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프라이버시·규제 집중위험</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 규제사업자의 verifiable attestation</w:t>
            </w:r>
          </w:p>
        </w:tc>
      </w:tr>
      <w:tr>
        <w:trPr>
          <w:cantSplit/>
        </w:trPr>
        <w:tc>
          <w:tcPr>
            <w:tcW w:type="dxa" w:w="249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PMF 전 대형 SDK 모듈</w:t>
            </w:r>
          </w:p>
        </w:tc>
        <w:tc>
          <w:tcPr>
            <w:tcW w:type="dxa" w:w="368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Gaia 복잡도·공격면·업그레이드 부담</w:t>
            </w:r>
          </w:p>
        </w:tc>
        <w:tc>
          <w:tcPr>
            <w:tcW w:type="dxa" w:w="328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계약·서명·CosmWasm MVP 후 승격</w:t>
            </w:r>
          </w:p>
        </w:tc>
      </w:tr>
      <w:tr>
        <w:trPr>
          <w:cantSplit/>
        </w:trPr>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모든 수수료를 ATOM으로 강제</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기관 UX·회계·유동성 저하</w:t>
            </w:r>
          </w:p>
        </w:tc>
        <w:tc>
          <w:tcPr>
            <w:tcW w:type="dxa" w:w="328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선호자산 수취 후 프로토콜 내부 ATOM 매입</w:t>
            </w:r>
          </w:p>
        </w:tc>
      </w:tr>
    </w:tbl>
    <w:p>
      <w:pPr>
        <w:spacing w:before="0" w:after="20" w:line="283" w:lineRule="auto"/>
      </w:pPr>
    </w:p>
    <w:p>
      <w:r>
        <w:br w:type="page"/>
      </w:r>
    </w:p>
    <w:p>
      <w:pPr>
        <w:pStyle w:val="Heading1"/>
        <w:spacing w:before="280" w:after="140" w:line="252" w:lineRule="auto"/>
        <w:keepNext/>
      </w:pPr>
      <w:r>
        <w:rPr>
          <w:rFonts w:ascii="NanumSquare" w:hAnsi="NanumSquare" w:eastAsia="NanumSquare"/>
          <w:b/>
          <w:color w:val="1E244D"/>
          <w:sz w:val="36"/>
        </w:rPr>
        <w:t>3. 제안 아키텍처: Neutral Interchain Coordination Market</w:t>
      </w:r>
    </w:p>
    <w:tbl>
      <w:tblPr>
        <w:tblW w:type="auto" w:w="0"/>
        <w:jc w:val="left"/>
        <w:tblLayout w:type="fixed"/>
        <w:tblLook w:firstColumn="1" w:firstRow="1" w:lastColumn="0" w:lastRow="0" w:noHBand="0" w:noVBand="1" w:val="04A0"/>
      </w:tblPr>
      <w:tblGrid>
        <w:gridCol w:w="9752"/>
      </w:tblGrid>
      <w:tr>
        <w:trPr>
          <w:cantSplit/>
        </w:trPr>
        <w:tc>
          <w:tcPr>
            <w:tcW w:type="dxa" w:w="2551"/>
            <w:shd w:fill="F0EDFF"/>
            <w:tcBorders>
              <w:top w:val="single" w:sz="8" w:color="6F5AE8"/>
              <w:left w:val="single" w:sz="8" w:color="6F5AE8"/>
              <w:bottom w:val="single" w:sz="8" w:color="6F5AE8"/>
              <w:right w:val="single" w:sz="8" w:color="6F5AE8"/>
            </w:tcBorders>
            <w:tcMar>
              <w:top w:w="60" w:type="dxa"/>
              <w:start w:w="110" w:type="dxa"/>
              <w:bottom w:w="60" w:type="dxa"/>
              <w:end w:w="110" w:type="dxa"/>
            </w:tcMar>
          </w:tcPr>
          <w:p>
            <w:pPr>
              <w:spacing w:before="0" w:after="0" w:line="240" w:lineRule="auto"/>
            </w:pPr>
            <w:r>
              <w:rPr>
                <w:rFonts w:ascii="NanumGothic" w:hAnsi="NanumGothic" w:eastAsia="NanumGothic"/>
                <w:b/>
                <w:color w:val="6F5AE8"/>
                <w:sz w:val="18"/>
              </w:rPr>
              <w:t>[신규 제안]</w:t>
            </w:r>
          </w:p>
        </w:tc>
      </w:tr>
    </w:tbl>
    <w:p>
      <w:pPr>
        <w:spacing w:after="0"/>
      </w:pPr>
    </w:p>
    <w:p>
      <w:pPr>
        <w:spacing w:before="0" w:after="40" w:line="240" w:lineRule="auto"/>
        <w:jc w:val="center"/>
      </w:pPr>
      <w:r>
        <w:drawing>
          <wp:inline xmlns:a="http://schemas.openxmlformats.org/drawingml/2006/main" xmlns:pic="http://schemas.openxmlformats.org/drawingml/2006/picture">
            <wp:extent cx="6120000" cy="3570000"/>
            <wp:docPr id="1" name="Picture 1" title="Cosmos Hub Neutral Interchain Coordination Market 아키텍처" descr="자산 발행사·기관·사용자 지갑이 Cosmos Hub의 Connect, Verify, Route Market, Assure, Revenue Vault를 거쳐 서비스 사업자와 외부 체인으로 연결되는 역할 분리 도식."/>
            <wp:cNvGraphicFramePr>
              <a:graphicFrameLocks noChangeAspect="1"/>
            </wp:cNvGraphicFramePr>
            <a:graphic>
              <a:graphicData uri="http://schemas.openxmlformats.org/drawingml/2006/picture">
                <pic:pic>
                  <pic:nvPicPr>
                    <pic:cNvPr id="0" name="architecture.png"/>
                    <pic:cNvPicPr/>
                  </pic:nvPicPr>
                  <pic:blipFill>
                    <a:blip r:embed="rId28"/>
                    <a:stretch>
                      <a:fillRect/>
                    </a:stretch>
                  </pic:blipFill>
                  <pic:spPr>
                    <a:xfrm>
                      <a:off x="0" y="0"/>
                      <a:ext cx="6120000" cy="3570000"/>
                    </a:xfrm>
                    <a:prstGeom prst="rect"/>
                  </pic:spPr>
                </pic:pic>
              </a:graphicData>
            </a:graphic>
          </wp:inline>
        </w:drawing>
      </w:r>
    </w:p>
    <w:p>
      <w:pPr>
        <w:spacing w:before="0" w:after="140" w:line="240" w:lineRule="auto"/>
        <w:jc w:val="center"/>
      </w:pPr>
      <w:r>
        <w:rPr>
          <w:rFonts w:ascii="NanumGothic" w:hAnsi="NanumGothic" w:eastAsia="NanumGothic"/>
          <w:i/>
          <w:color w:val="5B6475"/>
          <w:sz w:val="17"/>
        </w:rPr>
        <w:t>그림 1. 얇은 Hub와 전문 Edge의 역할분리 및 Eureka transport dependency — 본 문서 제안 도식</w:t>
      </w:r>
    </w:p>
    <w:p>
      <w:pPr>
        <w:pStyle w:val="Heading2"/>
        <w:spacing w:before="200" w:after="100" w:line="252" w:lineRule="auto"/>
        <w:keepNext/>
      </w:pPr>
      <w:r>
        <w:rPr>
          <w:rFonts w:ascii="NanumSquare" w:hAnsi="NanumSquare" w:eastAsia="NanumSquare"/>
          <w:b/>
          <w:color w:val="1E244D"/>
          <w:sz w:val="28"/>
        </w:rPr>
        <w:t>3.1 정의</w:t>
      </w:r>
    </w:p>
    <w:p>
      <w:pPr>
        <w:spacing w:before="0" w:after="140" w:line="283" w:lineRule="auto"/>
      </w:pPr>
      <w:r>
        <w:rPr>
          <w:rFonts w:ascii="NanumGothic" w:hAnsi="NanumGothic" w:eastAsia="NanumGothic"/>
          <w:color w:val="1F2633"/>
          <w:sz w:val="21"/>
        </w:rPr>
        <w:t>Neutral Interchain Coordination Market(NICM)은 중앙 거래소나 중앙청산소가 아니다. 독립된 체인과 사업자가 자유롭게 연결되는 IBC 위에 자산 등록, 서명견적, 수수료 에스크로, provider bond, 완료·복구 receipt, protocol revenue metering을 제공하는 선택형 조정시장이다.</w:t>
      </w:r>
    </w:p>
    <w:p>
      <w:pPr>
        <w:spacing w:before="0" w:after="140" w:line="283" w:lineRule="auto"/>
      </w:pPr>
      <w:r>
        <w:rPr>
          <w:rFonts w:ascii="NanumGothic" w:hAnsi="NanumGothic" w:eastAsia="NanumGothic"/>
          <w:color w:val="1F2633"/>
          <w:sz w:val="21"/>
        </w:rPr>
        <w:t>“Coordination”은 거래 지시를 정리하고 provider를 선택하며 결과를 확인해 수수료와 담보의 지급·보상 규칙을 표준화한다는 의미다. NICM은 법률상 청산기관·CCP·지급결제기관·보험자·원금보증기관이 아니며, 고객원금 custody·다자간 netting·신용공여를 MVP 범위에서 제외한다.</w:t>
      </w:r>
    </w:p>
    <w:p>
      <w:pPr>
        <w:pStyle w:val="Heading2"/>
        <w:spacing w:before="200" w:after="100" w:line="252" w:lineRule="auto"/>
        <w:keepNext/>
      </w:pPr>
      <w:r>
        <w:rPr>
          <w:rFonts w:ascii="NanumSquare" w:hAnsi="NanumSquare" w:eastAsia="NanumSquare"/>
          <w:b/>
          <w:color w:val="1E244D"/>
          <w:sz w:val="28"/>
        </w:rPr>
        <w:t>3.2 참여자와 역할</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70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참여자</w:t>
            </w:r>
          </w:p>
        </w:tc>
        <w:tc>
          <w:tcPr>
            <w:tcW w:type="dxa" w:w="260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제공하는 것</w:t>
            </w:r>
          </w:p>
        </w:tc>
        <w:tc>
          <w:tcPr>
            <w:tcW w:type="dxa" w:w="243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얻는 것</w:t>
            </w:r>
          </w:p>
        </w:tc>
        <w:tc>
          <w:tcPr>
            <w:tcW w:type="dxa" w:w="272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Hub가 검증하는 것</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자산 발행사</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유통 인센티브·공식 자산 메타데이터</w:t>
            </w:r>
          </w:p>
        </w:tc>
        <w:tc>
          <w:tcPr>
            <w:tcW w:type="dxa" w:w="243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멀티체인 배포·사용량</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issuer signature·eligible flow</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기관·은행</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대형 주문·SLA 수요</w:t>
            </w:r>
          </w:p>
        </w:tc>
        <w:tc>
          <w:tcPr>
            <w:tcW w:type="dxa" w:w="243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단일 접속·감사 receipt</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접속권한·거래완료</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Router/Wallet</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경로·UX·고객유입</w:t>
            </w:r>
          </w:p>
        </w:tc>
        <w:tc>
          <w:tcPr>
            <w:tcW w:type="dxa" w:w="243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affiliate/orderflow 수익</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서명견적·성과</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Relayer/Prover</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packet 전달·proof</w:t>
            </w:r>
          </w:p>
        </w:tc>
        <w:tc>
          <w:tcPr>
            <w:tcW w:type="dxa" w:w="243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실행수수료</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ack·timeout·가동률</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MM/LP/Fast provider</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즉시 유동성·가격보장</w:t>
            </w:r>
          </w:p>
        </w:tc>
        <w:tc>
          <w:tcPr>
            <w:tcW w:type="dxa" w:w="243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spread·premium</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quote·settlement·bond</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Attestation provider</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KYC/AML/자격 검증결과</w:t>
            </w:r>
          </w:p>
        </w:tc>
        <w:tc>
          <w:tcPr>
            <w:tcW w:type="dxa" w:w="243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검증수수료</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서명·revocation·정책버전</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Cosmos Hub</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registry·escrow·receipt·revenue rules</w:t>
            </w:r>
          </w:p>
        </w:tc>
        <w:tc>
          <w:tcPr>
            <w:tcW w:type="dxa" w:w="243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protocol fee·ATOM 가치기반</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규칙 집행과 투명성</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3.3 최소 코어 데이터 객체</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81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객체</w:t>
            </w:r>
          </w:p>
        </w:tc>
        <w:tc>
          <w:tcPr>
            <w:tcW w:type="dxa" w:w="425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필수 필드 예시</w:t>
            </w:r>
          </w:p>
        </w:tc>
        <w:tc>
          <w:tcPr>
            <w:tcW w:type="dxa" w:w="340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코어에 필요한 이유</w:t>
            </w:r>
          </w:p>
        </w:tc>
      </w:tr>
      <w:tr>
        <w:trPr>
          <w:cantSplit/>
        </w:trPr>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Asset Record</w:t>
            </w:r>
          </w:p>
        </w:tc>
        <w:tc>
          <w:tcPr>
            <w:tcW w:type="dxa" w:w="425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issuer, origin, canonical denom/contract, representations, policy hash</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가짜·중복 자산과 path fragmentation 완화</w:t>
            </w:r>
          </w:p>
        </w:tc>
      </w:tr>
      <w:tr>
        <w:trPr>
          <w:cantSplit/>
        </w:trPr>
        <w:tc>
          <w:tcPr>
            <w:tcW w:type="dxa" w:w="181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Service Provider</w:t>
            </w:r>
          </w:p>
        </w:tc>
        <w:tc>
          <w:tcPr>
            <w:tcW w:type="dxa" w:w="425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operator, service type, bond, endpoints, supported routes</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경쟁시장 진입과 책임주체 명확화</w:t>
            </w:r>
          </w:p>
        </w:tc>
      </w:tr>
      <w:tr>
        <w:trPr>
          <w:cantSplit/>
        </w:trPr>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Signed Quote</w:t>
            </w:r>
          </w:p>
        </w:tc>
        <w:tc>
          <w:tcPr>
            <w:tcW w:type="dxa" w:w="425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amount, asset, route, fee, deadline, SLA, provider signature</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가격비교와 계약조건 고정</w:t>
            </w:r>
          </w:p>
        </w:tc>
      </w:tr>
      <w:tr>
        <w:trPr>
          <w:cantSplit/>
        </w:trPr>
        <w:tc>
          <w:tcPr>
            <w:tcW w:type="dxa" w:w="181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Escrow Record</w:t>
            </w:r>
          </w:p>
        </w:tc>
        <w:tc>
          <w:tcPr>
            <w:tcW w:type="dxa" w:w="425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fee, bond reference, expiry, refund rule</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성공 전 지급 방지</w:t>
            </w:r>
          </w:p>
        </w:tc>
      </w:tr>
      <w:tr>
        <w:trPr>
          <w:cantSplit/>
        </w:trPr>
        <w:tc>
          <w:tcPr>
            <w:tcW w:type="dxa" w:w="181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4"/>
              </w:rPr>
              <w:t>Settlement / Recovery Receipt</w:t>
            </w:r>
          </w:p>
        </w:tc>
        <w:tc>
          <w:tcPr>
            <w:tcW w:type="dxa" w:w="425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source tx, proof/ack, destination tx, route hash, final status, recovery location</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완료·복구·분쟁의 객관적 기준</w:t>
            </w:r>
          </w:p>
        </w:tc>
      </w:tr>
      <w:tr>
        <w:trPr>
          <w:cantSplit/>
        </w:trPr>
        <w:tc>
          <w:tcPr>
            <w:tcW w:type="dxa" w:w="181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Revenue Event</w:t>
            </w:r>
          </w:p>
        </w:tc>
        <w:tc>
          <w:tcPr>
            <w:tcW w:type="dxa" w:w="425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gross fee, provider share, reserve, ATOM purchase</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ATOM 귀속의 투명성</w:t>
            </w:r>
          </w:p>
        </w:tc>
      </w:tr>
    </w:tbl>
    <w:tbl>
      <w:tblPr>
        <w:tblW w:type="auto" w:w="0"/>
        <w:jc w:val="center"/>
        <w:tblLayout w:type="fixed"/>
        <w:tblLook w:firstColumn="1" w:firstRow="1" w:lastColumn="0" w:lastRow="0" w:noHBand="0" w:noVBand="1" w:val="04A0"/>
      </w:tblPr>
      <w:tblGrid>
        <w:gridCol w:w="9752"/>
      </w:tblGrid>
      <w:tr>
        <w:tc>
          <w:tcPr>
            <w:tcW w:type="dxa" w:w="9648"/>
            <w:tcMar>
              <w:top w:w="100" w:type="dxa"/>
              <w:start w:w="120" w:type="dxa"/>
              <w:bottom w:w="100" w:type="dxa"/>
              <w:end w:w="120" w:type="dxa"/>
            </w:tcMar>
            <w:tcBorders>
              <w:top w:val="single" w:sz="12" w:color="2D6FD2"/>
              <w:left w:val="single" w:sz="12" w:color="2D6FD2"/>
              <w:bottom w:val="single" w:sz="12" w:color="2D6FD2"/>
              <w:right w:val="single" w:sz="12" w:color="2D6FD2"/>
            </w:tcBorders>
            <w:shd w:fill="F5F7FC"/>
            <w:vAlign w:val="center"/>
          </w:tcPr>
          <w:p>
            <w:pPr>
              <w:spacing w:after="0" w:before="0" w:line="252" w:lineRule="auto"/>
            </w:pPr>
            <w:r>
              <w:rPr>
                <w:rFonts w:ascii="NanumSquare" w:hAnsi="NanumSquare" w:eastAsia="NanumSquare"/>
                <w:b/>
                <w:color w:val="1E244D"/>
                <w:sz w:val="15"/>
              </w:rPr>
              <w:t>Receipt FINAL_STATUS</w:t>
            </w:r>
            <w:r>
              <w:rPr>
                <w:rFonts w:ascii="NanumGothic" w:hAnsi="NanumGothic" w:eastAsia="NanumGothic"/>
                <w:color w:val="1E244D"/>
                <w:sz w:val="14"/>
              </w:rPr>
              <w:br/>
              <w:t>COMPLETED / REFUNDED_TO_SOURCE / RECOVERED_AT_SWAP_CHAIN / RECOVERED_AT_INTERMEDIATE / COMPENSATION_PENDING / MANUAL_RECOVERY_REQUIRED / EXEMPT_EXTERNAL_EVENT / UNRESOLVED</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4. BM 1 — Interchain Asset Distribution Market</w:t>
      </w:r>
    </w:p>
    <w:tbl>
      <w:tblPr>
        <w:tblW w:type="auto" w:w="0"/>
        <w:jc w:val="left"/>
        <w:tblLayout w:type="fixed"/>
        <w:tblLook w:firstColumn="1" w:firstRow="1" w:lastColumn="0" w:lastRow="0" w:noHBand="0" w:noVBand="1" w:val="04A0"/>
      </w:tblPr>
      <w:tblGrid>
        <w:gridCol w:w="9752"/>
      </w:tblGrid>
      <w:tr>
        <w:trPr>
          <w:cantSplit/>
        </w:trPr>
        <w:tc>
          <w:tcPr>
            <w:tcW w:type="dxa" w:w="2551"/>
            <w:shd w:fill="ECF7F0"/>
            <w:tcBorders>
              <w:top w:val="single" w:sz="8" w:color="25885A"/>
              <w:left w:val="single" w:sz="8" w:color="25885A"/>
              <w:bottom w:val="single" w:sz="8" w:color="25885A"/>
              <w:right w:val="single" w:sz="8" w:color="25885A"/>
            </w:tcBorders>
            <w:tcMar>
              <w:top w:w="60" w:type="dxa"/>
              <w:start w:w="110" w:type="dxa"/>
              <w:bottom w:w="60" w:type="dxa"/>
              <w:end w:w="110" w:type="dxa"/>
            </w:tcMar>
            <w:vAlign w:val="center"/>
          </w:tcPr>
          <w:p>
            <w:pPr>
              <w:spacing w:before="0" w:after="0" w:line="252" w:lineRule="auto"/>
            </w:pPr>
            <w:r>
              <w:rPr>
                <w:rFonts w:ascii="NanumGothic" w:hAnsi="NanumGothic" w:eastAsia="NanumGothic"/>
                <w:color w:val="1E244D"/>
                <w:sz w:val="14"/>
              </w:rPr>
              <w:t>[최우선 제안 · 계약상 수익경로 확장]</w:t>
            </w:r>
          </w:p>
        </w:tc>
      </w:tr>
    </w:tbl>
    <w:p>
      <w:pPr>
        <w:spacing w:after="0"/>
      </w:pPr>
    </w:p>
    <w:p>
      <w:pPr>
        <w:pStyle w:val="Heading2"/>
        <w:spacing w:before="200" w:after="100" w:line="252" w:lineRule="auto"/>
        <w:keepNext/>
      </w:pPr>
      <w:r>
        <w:rPr>
          <w:rFonts w:ascii="NanumSquare" w:hAnsi="NanumSquare" w:eastAsia="NanumSquare"/>
          <w:b/>
          <w:color w:val="1E244D"/>
          <w:sz w:val="28"/>
        </w:rPr>
        <w:t>4.1 고객 문제</w:t>
      </w:r>
    </w:p>
    <w:p>
      <w:pPr>
        <w:spacing w:before="0" w:after="140" w:line="283" w:lineRule="auto"/>
      </w:pPr>
      <w:r>
        <w:rPr>
          <w:rFonts w:ascii="NanumGothic" w:hAnsi="NanumGothic" w:eastAsia="NanumGothic"/>
          <w:color w:val="1F2633"/>
          <w:sz w:val="21"/>
        </w:rPr>
        <w:t>Stablecoin·토큰화 MMF·채권·예금·주식 발행사는 자산을 여러 체인에 배포하고 싶지만, 체인별 통합·지갑 노출·유동성·canonical representation·compliance 정보를 각각 협상해야 한다. 공식 Hub팀 역시 토큰화 자산이 발행체인에 고립되고 배포가 부족하다는 문제를 우선 검증 대상으로 제시했다.</w:t>
      </w:r>
      <w:r>
        <w:t xml:space="preserve"> </w:t>
      </w:r>
      <w:hyperlink r:id="rId11">
        <w:r>
          <w:rPr>
            <w:rFonts w:ascii="NanumGothic" w:hAnsi="NanumGothic" w:eastAsia="NanumGothic"/>
            <w:color w:val="6F5AE8"/>
            <w:sz w:val="17"/>
            <w:b/>
          </w:rPr>
          <w:t>[R1]</w:t>
        </w:r>
      </w:hyperlink>
    </w:p>
    <w:p>
      <w:pPr>
        <w:pStyle w:val="Heading2"/>
        <w:spacing w:before="200" w:after="100" w:line="252" w:lineRule="auto"/>
        <w:keepNext/>
      </w:pPr>
      <w:r>
        <w:rPr>
          <w:rFonts w:ascii="NanumSquare" w:hAnsi="NanumSquare" w:eastAsia="NanumSquare"/>
          <w:b/>
          <w:color w:val="1E244D"/>
          <w:sz w:val="28"/>
        </w:rPr>
        <w:t>4.2 작동 구조</w:t>
      </w:r>
    </w:p>
    <w:p>
      <w:pPr>
        <w:spacing w:before="0" w:after="100" w:line="276" w:lineRule="auto"/>
      </w:pPr>
      <w:r>
        <w:rPr>
          <w:rFonts w:ascii="NanumGothic" w:hAnsi="NanumGothic" w:eastAsia="NanumGothic"/>
          <w:b/>
          <w:color w:val="1E244D"/>
          <w:sz w:val="22"/>
        </w:rPr>
        <w:t>①  Campaign</w:t>
      </w:r>
      <w:r>
        <w:rPr>
          <w:rFonts w:ascii="NanumGothic" w:hAnsi="NanumGothic" w:eastAsia="NanumGothic"/>
          <w:color w:val="1F2633"/>
          <w:sz w:val="21"/>
        </w:rPr>
        <w:t xml:space="preserve"> — 발행사가 대상 체인·지갑·기간·KPI·인센티브 풀을 등록한다.</w:t>
      </w:r>
    </w:p>
    <w:p>
      <w:pPr>
        <w:spacing w:before="0" w:after="100" w:line="276" w:lineRule="auto"/>
      </w:pPr>
      <w:r>
        <w:rPr>
          <w:rFonts w:ascii="NanumGothic" w:hAnsi="NanumGothic" w:eastAsia="NanumGothic"/>
          <w:b/>
          <w:color w:val="1E244D"/>
          <w:sz w:val="22"/>
        </w:rPr>
        <w:t>②  Open Enrollment</w:t>
      </w:r>
      <w:r>
        <w:rPr>
          <w:rFonts w:ascii="NanumGothic" w:hAnsi="NanumGothic" w:eastAsia="NanumGothic"/>
          <w:color w:val="1F2633"/>
          <w:sz w:val="21"/>
        </w:rPr>
        <w:t xml:space="preserve"> — 지갑, chain, router, LP, integrator가 공개 조건으로 참여한다.</w:t>
      </w:r>
    </w:p>
    <w:p>
      <w:pPr>
        <w:spacing w:before="0" w:after="100" w:line="276" w:lineRule="auto"/>
      </w:pPr>
      <w:r>
        <w:rPr>
          <w:rFonts w:ascii="NanumGothic" w:hAnsi="NanumGothic" w:eastAsia="NanumGothic"/>
          <w:b/>
          <w:color w:val="1E244D"/>
          <w:sz w:val="22"/>
        </w:rPr>
        <w:t>③ Verified Attribution — Mintscan/indexer와 on-chain receipt가 baseline 대비 incremental time-weighted balance, verified active holder, canonical route 비중, 조정된 유동성 깊이, 30·60·90일 retention을 측정한다.</w:t>
      </w:r>
    </w:p>
    <w:p>
      <w:pPr>
        <w:spacing w:before="0" w:after="100" w:line="276" w:lineRule="auto"/>
      </w:pPr>
      <w:r>
        <w:rPr>
          <w:rFonts w:ascii="NanumGothic" w:hAnsi="NanumGothic" w:eastAsia="NanumGothic"/>
          <w:b/>
          <w:color w:val="1E244D"/>
          <w:sz w:val="22"/>
        </w:rPr>
        <w:t>④  Payout</w:t>
      </w:r>
      <w:r>
        <w:rPr>
          <w:rFonts w:ascii="NanumGothic" w:hAnsi="NanumGothic" w:eastAsia="NanumGothic"/>
          <w:color w:val="1F2633"/>
          <w:sz w:val="21"/>
        </w:rPr>
        <w:t xml:space="preserve"> — 발행사 인센티브를 실적에 따라 provider에게 배분하고 Hub가 protocol share를 취득한다.</w:t>
      </w:r>
    </w:p>
    <w:p>
      <w:pPr>
        <w:spacing w:before="0" w:after="100" w:line="276" w:lineRule="auto"/>
      </w:pPr>
      <w:r>
        <w:rPr>
          <w:rFonts w:ascii="NanumGothic" w:hAnsi="NanumGothic" w:eastAsia="NanumGothic"/>
          <w:b/>
          <w:color w:val="1E244D"/>
          <w:sz w:val="22"/>
        </w:rPr>
        <w:t>⑤  ATOM Accrual</w:t>
      </w:r>
      <w:r>
        <w:rPr>
          <w:rFonts w:ascii="NanumGothic" w:hAnsi="NanumGothic" w:eastAsia="NanumGothic"/>
          <w:color w:val="1F2633"/>
          <w:sz w:val="21"/>
        </w:rPr>
        <w:t xml:space="preserve"> — Hub 몫은 Revenue Vault로 들어가 ATOM buyback·Community Pool·assurance reserve에 투명하게 배분한다.</w:t>
      </w:r>
    </w:p>
    <w:p>
      <w:pPr>
        <w:pStyle w:val="Heading3"/>
      </w:pPr>
      <w:r>
        <w:rPr>
          <w:rFonts w:ascii="NanumSquare" w:hAnsi="NanumSquare" w:eastAsia="NanumSquare"/>
        </w:rPr>
        <w:t>4.2.1 Distribution Attribution 조작방지 규칙</w:t>
      </w:r>
    </w:p>
    <w:tbl>
      <w:tblPr>
        <w:tblW w:type="auto" w:w="0"/>
        <w:jc w:val="center"/>
        <w:tblLayout w:type="fixed"/>
        <w:tblLook w:firstColumn="1" w:firstRow="1" w:lastColumn="0" w:lastRow="0" w:noHBand="0" w:noVBand="1" w:val="04A0"/>
      </w:tblPr>
      <w:tblGrid>
        <w:gridCol w:w="4876"/>
        <w:gridCol w:w="4876"/>
      </w:tblGrid>
      <w:tr>
        <w:trPr>
          <w:cantSplit/>
          <w:tblHeader w:val="true"/>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규칙</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적용</w:t>
            </w:r>
          </w:p>
        </w:tc>
      </w:tr>
      <w:tr>
        <w:trPr>
          <w:cantSplit/>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Baseline</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캠페인 전 baseline 대비 incremental balance만 산정</w:t>
            </w:r>
          </w:p>
        </w:tc>
      </w:tr>
      <w:tr>
        <w:trPr>
          <w:cantSplit/>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Time weighting</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단순 기말잔고가 아니라 time-weighted average balance 사용</w:t>
            </w:r>
          </w:p>
        </w:tc>
      </w:tr>
      <w:tr>
        <w:trPr>
          <w:cantSplit/>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Retention</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30·60·90일 잔존 사용자·잔고 측정</w:t>
            </w:r>
          </w:p>
        </w:tc>
      </w:tr>
      <w:tr>
        <w:trPr>
          <w:cantSplit/>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Related-party exclusion</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자기전송·순환전송·관계사 주소 제외</w:t>
            </w:r>
          </w:p>
        </w:tc>
      </w:tr>
      <w:tr>
        <w:trPr>
          <w:cantSplit/>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Flow haircut</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캠페인 종료 전 급격한 유입·유출에 haircut 적용</w:t>
            </w:r>
          </w:p>
        </w:tc>
      </w:tr>
      <w:tr>
        <w:trPr>
          <w:cantSplit/>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No double attribution</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동일 자산·동일 활동의 중복 attribution 금지</w:t>
            </w:r>
          </w:p>
        </w:tc>
      </w:tr>
      <w:tr>
        <w:trPr>
          <w:cantSplit/>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Deferred payout</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성과보상 일부 후지급 및 clawback 적용</w:t>
            </w:r>
          </w:p>
        </w:tc>
      </w:tr>
      <w:tr>
        <w:trPr>
          <w:cantSplit/>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Address disclosure</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발행사·provider 관계주소 사전 신고</w:t>
            </w:r>
          </w:p>
        </w:tc>
      </w:tr>
      <w:tr>
        <w:trPr>
          <w:cantSplit/>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Independent verification</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제3자 indexer 또는 auditor 검증</w:t>
            </w:r>
          </w:p>
        </w:tc>
      </w:tr>
      <w:tr>
        <w:trPr>
          <w:cantSplit/>
        </w:trPr>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Reproducibility</w:t>
            </w:r>
          </w:p>
        </w:tc>
        <w:tc>
          <w:tcPr>
            <w:tcW w:type="dxa" w:w="7236"/>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KPI 계산코드와 버전 공개</w:t>
            </w:r>
          </w:p>
        </w:tc>
      </w:tr>
    </w:tbl>
    <w:p>
      <w:pPr>
        <w:pStyle w:val="Heading2"/>
        <w:spacing w:before="200" w:after="100" w:line="252" w:lineRule="auto"/>
        <w:keepNext/>
      </w:pPr>
      <w:r>
        <w:rPr>
          <w:rFonts w:ascii="NanumSquare" w:hAnsi="NanumSquare" w:eastAsia="NanumSquare"/>
          <w:b/>
          <w:color w:val="1E244D"/>
          <w:sz w:val="28"/>
        </w:rPr>
        <w:t>4.3 가격·수익모델</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04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항목</w:t>
            </w:r>
          </w:p>
        </w:tc>
        <w:tc>
          <w:tcPr>
            <w:tcW w:type="dxa" w:w="374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권장 방식</w:t>
            </w:r>
          </w:p>
        </w:tc>
        <w:tc>
          <w:tcPr>
            <w:tcW w:type="dxa" w:w="368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비고</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Campaign setup</w:t>
            </w:r>
          </w:p>
        </w:tc>
        <w:tc>
          <w:tcPr>
            <w:tcW w:type="dxa" w:w="374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고정 심사/통합비 또는 발행사 부담</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초기 기술·법률 비용 회수</w:t>
            </w:r>
          </w:p>
        </w:tc>
      </w:tr>
      <w:tr>
        <w:trPr>
          <w:cantSplit/>
        </w:trPr>
        <w:tc>
          <w:tcPr>
            <w:tcW w:type="dxa" w:w="204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Distribution incentive</w:t>
            </w:r>
          </w:p>
        </w:tc>
        <w:tc>
          <w:tcPr>
            <w:tcW w:type="dxa" w:w="374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발행사가 조성한 성과형 풀; 일부 후지급·clawback</w:t>
            </w:r>
          </w:p>
        </w:tc>
        <w:tc>
          <w:tcPr>
            <w:tcW w:type="dxa" w:w="368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유통량이 아니라 질적 KPI 포함</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Hub protocol share</w:t>
            </w:r>
          </w:p>
        </w:tc>
        <w:tc>
          <w:tcPr>
            <w:tcW w:type="dxa" w:w="374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실제 지급 인센티브의 10~20% 범위에서 검증</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첫 단계는 경쟁입찰로 price discovery</w:t>
            </w:r>
          </w:p>
        </w:tc>
      </w:tr>
      <w:tr>
        <w:trPr>
          <w:cantSplit/>
        </w:trPr>
        <w:tc>
          <w:tcPr>
            <w:tcW w:type="dxa" w:w="204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Provider payout</w:t>
            </w:r>
          </w:p>
        </w:tc>
        <w:tc>
          <w:tcPr>
            <w:tcW w:type="dxa" w:w="374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지갑·chain·LP·router에 검증 실적별 배분</w:t>
            </w:r>
          </w:p>
        </w:tc>
        <w:tc>
          <w:tcPr>
            <w:tcW w:type="dxa" w:w="368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독점 파트너 방지</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Registry/analytics</w:t>
            </w:r>
          </w:p>
        </w:tc>
        <w:tc>
          <w:tcPr>
            <w:tcW w:type="dxa" w:w="374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기본 공개, 기관형 리포트 유료</w:t>
            </w:r>
          </w:p>
        </w:tc>
        <w:tc>
          <w:tcPr>
            <w:tcW w:type="dxa" w:w="368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Mintscan을 투명성 레이어로 활용</w:t>
            </w:r>
          </w:p>
        </w:tc>
      </w:tr>
    </w:tbl>
    <w:p>
      <w:pPr>
        <w:spacing w:before="0" w:after="20" w:line="283" w:lineRule="auto"/>
      </w:pPr>
    </w:p>
    <w:p>
      <w:pPr>
        <w:spacing w:before="0" w:after="100" w:line="259" w:lineRule="auto"/>
      </w:pPr>
      <w:r>
        <w:rPr>
          <w:rFonts w:ascii="NanumGothic" w:hAnsi="NanumGothic" w:eastAsia="NanumGothic"/>
          <w:i/>
          <w:color w:val="5B6475"/>
          <w:sz w:val="17"/>
        </w:rPr>
        <w:t>주의: 10~20%는 권고 시작범위이며 확정 가격이 아니다. 초기 2~3개 캠페인에서 발행사 willingness-to-pay와 provider 공급을 검증해야 한다.</w:t>
      </w:r>
    </w:p>
    <w:p>
      <w:pPr>
        <w:pStyle w:val="Heading2"/>
        <w:spacing w:before="200" w:after="100" w:line="252" w:lineRule="auto"/>
        <w:keepNext/>
      </w:pPr>
      <w:r>
        <w:rPr>
          <w:rFonts w:ascii="NanumSquare" w:hAnsi="NanumSquare" w:eastAsia="NanumSquare"/>
          <w:b/>
          <w:color w:val="1E244D"/>
          <w:sz w:val="28"/>
        </w:rPr>
        <w:t>4.4 왜 이것이 첫 제품이어야 하는가</w:t>
      </w:r>
    </w:p>
    <w:p>
      <w:pPr>
        <w:pStyle w:val="ListBullet"/>
        <w:spacing w:before="0" w:after="60" w:line="269" w:lineRule="auto"/>
        <w:ind w:left="340" w:hanging="170"/>
      </w:pPr>
      <w:r>
        <w:rPr>
          <w:rFonts w:ascii="NanumGothic" w:hAnsi="NanumGothic" w:eastAsia="NanumGothic"/>
          <w:color w:val="1F2633"/>
          <w:sz w:val="21"/>
        </w:rPr>
        <w:t>Injective USDC의 발행사 경제→Hub→ATOM 연결 구조가 계약상 커밋돼 공식 발표됐다. 실제 반복수익·ATOM 매입·Community Pool 귀속은 Revenue Dashboard에서 별도 검증한다. [R3] [R12]</w:t>
      </w:r>
    </w:p>
    <w:p>
      <w:pPr>
        <w:pStyle w:val="ListBullet"/>
        <w:spacing w:before="0" w:after="60" w:line="269" w:lineRule="auto"/>
        <w:ind w:left="340" w:hanging="170"/>
      </w:pPr>
      <w:r>
        <w:rPr>
          <w:rFonts w:ascii="NanumGothic" w:hAnsi="NanumGothic" w:eastAsia="NanumGothic"/>
          <w:color w:val="1F2633"/>
          <w:sz w:val="21"/>
        </w:rPr>
        <w:t>Hub 공식팀의 현재 우선순위인 issuance·distribution·access 문제와 직접 정렬된다.</w:t>
      </w:r>
      <w:r>
        <w:t xml:space="preserve"> </w:t>
      </w:r>
      <w:hyperlink r:id="rId11">
        <w:r>
          <w:rPr>
            <w:rFonts w:ascii="NanumGothic" w:hAnsi="NanumGothic" w:eastAsia="NanumGothic"/>
            <w:color w:val="6F5AE8"/>
            <w:sz w:val="17"/>
            <w:b/>
          </w:rPr>
          <w:t>[R1]</w:t>
        </w:r>
      </w:hyperlink>
    </w:p>
    <w:p>
      <w:pPr>
        <w:pStyle w:val="ListBullet"/>
        <w:spacing w:before="0" w:after="60" w:line="269" w:lineRule="auto"/>
        <w:ind w:left="340" w:hanging="170"/>
      </w:pPr>
      <w:r>
        <w:rPr>
          <w:rFonts w:ascii="NanumGothic" w:hAnsi="NanumGothic" w:eastAsia="NanumGothic"/>
          <w:color w:val="1F2633"/>
          <w:sz w:val="21"/>
        </w:rPr>
        <w:t>Hub가 자산을 직접 발행·운용하지 않아 중립성 훼손이 작다.</w:t>
      </w:r>
    </w:p>
    <w:p>
      <w:pPr>
        <w:pStyle w:val="ListBullet"/>
        <w:spacing w:before="0" w:after="60" w:line="269" w:lineRule="auto"/>
        <w:ind w:left="340" w:hanging="170"/>
      </w:pPr>
      <w:r>
        <w:rPr>
          <w:rFonts w:ascii="NanumGothic" w:hAnsi="NanumGothic" w:eastAsia="NanumGothic"/>
          <w:color w:val="1F2633"/>
          <w:sz w:val="21"/>
        </w:rPr>
        <w:t>거래보장·SLA보다 법적·기술적 범위가 좁아 빠른 MVP가 가능하다.</w:t>
      </w:r>
    </w:p>
    <w:p>
      <w:pPr>
        <w:pStyle w:val="ListBullet"/>
        <w:spacing w:before="0" w:after="60" w:line="269" w:lineRule="auto"/>
        <w:ind w:left="340" w:hanging="170"/>
      </w:pPr>
      <w:r>
        <w:rPr>
          <w:rFonts w:ascii="NanumGothic" w:hAnsi="NanumGothic" w:eastAsia="NanumGothic"/>
          <w:color w:val="1F2633"/>
          <w:sz w:val="21"/>
        </w:rPr>
        <w:t>Mintscan·Skip Go·Eureka를 각각 데이터·접근·운송 레이어로 활용할 수 있다.</w:t>
      </w:r>
      <w:r>
        <w:t xml:space="preserve"> </w:t>
      </w:r>
      <w:hyperlink r:id="rId11">
        <w:r>
          <w:rPr>
            <w:rFonts w:ascii="NanumGothic" w:hAnsi="NanumGothic" w:eastAsia="NanumGothic"/>
            <w:color w:val="6F5AE8"/>
            <w:sz w:val="17"/>
            <w:b/>
          </w:rPr>
          <w:t>[R1]</w:t>
        </w:r>
      </w:hyperlink>
      <w:r>
        <w:t xml:space="preserve"> </w:t>
      </w:r>
      <w:hyperlink r:id="rId23">
        <w:r>
          <w:rPr>
            <w:rFonts w:ascii="NanumGothic" w:hAnsi="NanumGothic" w:eastAsia="NanumGothic"/>
            <w:color w:val="6F5AE8"/>
            <w:sz w:val="17"/>
            <w:b/>
          </w:rPr>
          <w:t>[R4]</w:t>
        </w:r>
      </w:hyperlink>
    </w:p>
    <w:tbl>
      <w:tblPr>
        <w:tblW w:type="auto" w:w="0"/>
        <w:jc w:val="center"/>
        <w:tblLayout w:type="autofit"/>
        <w:tblLook w:firstColumn="1" w:firstRow="1" w:lastColumn="0" w:lastRow="0" w:noHBand="0" w:noVBand="1" w:val="04A0"/>
      </w:tblPr>
      <w:tblGrid>
        <w:gridCol w:w="9752"/>
      </w:tblGrid>
      <w:tr>
        <w:trPr>
          <w:cantSplit/>
        </w:trPr>
        <w:tc>
          <w:tcPr>
            <w:tcW w:type="dxa" w:w="9752"/>
            <w:shd w:fill="ECF7F0"/>
            <w:tcBorders>
              <w:top w:val="single" w:sz="12" w:color="25885A"/>
              <w:left w:val="single" w:sz="12" w:color="25885A"/>
              <w:bottom w:val="single" w:sz="12" w:color="25885A"/>
              <w:right w:val="single" w:sz="12" w:color="25885A"/>
            </w:tcBorders>
            <w:tcMar>
              <w:top w:w="150" w:type="dxa"/>
              <w:start w:w="180" w:type="dxa"/>
              <w:bottom w:w="150" w:type="dxa"/>
              <w:end w:w="180" w:type="dxa"/>
            </w:tcMar>
            <w:vAlign w:val="center"/>
          </w:tcPr>
          <w:p>
            <w:pPr>
              <w:spacing w:before="0" w:after="0" w:line="252" w:lineRule="auto"/>
            </w:pPr>
            <w:r>
              <w:rPr>
                <w:rFonts w:ascii="NanumSquare" w:hAnsi="NanumSquare" w:eastAsia="NanumSquare"/>
                <w:b/>
                <w:color w:val="1E244D"/>
                <w:sz w:val="15"/>
              </w:rPr>
              <w:t>MVP 권장 범위</w:t>
            </w:r>
            <w:r>
              <w:rPr>
                <w:rFonts w:ascii="NanumGothic" w:hAnsi="NanumGothic" w:eastAsia="NanumGothic"/>
                <w:color w:val="1E244D"/>
                <w:sz w:val="14"/>
              </w:rPr>
              <w:br/>
              <w:t>자산 1~2개(Injective USDC 포함), 목적지 3~5개 체인, 지갑·DEX·router 5~10개 사업자, 90일 캠페인. KPI는 baseline 대비 incremental time-weighted balance, verified active holder, canonical route 비중, 조정된 유동성 깊이, 30·60·90일 retention, wash-transfer exclusion rate로 한정한다.</w:t>
            </w:r>
          </w:p>
        </w:tc>
      </w:tr>
    </w:tbl>
    <w:p>
      <w:pPr>
        <w:spacing w:after="40"/>
      </w:pPr>
    </w:p>
    <w:p>
      <w:pPr>
        <w:pStyle w:val="Heading1"/>
        <w:spacing w:before="280" w:after="140" w:line="252" w:lineRule="auto"/>
        <w:keepNext/>
      </w:pPr>
      <w:r>
        <w:rPr>
          <w:rFonts w:ascii="NanumSquare" w:hAnsi="NanumSquare" w:eastAsia="NanumSquare"/>
          <w:b/>
          <w:color w:val="1E244D"/>
          <w:sz w:val="36"/>
        </w:rPr>
        <w:t>5. BM 2 — Assured Interchain Delivery SLA Market</w:t>
      </w:r>
    </w:p>
    <w:tbl>
      <w:tblPr>
        <w:tblW w:type="auto" w:w="0"/>
        <w:jc w:val="left"/>
        <w:tblLayout w:type="fixed"/>
        <w:tblLook w:firstColumn="1" w:firstRow="1" w:lastColumn="0" w:lastRow="0" w:noHBand="0" w:noVBand="1" w:val="04A0"/>
      </w:tblPr>
      <w:tblGrid>
        <w:gridCol w:w="9752"/>
      </w:tblGrid>
      <w:tr>
        <w:trPr>
          <w:cantSplit/>
        </w:trPr>
        <w:tc>
          <w:tcPr>
            <w:tcW w:type="dxa" w:w="2551"/>
            <w:shd w:fill="FFF4E8"/>
            <w:tcBorders>
              <w:top w:val="single" w:sz="8" w:color="D97A2B"/>
              <w:left w:val="single" w:sz="8" w:color="D97A2B"/>
              <w:bottom w:val="single" w:sz="8" w:color="D97A2B"/>
              <w:right w:val="single" w:sz="8" w:color="D97A2B"/>
            </w:tcBorders>
            <w:tcMar>
              <w:top w:w="60" w:type="dxa"/>
              <w:start w:w="110" w:type="dxa"/>
              <w:bottom w:w="60" w:type="dxa"/>
              <w:end w:w="110" w:type="dxa"/>
            </w:tcMar>
          </w:tcPr>
          <w:p>
            <w:pPr>
              <w:spacing w:before="0" w:after="0" w:line="240" w:lineRule="auto"/>
            </w:pPr>
            <w:r>
              <w:rPr>
                <w:rFonts w:ascii="NanumGothic" w:hAnsi="NanumGothic" w:eastAsia="NanumGothic"/>
                <w:b/>
                <w:color w:val="D97A2B"/>
                <w:sz w:val="18"/>
              </w:rPr>
              <w:t>[2단계 제안]</w:t>
            </w:r>
          </w:p>
        </w:tc>
      </w:tr>
    </w:tbl>
    <w:p>
      <w:pPr>
        <w:spacing w:after="0"/>
      </w:pPr>
    </w:p>
    <w:p>
      <w:pPr>
        <w:spacing w:before="0" w:after="40" w:line="240" w:lineRule="auto"/>
        <w:jc w:val="center"/>
      </w:pPr>
      <w:r>
        <w:drawing>
          <wp:inline xmlns:a="http://schemas.openxmlformats.org/drawingml/2006/main" xmlns:pic="http://schemas.openxmlformats.org/drawingml/2006/picture">
            <wp:extent cx="6120000" cy="2720000"/>
            <wp:docPr id="2" name="Picture 2" title="Assured Interchain Delivery SLA 거래 흐름" descr="요청, 견적, 선택·담보, 실행, 완료증명, Recovery State, 지급·보상·복구의 일곱 단계로 구성된 Assured Interchain Delivery SLA 흐름."/>
            <wp:cNvGraphicFramePr>
              <a:graphicFrameLocks noChangeAspect="1"/>
            </wp:cNvGraphicFramePr>
            <a:graphic>
              <a:graphicData uri="http://schemas.openxmlformats.org/drawingml/2006/picture">
                <pic:pic>
                  <pic:nvPicPr>
                    <pic:cNvPr id="0" name="flow.png"/>
                    <pic:cNvPicPr/>
                  </pic:nvPicPr>
                  <pic:blipFill>
                    <a:blip r:embed="rId29"/>
                    <a:stretch>
                      <a:fillRect/>
                    </a:stretch>
                  </pic:blipFill>
                  <pic:spPr>
                    <a:xfrm>
                      <a:off x="0" y="0"/>
                      <a:ext cx="6120000" cy="2720000"/>
                    </a:xfrm>
                    <a:prstGeom prst="rect"/>
                  </pic:spPr>
                </pic:pic>
              </a:graphicData>
            </a:graphic>
          </wp:inline>
        </w:drawing>
      </w:r>
    </w:p>
    <w:p>
      <w:pPr>
        <w:spacing w:before="0" w:after="140" w:line="240" w:lineRule="auto"/>
        <w:jc w:val="center"/>
      </w:pPr>
      <w:r>
        <w:rPr>
          <w:rFonts w:ascii="NanumGothic" w:hAnsi="NanumGothic" w:eastAsia="NanumGothic"/>
          <w:i/>
          <w:color w:val="5B6475"/>
          <w:sz w:val="17"/>
        </w:rPr>
        <w:t>그림 2. Assured Interchain Delivery의 견적·담보·완료·복구 흐름 — 본 문서 제안 도식</w:t>
      </w:r>
    </w:p>
    <w:p>
      <w:pPr>
        <w:pStyle w:val="Heading2"/>
        <w:spacing w:before="200" w:after="100" w:line="252" w:lineRule="auto"/>
        <w:keepNext/>
      </w:pPr>
      <w:r>
        <w:rPr>
          <w:rFonts w:ascii="NanumSquare" w:hAnsi="NanumSquare" w:eastAsia="NanumSquare"/>
          <w:b/>
          <w:color w:val="1E244D"/>
          <w:sz w:val="28"/>
        </w:rPr>
        <w:t>5.1 기본 전송과 프리미엄 서비스의 분리</w:t>
      </w:r>
    </w:p>
    <w:p>
      <w:pPr>
        <w:spacing w:before="0" w:after="140" w:line="283" w:lineRule="auto"/>
      </w:pPr>
      <w:r>
        <w:rPr>
          <w:rFonts w:ascii="NanumGothic" w:hAnsi="NanumGothic" w:eastAsia="NanumGothic"/>
          <w:color w:val="1F2633"/>
          <w:sz w:val="21"/>
        </w:rPr>
        <w:t>기본 IBC 전송은 계속 직접·permissionless로 사용할 수 있어야 한다. 유료 상품은 “전송권”이 아니라 가격비교, 확정 quote, 예상완료시간, 단일 추적, 지원 경로의 자동 환불·복구, 제한적 SLA 보상, 감사 receipt를 묶은 선택형 서비스다. IXP가 interconnection을 제공하되 트래픽 내용에 간섭하지 않는 원칙과 유사하다. [R6] [R19] [R21]</w:t>
      </w:r>
    </w:p>
    <w:p>
      <w:pPr>
        <w:pStyle w:val="Heading2"/>
        <w:spacing w:before="200" w:after="100" w:line="252" w:lineRule="auto"/>
        <w:keepNext/>
      </w:pPr>
      <w:r>
        <w:rPr>
          <w:rFonts w:ascii="NanumSquare" w:hAnsi="NanumSquare" w:eastAsia="NanumSquare"/>
          <w:b/>
          <w:color w:val="1E244D"/>
          <w:sz w:val="28"/>
        </w:rPr>
        <w:t>5.2 provider 경쟁시장</w:t>
      </w:r>
    </w:p>
    <w:p>
      <w:pPr>
        <w:spacing w:before="0" w:after="140" w:line="283" w:lineRule="auto"/>
      </w:pPr>
      <w:r>
        <w:rPr>
          <w:rFonts w:ascii="NanumGothic" w:hAnsi="NanumGothic" w:eastAsia="NanumGothic"/>
          <w:color w:val="1F2633"/>
          <w:sz w:val="21"/>
        </w:rPr>
        <w:t>Skip Go는 이미 route composition, denom/path 추천, transaction tracking을 제공한다. NICM은 이 기능을 복제하지 않고 Skip을 포함한 여러 provider가 서명견적을 제출하도록 한다. 경로 계산은 경쟁사업자의 영역이고, Hub는 quote·escrow·bond·receipt라는 공통 계약계층을 담당한다.</w:t>
      </w:r>
      <w:r>
        <w:t xml:space="preserve"> </w:t>
      </w:r>
      <w:hyperlink r:id="rId16">
        <w:r>
          <w:rPr>
            <w:rFonts w:ascii="NanumGothic" w:hAnsi="NanumGothic" w:eastAsia="NanumGothic"/>
            <w:color w:val="6F5AE8"/>
            <w:sz w:val="17"/>
            <w:b/>
          </w:rPr>
          <w:t>[R9]</w:t>
        </w:r>
      </w:hyperlink>
      <w:r>
        <w:t xml:space="preserve"> </w:t>
      </w:r>
      <w:hyperlink r:id="rId21">
        <w:r>
          <w:rPr>
            <w:rFonts w:ascii="NanumGothic" w:hAnsi="NanumGothic" w:eastAsia="NanumGothic"/>
            <w:color w:val="6F5AE8"/>
            <w:sz w:val="17"/>
            <w:b/>
          </w:rPr>
          <w:t>[R10]</w:t>
        </w:r>
      </w:hyperlink>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70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견적 필드</w:t>
            </w:r>
          </w:p>
        </w:tc>
        <w:tc>
          <w:tcPr>
            <w:tcW w:type="dxa" w:w="385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예시</w:t>
            </w:r>
          </w:p>
        </w:tc>
        <w:tc>
          <w:tcPr>
            <w:tcW w:type="dxa" w:w="391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분쟁 시 기준</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가격</w:t>
            </w:r>
          </w:p>
        </w:tc>
        <w:tc>
          <w:tcPr>
            <w:tcW w:type="dxa" w:w="385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provider fee, protocol fee, 예상 gas</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서명 quote와 실제 영수증</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시간</w:t>
            </w:r>
          </w:p>
        </w:tc>
        <w:tc>
          <w:tcPr>
            <w:tcW w:type="dxa" w:w="385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deadline 또는 percentile SLA</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destination receipt timestamp</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수취량</w:t>
            </w:r>
          </w:p>
        </w:tc>
        <w:tc>
          <w:tcPr>
            <w:tcW w:type="dxa" w:w="385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minimum amount out</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목적지 실제 수취량</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경로</w:t>
            </w:r>
          </w:p>
        </w:tc>
        <w:tc>
          <w:tcPr>
            <w:tcW w:type="dxa" w:w="385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IBC/Eureka/CCTP/fast liquidity 조합</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route hash와 tx sequence</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보상</w:t>
            </w:r>
          </w:p>
        </w:tc>
        <w:tc>
          <w:tcPr>
            <w:tcW w:type="dxa" w:w="385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지연·오경로·미실행·복구상태별 규칙</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객관적 ack/timeout/receipt·recovery location</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담보</w:t>
            </w:r>
          </w:p>
        </w:tc>
        <w:tc>
          <w:tcPr>
            <w:tcW w:type="dxa" w:w="385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USDC 등 승인 안정자산; ATOM은 haircut</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mark-to-market·top-up·exposure cap</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5.3 실패보상의 범위</w:t>
      </w:r>
    </w:p>
    <w:p>
      <w:pPr>
        <w:spacing w:before="0" w:after="140" w:line="283" w:lineRule="auto"/>
      </w:pPr>
      <w:r>
        <w:rPr>
          <w:rFonts w:ascii="NanumGothic" w:hAnsi="NanumGothic" w:eastAsia="NanumGothic"/>
          <w:color w:val="1F2633"/>
          <w:sz w:val="21"/>
        </w:rPr>
        <w:t>모든 실패를 provider 책임으로 돌리면 보험료가 폭증하고 공급자가 사라진다. 따라서 보상대상은 “provider가 서명한 조건 중 객관적으로 통제 가능한 항목”으로 제한해야 한다. 복합 경로의 결과는 실패 시점과 transport에 따라 달라지므로 “지원 경로의 자동 환불·복구 또는 명시된 recovery 상태”로 표현한다. [R21]</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6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52" w:lineRule="auto"/>
              <w:jc w:val="center"/>
            </w:pPr>
            <w:r>
              <w:rPr>
                <w:rFonts w:ascii="NanumGothic" w:hAnsi="NanumGothic" w:eastAsia="NanumGothic"/>
                <w:b/>
                <w:color w:val="FFFFFF"/>
                <w:sz w:val="13"/>
              </w:rPr>
              <w:t>사건</w:t>
            </w:r>
          </w:p>
        </w:tc>
        <w:tc>
          <w:tcPr>
            <w:tcW w:type="dxa" w:w="198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52" w:lineRule="auto"/>
              <w:jc w:val="center"/>
            </w:pPr>
            <w:r>
              <w:rPr>
                <w:rFonts w:ascii="NanumGothic" w:hAnsi="NanumGothic" w:eastAsia="NanumGothic"/>
                <w:b/>
                <w:color w:val="FFFFFF"/>
                <w:sz w:val="13"/>
              </w:rPr>
              <w:t>초기 처리</w:t>
            </w:r>
          </w:p>
        </w:tc>
        <w:tc>
          <w:tcPr>
            <w:tcW w:type="dxa" w:w="4819"/>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52" w:lineRule="auto"/>
              <w:jc w:val="center"/>
            </w:pPr>
            <w:r>
              <w:rPr>
                <w:rFonts w:ascii="NanumGothic" w:hAnsi="NanumGothic" w:eastAsia="NanumGothic"/>
                <w:b/>
                <w:color w:val="FFFFFF"/>
                <w:sz w:val="13"/>
              </w:rPr>
              <w:t>설계 원칙</w:t>
            </w:r>
          </w:p>
        </w:tc>
      </w:tr>
      <w:tr>
        <w:trPr>
          <w:cantSplit/>
        </w:trPr>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pre-swap·swap failure</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지원 경로에서는 원자산 source 환불</w:t>
            </w:r>
          </w:p>
        </w:tc>
        <w:tc>
          <w:tcPr>
            <w:tcW w:type="dxa" w:w="481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source recovery receipt 기록</w:t>
            </w:r>
          </w:p>
        </w:tc>
      </w:tr>
      <w:tr>
        <w:trPr>
          <w:cantSplit/>
        </w:trPr>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post-swap transfer failure</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목적자산이 swap chain 또는 recovery address에 잔류 가능</w:t>
            </w:r>
          </w:p>
        </w:tc>
        <w:tc>
          <w:tcPr>
            <w:tcW w:type="dxa" w:w="481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RECOVERED_AT_SWAP_CHAIN 상태</w:t>
            </w:r>
          </w:p>
        </w:tc>
      </w:tr>
      <w:tr>
        <w:trPr>
          <w:cantSplit/>
        </w:trPr>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multi-tx 중간 실패</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마지막 성공 transaction의 목적 체인에 잔류 가능</w:t>
            </w:r>
          </w:p>
        </w:tc>
        <w:tc>
          <w:tcPr>
            <w:tcW w:type="dxa" w:w="481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RECOVERED_AT_INTERMEDIATE 상태</w:t>
            </w:r>
          </w:p>
        </w:tc>
      </w:tr>
      <w:tr>
        <w:trPr>
          <w:cantSplit/>
        </w:trPr>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minimum output 미달</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swap 미실행 또는 경로별 복구</w:t>
            </w:r>
          </w:p>
        </w:tc>
        <w:tc>
          <w:tcPr>
            <w:tcW w:type="dxa" w:w="481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보편적 atomic revert로 표현 금지</w:t>
            </w:r>
          </w:p>
        </w:tc>
      </w:tr>
      <w:tr>
        <w:trPr>
          <w:cantSplit/>
        </w:trPr>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provider 오경로·미실행</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SLA 보상</w:t>
            </w:r>
          </w:p>
        </w:tc>
        <w:tc>
          <w:tcPr>
            <w:tcW w:type="dxa" w:w="481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provider 통제 가능한 사건</w:t>
            </w:r>
          </w:p>
        </w:tc>
      </w:tr>
      <w:tr>
        <w:trPr>
          <w:cantSplit/>
        </w:trPr>
        <w:tc>
          <w:tcPr>
            <w:tcW w:type="dxa" w:w="26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chain halt·client expiry</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면책 또는 옵션 SLA</w:t>
            </w:r>
          </w:p>
        </w:tc>
        <w:tc>
          <w:tcPr>
            <w:tcW w:type="dxa" w:w="481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외부 시스템 사건</w:t>
            </w:r>
          </w:p>
        </w:tc>
      </w:tr>
      <w:tr>
        <w:trPr>
          <w:cantSplit/>
        </w:trPr>
        <w:tc>
          <w:tcPr>
            <w:tcW w:type="dxa" w:w="26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manual recovery 필요</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지원팀·provider recovery</w:t>
            </w:r>
          </w:p>
        </w:tc>
        <w:tc>
          <w:tcPr>
            <w:tcW w:type="dxa" w:w="481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별도 비용·처리시간 공개</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5.4 수익원</w:t>
      </w:r>
    </w:p>
    <w:p>
      <w:pPr>
        <w:pStyle w:val="ListBullet"/>
        <w:spacing w:before="0" w:after="60" w:line="269" w:lineRule="auto"/>
        <w:ind w:left="340" w:hanging="170"/>
      </w:pPr>
      <w:r>
        <w:rPr>
          <w:rFonts w:ascii="NanumGothic" w:hAnsi="NanumGothic" w:eastAsia="NanumGothic"/>
          <w:color w:val="1F2633"/>
          <w:sz w:val="21"/>
        </w:rPr>
        <w:t>Provider premium의 일정 비율을 protocol fee로 취득한다.</w:t>
      </w:r>
    </w:p>
    <w:p>
      <w:pPr>
        <w:pStyle w:val="ListBullet"/>
        <w:spacing w:before="0" w:after="60" w:line="269" w:lineRule="auto"/>
        <w:ind w:left="340" w:hanging="170"/>
      </w:pPr>
      <w:r>
        <w:rPr>
          <w:rFonts w:ascii="NanumGothic" w:hAnsi="NanumGothic" w:eastAsia="NanumGothic"/>
          <w:color w:val="1F2633"/>
          <w:sz w:val="21"/>
        </w:rPr>
        <w:t>기관용 대형 거래는 notional 기준 초저율 fee 또는 연간 SLA 계약으로 가격을 정한다.</w:t>
      </w:r>
    </w:p>
    <w:p>
      <w:pPr>
        <w:pStyle w:val="ListBullet"/>
        <w:spacing w:before="0" w:after="60" w:line="269" w:lineRule="auto"/>
        <w:ind w:left="340" w:hanging="170"/>
      </w:pPr>
      <w:r>
        <w:rPr>
          <w:rFonts w:ascii="NanumGothic" w:hAnsi="NanumGothic" w:eastAsia="NanumGothic"/>
          <w:color w:val="1F2633"/>
          <w:sz w:val="21"/>
        </w:rPr>
        <w:t>Provider는 orderflow를 얻는 대가로 bond와 등록비를 부담한다.</w:t>
      </w:r>
    </w:p>
    <w:p>
      <w:pPr>
        <w:pStyle w:val="ListBullet"/>
        <w:spacing w:before="0" w:after="60" w:line="269" w:lineRule="auto"/>
        <w:ind w:left="340" w:hanging="170"/>
      </w:pPr>
      <w:r>
        <w:rPr>
          <w:rFonts w:ascii="NanumGothic" w:hAnsi="NanumGothic" w:eastAsia="NanumGothic"/>
          <w:color w:val="1F2633"/>
          <w:sz w:val="21"/>
        </w:rPr>
        <w:t>Retail base transfer에는 별도 Hub fee를 부과하지 않고, 유료 기능을 선택했을 때만 과금한다.</w:t>
      </w:r>
    </w:p>
    <w:p>
      <w:pPr>
        <w:pStyle w:val="Heading1"/>
        <w:spacing w:before="280" w:after="140" w:line="252" w:lineRule="auto"/>
        <w:keepNext/>
      </w:pPr>
      <w:r>
        <w:rPr>
          <w:rFonts w:ascii="NanumSquare" w:hAnsi="NanumSquare" w:eastAsia="NanumSquare"/>
          <w:b/>
          <w:color w:val="1E244D"/>
          <w:sz w:val="36"/>
        </w:rPr>
        <w:t>6. BM 3 — Enterprise One-Connection Gateway</w:t>
      </w:r>
    </w:p>
    <w:tbl>
      <w:tblPr>
        <w:tblW w:type="auto" w:w="0"/>
        <w:jc w:val="left"/>
        <w:tblLayout w:type="fixed"/>
        <w:tblLook w:firstColumn="1" w:firstRow="1" w:lastColumn="0" w:lastRow="0" w:noHBand="0" w:noVBand="1" w:val="04A0"/>
      </w:tblPr>
      <w:tblGrid>
        <w:gridCol w:w="9752"/>
      </w:tblGrid>
      <w:tr>
        <w:trPr>
          <w:cantSplit/>
        </w:trPr>
        <w:tc>
          <w:tcPr>
            <w:tcW w:type="dxa" w:w="2551"/>
            <w:shd w:fill="EDF4FF"/>
            <w:tcBorders>
              <w:top w:val="single" w:sz="8" w:color="2E6FCE"/>
              <w:left w:val="single" w:sz="8" w:color="2E6FCE"/>
              <w:bottom w:val="single" w:sz="8" w:color="2E6FCE"/>
              <w:right w:val="single" w:sz="8" w:color="2E6FCE"/>
            </w:tcBorders>
            <w:tcMar>
              <w:top w:w="60" w:type="dxa"/>
              <w:start w:w="110" w:type="dxa"/>
              <w:bottom w:w="60" w:type="dxa"/>
              <w:end w:w="110" w:type="dxa"/>
            </w:tcMar>
          </w:tcPr>
          <w:p>
            <w:pPr>
              <w:spacing w:before="0" w:after="0" w:line="240" w:lineRule="auto"/>
            </w:pPr>
            <w:r>
              <w:rPr>
                <w:rFonts w:ascii="NanumGothic" w:hAnsi="NanumGothic" w:eastAsia="NanumGothic"/>
                <w:b/>
                <w:color w:val="2E6FCE"/>
                <w:sz w:val="18"/>
              </w:rPr>
              <w:t>[3단계 제안]</w:t>
            </w:r>
          </w:p>
        </w:tc>
      </w:tr>
    </w:tbl>
    <w:p>
      <w:pPr>
        <w:spacing w:after="0"/>
      </w:pPr>
    </w:p>
    <w:p>
      <w:pPr>
        <w:pStyle w:val="Heading2"/>
        <w:spacing w:before="200" w:after="100" w:line="252" w:lineRule="auto"/>
        <w:keepNext/>
      </w:pPr>
      <w:r>
        <w:rPr>
          <w:rFonts w:ascii="NanumSquare" w:hAnsi="NanumSquare" w:eastAsia="NanumSquare"/>
          <w:b/>
          <w:color w:val="1E244D"/>
          <w:sz w:val="28"/>
        </w:rPr>
        <w:t>6.1 가치제안</w:t>
      </w:r>
    </w:p>
    <w:p>
      <w:pPr>
        <w:spacing w:before="0" w:after="140" w:line="283" w:lineRule="auto"/>
      </w:pPr>
      <w:r>
        <w:rPr>
          <w:rFonts w:ascii="NanumGothic" w:hAnsi="NanumGothic" w:eastAsia="NanumGothic"/>
          <w:color w:val="1F2633"/>
          <w:sz w:val="21"/>
        </w:rPr>
        <w:t>은행·수탁사·핀테크가 Ethereum, Solana, Cosmos SDK chain, private DLT를 각각 연결하려면 노드·RPC·키관리·asset mapping·monitoring·장애대응을 반복 구축해야 한다. Cosmos Hub와 표준 gateway에 한 번 연결해 여러 네트워크에 접근하게 하면 integration cost와 운영복잡도를 낮출 수 있다. Eureka 문서는 Hub 연결 체인이 추가 의존성 없이 Ethereum으로 접근할 수 있는 현재 경로를 제시한다.</w:t>
      </w:r>
      <w:r>
        <w:t xml:space="preserve"> </w:t>
      </w:r>
      <w:hyperlink r:id="rId15">
        <w:r>
          <w:rPr>
            <w:rFonts w:ascii="NanumGothic" w:hAnsi="NanumGothic" w:eastAsia="NanumGothic"/>
            <w:color w:val="6F5AE8"/>
            <w:sz w:val="17"/>
            <w:b/>
          </w:rPr>
          <w:t>[R7]</w:t>
        </w:r>
      </w:hyperlink>
      <w:r>
        <w:t xml:space="preserve"> </w:t>
      </w:r>
      <w:hyperlink r:id="rId20">
        <w:r>
          <w:rPr>
            <w:rFonts w:ascii="NanumGothic" w:hAnsi="NanumGothic" w:eastAsia="NanumGothic"/>
            <w:color w:val="6F5AE8"/>
            <w:sz w:val="17"/>
            <w:b/>
          </w:rPr>
          <w:t>[R8]</w:t>
        </w:r>
      </w:hyperlink>
    </w:p>
    <w:p>
      <w:pPr>
        <w:pStyle w:val="Heading2"/>
        <w:spacing w:before="200" w:after="100" w:line="252" w:lineRule="auto"/>
        <w:keepNext/>
      </w:pPr>
      <w:r>
        <w:rPr>
          <w:rFonts w:ascii="NanumSquare" w:hAnsi="NanumSquare" w:eastAsia="NanumSquare"/>
          <w:b/>
          <w:color w:val="1E244D"/>
          <w:sz w:val="28"/>
        </w:rPr>
        <w:t>6.2 판매상품</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04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서비스</w:t>
            </w:r>
          </w:p>
        </w:tc>
        <w:tc>
          <w:tcPr>
            <w:tcW w:type="dxa" w:w="351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무료/공개 계층</w:t>
            </w:r>
          </w:p>
        </w:tc>
        <w:tc>
          <w:tcPr>
            <w:tcW w:type="dxa" w:w="391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유료 Enterprise 계층</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Network access</w:t>
            </w:r>
          </w:p>
        </w:tc>
        <w:tc>
          <w:tcPr>
            <w:tcW w:type="dxa" w:w="351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프로토콜·문서·테스트넷</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운영 접속, 전용 endpoint, 변경관리</w:t>
            </w:r>
          </w:p>
        </w:tc>
      </w:tr>
      <w:tr>
        <w:trPr>
          <w:cantSplit/>
        </w:trPr>
        <w:tc>
          <w:tcPr>
            <w:tcW w:type="dxa" w:w="204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Routing</w:t>
            </w:r>
          </w:p>
        </w:tc>
        <w:tc>
          <w:tcPr>
            <w:tcW w:type="dxa" w:w="351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공개 API·provider quote</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정책기반 route allowlist·cost cap</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Monitoring</w:t>
            </w:r>
          </w:p>
        </w:tc>
        <w:tc>
          <w:tcPr>
            <w:tcW w:type="dxa" w:w="351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공개 explorer</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실시간 alert·SLA report·감사 export</w:t>
            </w:r>
          </w:p>
        </w:tc>
      </w:tr>
      <w:tr>
        <w:trPr>
          <w:cantSplit/>
        </w:trPr>
        <w:tc>
          <w:tcPr>
            <w:tcW w:type="dxa" w:w="204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Receipt</w:t>
            </w:r>
          </w:p>
        </w:tc>
        <w:tc>
          <w:tcPr>
            <w:tcW w:type="dxa" w:w="351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공개 tx/ack</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기관 양식·회계·reconciliation feed</w:t>
            </w:r>
          </w:p>
        </w:tc>
      </w:tr>
      <w:tr>
        <w:trPr>
          <w:cantSplit/>
        </w:trPr>
        <w:tc>
          <w:tcPr>
            <w:tcW w:type="dxa" w:w="204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Support</w:t>
            </w:r>
          </w:p>
        </w:tc>
        <w:tc>
          <w:tcPr>
            <w:tcW w:type="dxa" w:w="351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커뮤니티 지원</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24/7 incident·upgrade coordination</w:t>
            </w:r>
          </w:p>
        </w:tc>
      </w:tr>
      <w:tr>
        <w:trPr>
          <w:cantSplit/>
        </w:trPr>
        <w:tc>
          <w:tcPr>
            <w:tcW w:type="dxa" w:w="204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Compliance</w:t>
            </w:r>
          </w:p>
        </w:tc>
        <w:tc>
          <w:tcPr>
            <w:tcW w:type="dxa" w:w="351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 attestation 연동</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정책·jurisdiction별 rule orchestration</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6.3 프로토콜과 사업자의 수익 구분</w:t>
      </w:r>
    </w:p>
    <w:p>
      <w:pPr>
        <w:spacing w:before="0" w:after="140" w:line="283" w:lineRule="auto"/>
      </w:pPr>
      <w:r>
        <w:rPr>
          <w:rFonts w:ascii="NanumGothic" w:hAnsi="NanumGothic" w:eastAsia="NanumGothic"/>
          <w:color w:val="1F2633"/>
          <w:sz w:val="21"/>
        </w:rPr>
        <w:t>기업계약 매출이 Cosmos Labs 또는 특정 operator에게만 귀속되면 ATOM BM이 아니다. “Hub-certified enterprise gateway”를 사용하려면 모든 완료거래가 on-chain metering receipt를 남기고, 계약상 protocol share가 Revenue Vault로 귀속되도록 표준 라이선스·인증체계를 설계해야 한다.</w:t>
      </w:r>
    </w:p>
    <w:tbl>
      <w:tblPr>
        <w:tblW w:type="auto" w:w="0"/>
        <w:jc w:val="center"/>
        <w:tblLayout w:type="autofit"/>
        <w:tblLook w:firstColumn="1" w:firstRow="1" w:lastColumn="0" w:lastRow="0" w:noHBand="0" w:noVBand="1" w:val="04A0"/>
      </w:tblPr>
      <w:tblGrid>
        <w:gridCol w:w="9752"/>
      </w:tblGrid>
      <w:tr>
        <w:trPr>
          <w:cantSplit/>
        </w:trPr>
        <w:tc>
          <w:tcPr>
            <w:tcW w:type="dxa" w:w="9752"/>
            <w:shd w:fill="EDF4FF"/>
            <w:tcBorders>
              <w:top w:val="single" w:sz="12" w:color="2E6FCE"/>
              <w:left w:val="single" w:sz="12" w:color="2E6FCE"/>
              <w:bottom w:val="single" w:sz="12" w:color="2E6FCE"/>
              <w:right w:val="single" w:sz="12" w:color="2E6FCE"/>
            </w:tcBorders>
            <w:tcMar>
              <w:top w:w="150" w:type="dxa"/>
              <w:start w:w="180" w:type="dxa"/>
              <w:bottom w:w="150" w:type="dxa"/>
              <w:end w:w="180" w:type="dxa"/>
            </w:tcMar>
          </w:tcPr>
          <w:p>
            <w:pPr>
              <w:spacing w:before="0" w:after="0" w:line="283" w:lineRule="auto"/>
            </w:pPr>
            <w:r>
              <w:rPr>
                <w:rFonts w:ascii="NanumGothic" w:hAnsi="NanumGothic" w:eastAsia="NanumGothic"/>
                <w:b/>
                <w:color w:val="1E244D"/>
                <w:sz w:val="23"/>
              </w:rPr>
              <w:t>중립성 조건</w:t>
              <w:br/>
            </w:r>
            <w:r>
              <w:rPr>
                <w:rFonts w:ascii="NanumGothic" w:hAnsi="NanumGothic" w:eastAsia="NanumGothic"/>
                <w:color w:val="1F2633"/>
                <w:sz w:val="21"/>
              </w:rPr>
              <w:t>Cosmos Labs, Cosmostation, validator, 은행 SI, 글로벌 MSP 등 복수 사업자가 동일한 공개 프로토콜 위에서 enterprise gateway를 판매할 수 있어야 한다. Hub는 사업자를 독점하지 않고 인증·metering·수익분배 규칙만 제공한다.</w:t>
            </w:r>
          </w:p>
        </w:tc>
      </w:tr>
    </w:tbl>
    <w:p>
      <w:pPr>
        <w:pStyle w:val="Heading2"/>
      </w:pPr>
      <w:r>
        <w:rPr>
          <w:rFonts w:ascii="NanumSquare" w:hAnsi="NanumSquare" w:eastAsia="NanumSquare"/>
        </w:rPr>
        <w:t>6.4 Contracting Entity &amp; Protocol Revenue Enforcement</w:t>
      </w:r>
    </w:p>
    <w:p>
      <w:pPr>
        <w:spacing w:after="60" w:line="252" w:lineRule="auto"/>
      </w:pPr>
      <w:r>
        <w:rPr>
          <w:rFonts w:ascii="NanumGothic" w:hAnsi="NanumGothic" w:eastAsia="NanumGothic"/>
          <w:b w:val="0"/>
          <w:color w:val="1E244D"/>
          <w:sz w:val="14"/>
        </w:rPr>
        <w:t>오프체인 기관계약의 매출이 ATOM BM으로 기능하려면 계약의 법적 당사자, invoice·세금·사고책임, protocol share의 계산·감사·집행방식이 명시돼야 한다. 90일 Discovery에서는 최종 법인을 미리 확정하지 않고 다음 세 모델을 비교한다.</w:t>
      </w:r>
    </w:p>
    <w:tbl>
      <w:tblPr>
        <w:tblW w:type="auto" w:w="0"/>
        <w:jc w:val="center"/>
        <w:tblLayout w:type="fixed"/>
        <w:tblLook w:firstColumn="1" w:firstRow="1" w:lastColumn="0" w:lastRow="0" w:noHBand="0" w:noVBand="1" w:val="04A0"/>
      </w:tblPr>
      <w:tblGrid>
        <w:gridCol w:w="2438"/>
        <w:gridCol w:w="2438"/>
        <w:gridCol w:w="2438"/>
        <w:gridCol w:w="2438"/>
      </w:tblGrid>
      <w:tr>
        <w:trPr>
          <w:cantSplit/>
          <w:tblHeader w:val="true"/>
        </w:trPr>
        <w:tc>
          <w:tcPr>
            <w:tcW w:type="dxa" w:w="1737"/>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모델</w:t>
            </w:r>
          </w:p>
        </w:tc>
        <w:tc>
          <w:tcPr>
            <w:tcW w:type="dxa" w:w="2701"/>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계약 당사자</w:t>
            </w:r>
          </w:p>
        </w:tc>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장점</w:t>
            </w:r>
          </w:p>
        </w:tc>
        <w:tc>
          <w:tcPr>
            <w:tcW w:type="dxa" w:w="2798"/>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주요 위험</w:t>
            </w:r>
          </w:p>
        </w:tc>
      </w:tr>
      <w:tr>
        <w:trPr>
          <w:cantSplit/>
        </w:trPr>
        <w:tc>
          <w:tcPr>
            <w:tcW w:type="dxa" w:w="1737"/>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A. 기존 운영법인</w:t>
            </w:r>
          </w:p>
        </w:tc>
        <w:tc>
          <w:tcPr>
            <w:tcW w:type="dxa" w:w="2701"/>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Cosmos Labs 또는 기존 재단·법인</w:t>
            </w:r>
          </w:p>
        </w:tc>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빠른 영업·집행</w:t>
            </w:r>
          </w:p>
        </w:tc>
        <w:tc>
          <w:tcPr>
            <w:tcW w:type="dxa" w:w="2798"/>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특정 법인 매출로 고착 가능</w:t>
            </w:r>
          </w:p>
        </w:tc>
      </w:tr>
      <w:tr>
        <w:trPr>
          <w:cantSplit/>
        </w:trPr>
        <w:tc>
          <w:tcPr>
            <w:tcW w:type="dxa" w:w="1737"/>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B. 중립 SPV·협회</w:t>
            </w:r>
          </w:p>
        </w:tc>
        <w:tc>
          <w:tcPr>
            <w:tcW w:type="dxa" w:w="2701"/>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별도 비영리 또는 제한목적법인</w:t>
            </w:r>
          </w:p>
        </w:tc>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중립성·수익 귀속 명확</w:t>
            </w:r>
          </w:p>
        </w:tc>
        <w:tc>
          <w:tcPr>
            <w:tcW w:type="dxa" w:w="2798"/>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설립·규제·운영비</w:t>
            </w:r>
          </w:p>
        </w:tc>
      </w:tr>
      <w:tr>
        <w:trPr>
          <w:cantSplit/>
        </w:trPr>
        <w:tc>
          <w:tcPr>
            <w:tcW w:type="dxa" w:w="1737"/>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C. 복수 사업자 라이선스</w:t>
            </w:r>
          </w:p>
        </w:tc>
        <w:tc>
          <w:tcPr>
            <w:tcW w:type="dxa" w:w="2701"/>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각 gateway 사업자</w:t>
            </w:r>
          </w:p>
        </w:tc>
        <w:tc>
          <w:tcPr>
            <w:tcW w:type="dxa" w:w="241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경쟁·확장성</w:t>
            </w:r>
          </w:p>
        </w:tc>
        <w:tc>
          <w:tcPr>
            <w:tcW w:type="dxa" w:w="2798"/>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protocol share 집행·감사 복잡</w:t>
            </w:r>
          </w:p>
        </w:tc>
      </w:tr>
    </w:tbl>
    <w:p>
      <w:pPr>
        <w:spacing w:after="60" w:line="252" w:lineRule="auto"/>
      </w:pPr>
      <w:r>
        <w:rPr>
          <w:rFonts w:ascii="NanumGothic" w:hAnsi="NanumGothic" w:eastAsia="NanumGothic"/>
          <w:b w:val="0"/>
          <w:color w:val="1E244D"/>
          <w:sz w:val="14"/>
        </w:rPr>
        <w:t>90일 Discovery의 Legal Boundary Memo는 계약 당사자, invoice 발행, 세금, 상표·인증 사용, AML·제재 책임, 사고 책임, 분쟁관할, protocol share의 법적 집행방법을 세 모델별로 비교하고 권고안을 제출한다.</w:t>
      </w:r>
    </w:p>
    <w:p>
      <w:pPr>
        <w:pStyle w:val="Heading3"/>
      </w:pPr>
      <w:r>
        <w:rPr>
          <w:rFonts w:ascii="NanumSquare" w:hAnsi="NanumSquare" w:eastAsia="NanumSquare"/>
        </w:rPr>
        <w:t>표준 라이선스 필수조항</w:t>
      </w:r>
    </w:p>
    <w:p>
      <w:pPr>
        <w:spacing w:after="60" w:line="252" w:lineRule="auto"/>
      </w:pPr>
      <w:r>
        <w:rPr>
          <w:rFonts w:ascii="NanumGothic" w:hAnsi="NanumGothic" w:eastAsia="NanumGothic"/>
          <w:b w:val="0"/>
          <w:color w:val="1E244D"/>
          <w:sz w:val="14"/>
        </w:rPr>
        <w:t>1. “Hub-certified” 또는 후속 인증표장의 사용조건</w:t>
      </w:r>
    </w:p>
    <w:p>
      <w:pPr>
        <w:spacing w:after="60" w:line="252" w:lineRule="auto"/>
      </w:pPr>
      <w:r>
        <w:rPr>
          <w:rFonts w:ascii="NanumGothic" w:hAnsi="NanumGothic" w:eastAsia="NanumGothic"/>
          <w:b w:val="0"/>
          <w:color w:val="1E244D"/>
          <w:sz w:val="14"/>
        </w:rPr>
        <w:t>2. 온체인 metering receipt 생성의무</w:t>
      </w:r>
    </w:p>
    <w:p>
      <w:pPr>
        <w:spacing w:after="60" w:line="252" w:lineRule="auto"/>
      </w:pPr>
      <w:r>
        <w:rPr>
          <w:rFonts w:ascii="NanumGothic" w:hAnsi="NanumGothic" w:eastAsia="NanumGothic"/>
          <w:b w:val="0"/>
          <w:color w:val="1E244D"/>
          <w:sz w:val="14"/>
        </w:rPr>
        <w:t>3. gross contract revenue와 protocol share 산식</w:t>
      </w:r>
    </w:p>
    <w:p>
      <w:pPr>
        <w:spacing w:after="60" w:line="252" w:lineRule="auto"/>
      </w:pPr>
      <w:r>
        <w:rPr>
          <w:rFonts w:ascii="NanumGothic" w:hAnsi="NanumGothic" w:eastAsia="NanumGothic"/>
          <w:b w:val="0"/>
          <w:color w:val="1E244D"/>
          <w:sz w:val="14"/>
        </w:rPr>
        <w:t>4. 지급주기·미지급·연체·감사권</w:t>
      </w:r>
    </w:p>
    <w:p>
      <w:pPr>
        <w:spacing w:after="60" w:line="252" w:lineRule="auto"/>
      </w:pPr>
      <w:r>
        <w:rPr>
          <w:rFonts w:ascii="NanumGothic" w:hAnsi="NanumGothic" w:eastAsia="NanumGothic"/>
          <w:b w:val="0"/>
          <w:color w:val="1E244D"/>
          <w:sz w:val="14"/>
        </w:rPr>
        <w:t>5. 사고·손해배상 한도</w:t>
      </w:r>
    </w:p>
    <w:p>
      <w:pPr>
        <w:spacing w:after="60" w:line="252" w:lineRule="auto"/>
      </w:pPr>
      <w:r>
        <w:rPr>
          <w:rFonts w:ascii="NanumGothic" w:hAnsi="NanumGothic" w:eastAsia="NanumGothic"/>
          <w:b w:val="0"/>
          <w:color w:val="1E244D"/>
          <w:sz w:val="14"/>
        </w:rPr>
        <w:t>6. AML·제재·국가별 접근통제 책임</w:t>
      </w:r>
    </w:p>
    <w:p>
      <w:pPr>
        <w:spacing w:after="60" w:line="252" w:lineRule="auto"/>
      </w:pPr>
      <w:r>
        <w:rPr>
          <w:rFonts w:ascii="NanumGothic" w:hAnsi="NanumGothic" w:eastAsia="NanumGothic"/>
          <w:b w:val="0"/>
          <w:color w:val="1E244D"/>
          <w:sz w:val="14"/>
        </w:rPr>
        <w:t>7. 계약 종료 후 데이터·고객 이전</w:t>
      </w:r>
    </w:p>
    <w:p>
      <w:pPr>
        <w:spacing w:after="60" w:line="252" w:lineRule="auto"/>
      </w:pPr>
      <w:r>
        <w:rPr>
          <w:rFonts w:ascii="NanumGothic" w:hAnsi="NanumGothic" w:eastAsia="NanumGothic"/>
          <w:b w:val="0"/>
          <w:color w:val="1E244D"/>
          <w:sz w:val="14"/>
        </w:rPr>
        <w:t>8. protocol share 회피 시 인증정지·bond 집행·계약해지</w:t>
      </w:r>
    </w:p>
    <w:p>
      <w:pPr>
        <w:spacing w:after="60" w:line="252" w:lineRule="auto"/>
      </w:pPr>
      <w:r>
        <w:rPr>
          <w:rFonts w:ascii="NanumGothic" w:hAnsi="NanumGothic" w:eastAsia="NanumGothic"/>
          <w:b w:val="0"/>
          <w:color w:val="1E244D"/>
          <w:sz w:val="14"/>
        </w:rPr>
        <w:t>9. 상표 및 오픈소스 사용범위</w:t>
      </w:r>
    </w:p>
    <w:p>
      <w:pPr>
        <w:spacing w:after="60" w:line="252" w:lineRule="auto"/>
      </w:pPr>
      <w:r>
        <w:rPr>
          <w:rFonts w:ascii="NanumGothic" w:hAnsi="NanumGothic" w:eastAsia="NanumGothic"/>
          <w:b w:val="0"/>
          <w:color w:val="1E244D"/>
          <w:sz w:val="14"/>
        </w:rPr>
        <w:t>10. 분쟁해결 및 준거법</w:t>
      </w:r>
    </w:p>
    <w:p>
      <w:pPr>
        <w:spacing w:after="40"/>
      </w:pPr>
    </w:p>
    <w:p>
      <w:pPr>
        <w:pStyle w:val="Heading1"/>
        <w:spacing w:before="280" w:after="140" w:line="252" w:lineRule="auto"/>
        <w:keepNext/>
      </w:pPr>
      <w:r>
        <w:rPr>
          <w:rFonts w:ascii="NanumSquare" w:hAnsi="NanumSquare" w:eastAsia="NanumSquare"/>
          <w:b/>
          <w:color w:val="1E244D"/>
          <w:sz w:val="36"/>
        </w:rPr>
        <w:t>7. BM 4 — Asset &amp; Service Registry / Attestation</w:t>
      </w:r>
    </w:p>
    <w:tbl>
      <w:tblPr>
        <w:tblW w:type="auto" w:w="0"/>
        <w:jc w:val="left"/>
        <w:tblLayout w:type="fixed"/>
        <w:tblLook w:firstColumn="1" w:firstRow="1" w:lastColumn="0" w:lastRow="0" w:noHBand="0" w:noVBand="1" w:val="04A0"/>
      </w:tblPr>
      <w:tblGrid>
        <w:gridCol w:w="9752"/>
      </w:tblGrid>
      <w:tr>
        <w:trPr>
          <w:cantSplit/>
        </w:trPr>
        <w:tc>
          <w:tcPr>
            <w:tcW w:type="dxa" w:w="2551"/>
            <w:shd w:fill="EAF8F7"/>
            <w:tcBorders>
              <w:top w:val="single" w:sz="8" w:color="169C9C"/>
              <w:left w:val="single" w:sz="8" w:color="169C9C"/>
              <w:bottom w:val="single" w:sz="8" w:color="169C9C"/>
              <w:right w:val="single" w:sz="8" w:color="169C9C"/>
            </w:tcBorders>
            <w:tcMar>
              <w:top w:w="60" w:type="dxa"/>
              <w:start w:w="110" w:type="dxa"/>
              <w:bottom w:w="60" w:type="dxa"/>
              <w:end w:w="110" w:type="dxa"/>
            </w:tcMar>
          </w:tcPr>
          <w:p>
            <w:pPr>
              <w:spacing w:before="0" w:after="0" w:line="240" w:lineRule="auto"/>
            </w:pPr>
            <w:r>
              <w:rPr>
                <w:rFonts w:ascii="NanumGothic" w:hAnsi="NanumGothic" w:eastAsia="NanumGothic"/>
                <w:b/>
                <w:color w:val="169C9C"/>
                <w:sz w:val="18"/>
              </w:rPr>
              <w:t>[1단계 병행 제안]</w:t>
            </w:r>
          </w:p>
        </w:tc>
      </w:tr>
    </w:tbl>
    <w:p>
      <w:pPr>
        <w:spacing w:after="0"/>
      </w:pPr>
    </w:p>
    <w:p>
      <w:pPr>
        <w:pStyle w:val="Heading2"/>
        <w:spacing w:before="200" w:after="100" w:line="252" w:lineRule="auto"/>
        <w:keepNext/>
      </w:pPr>
      <w:r>
        <w:rPr>
          <w:rFonts w:ascii="NanumSquare" w:hAnsi="NanumSquare" w:eastAsia="NanumSquare"/>
          <w:b/>
          <w:color w:val="1E244D"/>
          <w:sz w:val="28"/>
        </w:rPr>
        <w:t>7.1 왜 필요한가</w:t>
      </w:r>
    </w:p>
    <w:p>
      <w:pPr>
        <w:spacing w:before="0" w:after="140" w:line="283" w:lineRule="auto"/>
      </w:pPr>
      <w:r>
        <w:rPr>
          <w:rFonts w:ascii="NanumGothic" w:hAnsi="NanumGothic" w:eastAsia="NanumGothic"/>
          <w:color w:val="1F2633"/>
          <w:sz w:val="21"/>
        </w:rPr>
        <w:t>IBC 자산은 이동경로에 따라 denom이 달라지고, 같은 원자산도 여러 representation이 생길 수 있다. Skip Go는 origin으로 되감은 뒤 최단·유동성 경로를 추천하는 방식으로 이 문제를 완화한다. 기관시장에서는 여기에 발행자·규제상태·상환권·policy version까지 붙어야 한다.</w:t>
      </w:r>
      <w:r>
        <w:t xml:space="preserve"> </w:t>
      </w:r>
      <w:hyperlink r:id="rId16">
        <w:r>
          <w:rPr>
            <w:rFonts w:ascii="NanumGothic" w:hAnsi="NanumGothic" w:eastAsia="NanumGothic"/>
            <w:color w:val="6F5AE8"/>
            <w:sz w:val="17"/>
            <w:b/>
          </w:rPr>
          <w:t>[R9]</w:t>
        </w:r>
      </w:hyperlink>
    </w:p>
    <w:p>
      <w:pPr>
        <w:pStyle w:val="Heading2"/>
        <w:spacing w:before="200" w:after="100" w:line="252" w:lineRule="auto"/>
        <w:keepNext/>
      </w:pPr>
      <w:r>
        <w:rPr>
          <w:rFonts w:ascii="NanumSquare" w:hAnsi="NanumSquare" w:eastAsia="NanumSquare"/>
          <w:b/>
          <w:color w:val="1E244D"/>
          <w:sz w:val="28"/>
        </w:rPr>
        <w:t>7.2 Registry 범위</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15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등록 항목</w:t>
            </w:r>
          </w:p>
        </w:tc>
        <w:tc>
          <w:tcPr>
            <w:tcW w:type="dxa" w:w="340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저장 방식</w:t>
            </w:r>
          </w:p>
        </w:tc>
        <w:tc>
          <w:tcPr>
            <w:tcW w:type="dxa" w:w="391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금지/주의</w:t>
            </w:r>
          </w:p>
        </w:tc>
      </w:tr>
      <w:tr>
        <w:trPr>
          <w:cantSplit/>
        </w:trPr>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Asset identity</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issuer 서명, origin, contract/denom, decimals</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거버넌스가 경제적 우열을 지정하지 않음</w:t>
            </w:r>
          </w:p>
        </w:tc>
      </w:tr>
      <w:tr>
        <w:trPr>
          <w:cantSplit/>
        </w:trPr>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Canonical representation</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issuer-declared 경로·허용 wrapper·migration status</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Hub Approved·Official Asset badge 금지</w:t>
            </w:r>
          </w:p>
        </w:tc>
      </w:tr>
      <w:tr>
        <w:trPr>
          <w:cantSplit/>
        </w:trPr>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Reserve/audit pointer</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문서 hash·issuer endpoint·timestamp</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Hub가 준비금을 직접 감사했다고 표시 금지</w:t>
            </w:r>
          </w:p>
        </w:tc>
      </w:tr>
      <w:tr>
        <w:trPr>
          <w:cantSplit/>
        </w:trPr>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Provider record</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bond, supported route, SLA history</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특정 회사 독점 금지</w:t>
            </w:r>
          </w:p>
        </w:tc>
      </w:tr>
      <w:tr>
        <w:trPr>
          <w:cantSplit/>
        </w:trPr>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Compliance attestation</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credential type, issuer, expiry, revocation</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이름·여권·주소 등 PII 저장 금지</w:t>
            </w:r>
          </w:p>
        </w:tc>
      </w:tr>
      <w:tr>
        <w:trPr>
          <w:cantSplit/>
        </w:trPr>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Incident history</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halt, timeout, compensation, resolution</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삭제·미공개 예외 최소화</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7.3 수익모델</w:t>
      </w:r>
    </w:p>
    <w:p>
      <w:pPr>
        <w:pStyle w:val="ListBullet"/>
        <w:spacing w:before="0" w:after="60" w:line="269" w:lineRule="auto"/>
        <w:ind w:left="340" w:hanging="170"/>
      </w:pPr>
      <w:r>
        <w:rPr>
          <w:rFonts w:ascii="NanumGothic" w:hAnsi="NanumGothic" w:eastAsia="NanumGothic"/>
          <w:color w:val="1F2633"/>
          <w:sz w:val="21"/>
        </w:rPr>
        <w:t>기본 등록과 조회는 저비용 또는 무료로 공개해 네트워크 효과를 만든다.</w:t>
      </w:r>
    </w:p>
    <w:p>
      <w:pPr>
        <w:pStyle w:val="ListBullet"/>
        <w:spacing w:before="0" w:after="60" w:line="269" w:lineRule="auto"/>
        <w:ind w:left="340" w:hanging="170"/>
      </w:pPr>
      <w:r>
        <w:rPr>
          <w:rFonts w:ascii="NanumGothic" w:hAnsi="NanumGothic" w:eastAsia="NanumGothic"/>
          <w:color w:val="1F2633"/>
          <w:sz w:val="21"/>
        </w:rPr>
        <w:t>Issuer Signature Verified, Asset Origin Verified, Attestation Source Identified, Reserve Document Pointer Verified, Policy Version Current, Revocation Status Checked와 같이 Hub가 확인한 사실의 범위만 표시한다.</w:t>
      </w:r>
    </w:p>
    <w:p>
      <w:pPr>
        <w:spacing w:after="60" w:line="252" w:lineRule="auto"/>
      </w:pPr>
      <w:r>
        <w:rPr>
          <w:rFonts w:ascii="NanumGothic" w:hAnsi="NanumGothic" w:eastAsia="NanumGothic"/>
          <w:b w:val="0"/>
          <w:color w:val="C54848"/>
          <w:sz w:val="14"/>
        </w:rPr>
        <w:t>금지 표현: Hub Approved / Official Asset / Safe Asset / Reserve Guaranteed / Regulatory Compliant. Hub는 자산의 경제적 우열이나 안전성을 보증하지 않고 누가 어떤 정보를 서명했고 어떤 문서를 제공했는지만 검증한다.</w:t>
      </w:r>
    </w:p>
    <w:p>
      <w:pPr>
        <w:pStyle w:val="ListBullet"/>
        <w:spacing w:before="0" w:after="60" w:line="269" w:lineRule="auto"/>
        <w:ind w:left="340" w:hanging="170"/>
      </w:pPr>
      <w:r>
        <w:rPr>
          <w:rFonts w:ascii="NanumGothic" w:hAnsi="NanumGothic" w:eastAsia="NanumGothic"/>
          <w:color w:val="1F2633"/>
          <w:sz w:val="21"/>
        </w:rPr>
        <w:t>Attestation provider가 받는 수수료 중 protocol share를 Revenue Vault로 귀속시킨다.</w:t>
      </w:r>
    </w:p>
    <w:p>
      <w:pPr>
        <w:pStyle w:val="ListBullet"/>
        <w:spacing w:before="0" w:after="60" w:line="269" w:lineRule="auto"/>
        <w:ind w:left="340" w:hanging="170"/>
      </w:pPr>
      <w:r>
        <w:rPr>
          <w:rFonts w:ascii="NanumGothic" w:hAnsi="NanumGothic" w:eastAsia="NanumGothic"/>
          <w:color w:val="1F2633"/>
          <w:sz w:val="21"/>
        </w:rPr>
        <w:t>Mintscan을 사용자·기관이 수익과 리스크를 동시에 확인하는 공개 데이터 백본으로 확장한다.</w:t>
      </w:r>
      <w:r>
        <w:t xml:space="preserve"> </w:t>
      </w:r>
      <w:hyperlink r:id="rId11">
        <w:r>
          <w:rPr>
            <w:rFonts w:ascii="NanumGothic" w:hAnsi="NanumGothic" w:eastAsia="NanumGothic"/>
            <w:color w:val="6F5AE8"/>
            <w:sz w:val="17"/>
            <w:b/>
          </w:rPr>
          <w:t>[R1]</w:t>
        </w:r>
      </w:hyperlink>
      <w:r>
        <w:t xml:space="preserve"> </w:t>
      </w:r>
      <w:hyperlink r:id="rId23">
        <w:r>
          <w:rPr>
            <w:rFonts w:ascii="NanumGothic" w:hAnsi="NanumGothic" w:eastAsia="NanumGothic"/>
            <w:color w:val="6F5AE8"/>
            <w:sz w:val="17"/>
            <w:b/>
          </w:rPr>
          <w:t>[R4]</w:t>
        </w:r>
      </w:hyperlink>
    </w:p>
    <w:p>
      <w:pPr>
        <w:pStyle w:val="Heading1"/>
        <w:spacing w:before="280" w:after="140" w:line="252" w:lineRule="auto"/>
        <w:keepNext/>
      </w:pPr>
      <w:r>
        <w:rPr>
          <w:rFonts w:ascii="NanumSquare" w:hAnsi="NanumSquare" w:eastAsia="NanumSquare"/>
          <w:b/>
          <w:color w:val="1E244D"/>
          <w:sz w:val="36"/>
        </w:rPr>
        <w:t>8. ATOM 가치포착과 Revenue Vault</w:t>
      </w:r>
    </w:p>
    <w:tbl>
      <w:tblPr>
        <w:tblW w:type="auto" w:w="0"/>
        <w:jc w:val="left"/>
        <w:tblLayout w:type="fixed"/>
        <w:tblLook w:firstColumn="1" w:firstRow="1" w:lastColumn="0" w:lastRow="0" w:noHBand="0" w:noVBand="1" w:val="04A0"/>
      </w:tblPr>
      <w:tblGrid>
        <w:gridCol w:w="9752"/>
      </w:tblGrid>
      <w:tr>
        <w:trPr>
          <w:cantSplit/>
        </w:trPr>
        <w:tc>
          <w:tcPr>
            <w:tcW w:type="dxa" w:w="2551"/>
            <w:shd w:fill="F0EDFF"/>
            <w:tcBorders>
              <w:top w:val="single" w:sz="8" w:color="6F5AE8"/>
              <w:left w:val="single" w:sz="8" w:color="6F5AE8"/>
              <w:bottom w:val="single" w:sz="8" w:color="6F5AE8"/>
              <w:right w:val="single" w:sz="8" w:color="6F5AE8"/>
            </w:tcBorders>
            <w:tcMar>
              <w:top w:w="60" w:type="dxa"/>
              <w:start w:w="110" w:type="dxa"/>
              <w:bottom w:w="60" w:type="dxa"/>
              <w:end w:w="110" w:type="dxa"/>
            </w:tcMar>
          </w:tcPr>
          <w:p>
            <w:pPr>
              <w:spacing w:before="0" w:after="0" w:line="240" w:lineRule="auto"/>
            </w:pPr>
            <w:r>
              <w:rPr>
                <w:rFonts w:ascii="NanumGothic" w:hAnsi="NanumGothic" w:eastAsia="NanumGothic"/>
                <w:b/>
                <w:color w:val="6F5AE8"/>
                <w:sz w:val="18"/>
              </w:rPr>
              <w:t>[신규 제안 + 기존 실증 정렬]</w:t>
            </w:r>
          </w:p>
        </w:tc>
      </w:tr>
    </w:tbl>
    <w:p>
      <w:pPr>
        <w:spacing w:after="0"/>
      </w:pPr>
    </w:p>
    <w:p>
      <w:pPr>
        <w:spacing w:before="0" w:after="40" w:line="240" w:lineRule="auto"/>
        <w:jc w:val="center"/>
      </w:pPr>
      <w:r>
        <w:drawing>
          <wp:inline xmlns:a="http://schemas.openxmlformats.org/drawingml/2006/main" xmlns:pic="http://schemas.openxmlformats.org/drawingml/2006/picture">
            <wp:extent cx="6120000" cy="3060000"/>
            <wp:docPr id="3" name="Picture 3" title="프로토콜 수익과 ATOM 가치포착 흐름" descr="외부 수요에서 발생한 프로토콜 수익이 Assurance Reserve와 ATOM Buyback으로 배분되어 네트워크 신뢰와 거래량을 강화하는 순환 구조."/>
            <wp:cNvGraphicFramePr>
              <a:graphicFrameLocks noChangeAspect="1"/>
            </wp:cNvGraphicFramePr>
            <a:graphic>
              <a:graphicData uri="http://schemas.openxmlformats.org/drawingml/2006/picture">
                <pic:pic>
                  <pic:nvPicPr>
                    <pic:cNvPr id="0" name="revenue.png"/>
                    <pic:cNvPicPr/>
                  </pic:nvPicPr>
                  <pic:blipFill>
                    <a:blip r:embed="rId30"/>
                    <a:stretch>
                      <a:fillRect/>
                    </a:stretch>
                  </pic:blipFill>
                  <pic:spPr>
                    <a:xfrm>
                      <a:off x="0" y="0"/>
                      <a:ext cx="6120000" cy="3060000"/>
                    </a:xfrm>
                    <a:prstGeom prst="rect"/>
                  </pic:spPr>
                </pic:pic>
              </a:graphicData>
            </a:graphic>
          </wp:inline>
        </w:drawing>
      </w:r>
    </w:p>
    <w:p>
      <w:pPr>
        <w:spacing w:before="0" w:after="140" w:line="240" w:lineRule="auto"/>
        <w:jc w:val="center"/>
      </w:pPr>
      <w:r>
        <w:rPr>
          <w:rFonts w:ascii="NanumGothic" w:hAnsi="NanumGothic" w:eastAsia="NanumGothic"/>
          <w:i/>
          <w:color w:val="5B6475"/>
          <w:sz w:val="17"/>
        </w:rPr>
        <w:t>그림 3. 외부 서비스 수익의 투명한 ATOM 귀속 흐름 — 본 문서 제안 도식</w:t>
      </w:r>
    </w:p>
    <w:p>
      <w:pPr>
        <w:pStyle w:val="Heading2"/>
        <w:spacing w:before="200" w:after="100" w:line="252" w:lineRule="auto"/>
        <w:keepNext/>
      </w:pPr>
      <w:r>
        <w:rPr>
          <w:rFonts w:ascii="NanumSquare" w:hAnsi="NanumSquare" w:eastAsia="NanumSquare"/>
          <w:b/>
          <w:color w:val="1E244D"/>
          <w:sz w:val="28"/>
        </w:rPr>
        <w:t>8.1 사용자 결제자산과 ATOM 가치포착을 분리</w:t>
      </w:r>
    </w:p>
    <w:p>
      <w:pPr>
        <w:spacing w:before="0" w:after="140" w:line="283" w:lineRule="auto"/>
      </w:pPr>
      <w:r>
        <w:rPr>
          <w:rFonts w:ascii="NanumGothic" w:hAnsi="NanumGothic" w:eastAsia="NanumGothic"/>
          <w:color w:val="1F2633"/>
          <w:sz w:val="21"/>
        </w:rPr>
        <w:t>기관과 사용자가 반드시 ATOM으로 수수료를 내게 하면 환전·회계·가격변동 부담 때문에 채택이 떨어질 수 있다. USDC, OUSD, tokenized deposit 등 고객이 원하는 자산으로 fee를 받고, 프로토콜이 뒤에서 ATOM을 매입하는 편이 UX와 가치포착을 동시에 만족시킨다.</w:t>
      </w:r>
    </w:p>
    <w:p>
      <w:pPr>
        <w:pStyle w:val="Heading2"/>
        <w:spacing w:before="200" w:after="100" w:line="252" w:lineRule="auto"/>
        <w:keepNext/>
      </w:pPr>
      <w:r>
        <w:rPr>
          <w:rFonts w:ascii="NanumSquare" w:hAnsi="NanumSquare" w:eastAsia="NanumSquare"/>
          <w:b/>
          <w:color w:val="1E244D"/>
          <w:sz w:val="28"/>
        </w:rPr>
        <w:t>8.2 권장 Revenue Vault 규칙</w:t>
      </w:r>
    </w:p>
    <w:tbl>
      <w:tblPr>
        <w:tblW w:type="auto" w:w="0"/>
        <w:jc w:val="center"/>
        <w:tblLayout w:type="fixed"/>
        <w:tblLook w:firstColumn="1" w:firstRow="1" w:lastColumn="0" w:lastRow="0" w:noHBand="0" w:noVBand="1" w:val="04A0"/>
      </w:tblPr>
      <w:tblGrid>
        <w:gridCol w:w="3251"/>
        <w:gridCol w:w="3251"/>
        <w:gridCol w:w="3251"/>
      </w:tblGrid>
      <w:tr>
        <w:trPr>
          <w:tblHeader w:val="true"/>
          <w:cantSplit/>
          <w:cantSplit/>
          <w:tblHeader w:val="true"/>
        </w:trPr>
        <w:tc>
          <w:tcPr>
            <w:tcW w:type="dxa" w:w="1020"/>
            <w:shd w:fill="1E244D"/>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center"/>
            </w:pPr>
            <w:r>
              <w:rPr>
                <w:rFonts w:ascii="NanumGothic" w:hAnsi="NanumGothic" w:eastAsia="NanumGothic"/>
                <w:b/>
                <w:color w:val="FFFFFF"/>
                <w:sz w:val="13"/>
              </w:rPr>
              <w:t>순서</w:t>
            </w:r>
          </w:p>
        </w:tc>
        <w:tc>
          <w:tcPr>
            <w:tcW w:type="dxa" w:w="5159"/>
            <w:shd w:fill="1E244D"/>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center"/>
            </w:pPr>
            <w:r>
              <w:rPr>
                <w:rFonts w:ascii="NanumGothic" w:hAnsi="NanumGothic" w:eastAsia="NanumGothic"/>
                <w:b/>
                <w:color w:val="FFFFFF"/>
                <w:sz w:val="13"/>
              </w:rPr>
              <w:t>권장 처리</w:t>
            </w:r>
          </w:p>
        </w:tc>
        <w:tc>
          <w:tcPr>
            <w:tcW w:type="dxa" w:w="3288"/>
            <w:shd w:fill="1E244D"/>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center"/>
            </w:pPr>
            <w:r>
              <w:rPr>
                <w:rFonts w:ascii="NanumGothic" w:hAnsi="NanumGothic" w:eastAsia="NanumGothic"/>
                <w:b/>
                <w:color w:val="FFFFFF"/>
                <w:sz w:val="13"/>
              </w:rPr>
              <w:t>목적</w:t>
            </w:r>
          </w:p>
        </w:tc>
      </w:tr>
      <w:tr>
        <w:trPr>
          <w:cantSplit/>
          <w:cantSplit/>
        </w:trPr>
        <w:tc>
          <w:tcPr>
            <w:tcW w:type="dxa" w:w="1020"/>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1</w:t>
            </w:r>
          </w:p>
        </w:tc>
        <w:tc>
          <w:tcPr>
            <w:tcW w:type="dxa" w:w="5159"/>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Gross Revenue 기록</w:t>
            </w:r>
          </w:p>
        </w:tc>
        <w:tc>
          <w:tcPr>
            <w:tcW w:type="dxa" w:w="3288"/>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계약상·발생·수령 상태 분리</w:t>
            </w:r>
          </w:p>
        </w:tc>
      </w:tr>
      <w:tr>
        <w:trPr>
          <w:cantSplit/>
          <w:cantSplit/>
        </w:trPr>
        <w:tc>
          <w:tcPr>
            <w:tcW w:type="dxa" w:w="1020"/>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2</w:t>
            </w:r>
          </w:p>
        </w:tc>
        <w:tc>
          <w:tcPr>
            <w:tcW w:type="dxa" w:w="5159"/>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Provider Payout 공제</w:t>
            </w:r>
          </w:p>
        </w:tc>
        <w:tc>
          <w:tcPr>
            <w:tcW w:type="dxa" w:w="3288"/>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사업자 몫과 Hub 몫 분리</w:t>
            </w:r>
          </w:p>
        </w:tc>
      </w:tr>
      <w:tr>
        <w:trPr>
          <w:cantSplit/>
          <w:cantSplit/>
        </w:trPr>
        <w:tc>
          <w:tcPr>
            <w:tcW w:type="dxa" w:w="1020"/>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3</w:t>
            </w:r>
          </w:p>
        </w:tc>
        <w:tc>
          <w:tcPr>
            <w:tcW w:type="dxa" w:w="5159"/>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환불·보상·세금·직접 실행비 공제</w:t>
            </w:r>
          </w:p>
        </w:tc>
        <w:tc>
          <w:tcPr>
            <w:tcW w:type="dxa" w:w="3288"/>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실제 순기여이익 산출</w:t>
            </w:r>
          </w:p>
        </w:tc>
      </w:tr>
      <w:tr>
        <w:trPr>
          <w:cantSplit/>
          <w:cantSplit/>
        </w:trPr>
        <w:tc>
          <w:tcPr>
            <w:tcW w:type="dxa" w:w="1020"/>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4</w:t>
            </w:r>
          </w:p>
        </w:tc>
        <w:tc>
          <w:tcPr>
            <w:tcW w:type="dxa" w:w="5159"/>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최소 12개월 운영비 적립</w:t>
            </w:r>
          </w:p>
        </w:tc>
        <w:tc>
          <w:tcPr>
            <w:tcW w:type="dxa" w:w="3288"/>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운영연속성 확보</w:t>
            </w:r>
          </w:p>
        </w:tc>
      </w:tr>
      <w:tr>
        <w:trPr>
          <w:cantSplit/>
          <w:cantSplit/>
        </w:trPr>
        <w:tc>
          <w:tcPr>
            <w:tcW w:type="dxa" w:w="1020"/>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5</w:t>
            </w:r>
          </w:p>
        </w:tc>
        <w:tc>
          <w:tcPr>
            <w:tcW w:type="dxa" w:w="5159"/>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예상손실·SLA 노출액 기준 Assurance Reserve 목표 충족</w:t>
            </w:r>
          </w:p>
        </w:tc>
        <w:tc>
          <w:tcPr>
            <w:tcW w:type="dxa" w:w="3288"/>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보상능력과 tail-risk 완충</w:t>
            </w:r>
          </w:p>
        </w:tc>
      </w:tr>
      <w:tr>
        <w:trPr>
          <w:cantSplit/>
        </w:trPr>
        <w:tc>
          <w:tcPr>
            <w:tcW w:type="dxa" w:w="3251"/>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7F8FB"/>
          </w:tcPr>
          <w:p>
            <w:pPr>
              <w:spacing w:after="0" w:before="0" w:line="252" w:lineRule="auto"/>
            </w:pPr>
            <w:r>
              <w:rPr>
                <w:rFonts w:ascii="NanumGothic" w:hAnsi="NanumGothic" w:eastAsia="NanumGothic"/>
                <w:color w:val="1E244D"/>
                <w:sz w:val="13"/>
              </w:rPr>
              <w:t>6</w:t>
            </w:r>
          </w:p>
        </w:tc>
        <w:tc>
          <w:tcPr>
            <w:tcW w:type="dxa" w:w="3251"/>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7F8FB"/>
          </w:tcPr>
          <w:p>
            <w:pPr>
              <w:spacing w:after="0" w:before="0" w:line="252" w:lineRule="auto"/>
            </w:pPr>
            <w:r>
              <w:rPr>
                <w:rFonts w:ascii="NanumGothic" w:hAnsi="NanumGothic" w:eastAsia="NanumGothic"/>
                <w:color w:val="1E244D"/>
                <w:sz w:val="13"/>
              </w:rPr>
              <w:t>Audit·Bug Bounty·Security Operations 적립</w:t>
            </w:r>
          </w:p>
        </w:tc>
        <w:tc>
          <w:tcPr>
            <w:tcW w:type="dxa" w:w="3251"/>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7F8FB"/>
          </w:tcPr>
          <w:p>
            <w:pPr>
              <w:spacing w:after="0" w:before="0" w:line="252" w:lineRule="auto"/>
            </w:pPr>
            <w:r>
              <w:rPr>
                <w:rFonts w:ascii="NanumGothic" w:hAnsi="NanumGothic" w:eastAsia="NanumGothic"/>
                <w:color w:val="1E244D"/>
                <w:sz w:val="13"/>
              </w:rPr>
              <w:t>보안·감사 지속성</w:t>
            </w:r>
          </w:p>
        </w:tc>
      </w:tr>
      <w:tr>
        <w:trPr>
          <w:cantSplit/>
        </w:trPr>
        <w:tc>
          <w:tcPr>
            <w:tcW w:type="dxa" w:w="3251"/>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FFFFF"/>
          </w:tcPr>
          <w:p>
            <w:pPr>
              <w:spacing w:after="0" w:before="0" w:line="252" w:lineRule="auto"/>
            </w:pPr>
            <w:r>
              <w:rPr>
                <w:rFonts w:ascii="NanumGothic" w:hAnsi="NanumGothic" w:eastAsia="NanumGothic"/>
                <w:color w:val="1E244D"/>
                <w:sz w:val="13"/>
              </w:rPr>
              <w:t>7</w:t>
            </w:r>
          </w:p>
        </w:tc>
        <w:tc>
          <w:tcPr>
            <w:tcW w:type="dxa" w:w="3251"/>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FFFFF"/>
          </w:tcPr>
          <w:p>
            <w:pPr>
              <w:spacing w:after="0" w:before="0" w:line="252" w:lineRule="auto"/>
            </w:pPr>
            <w:r>
              <w:rPr>
                <w:rFonts w:ascii="NanumGothic" w:hAnsi="NanumGothic" w:eastAsia="NanumGothic"/>
                <w:color w:val="1E244D"/>
                <w:sz w:val="13"/>
              </w:rPr>
              <w:t>잔여 순수익 배분</w:t>
            </w:r>
          </w:p>
        </w:tc>
        <w:tc>
          <w:tcPr>
            <w:tcW w:type="dxa" w:w="3251"/>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FFFFF"/>
          </w:tcPr>
          <w:p>
            <w:pPr>
              <w:spacing w:after="0" w:before="0" w:line="252" w:lineRule="auto"/>
            </w:pPr>
            <w:r>
              <w:rPr>
                <w:rFonts w:ascii="NanumGothic" w:hAnsi="NanumGothic" w:eastAsia="NanumGothic"/>
                <w:color w:val="1E244D"/>
                <w:sz w:val="13"/>
              </w:rPr>
              <w:t>ATOM 매입·공공인프라·추가 reserve</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8.3 위험기반 배분과 Pilot Illustration</w:t>
      </w:r>
    </w:p>
    <w:tbl>
      <w:tblPr>
        <w:tblW w:type="auto" w:w="0"/>
        <w:jc w:val="center"/>
        <w:tblLayout w:type="autofit"/>
        <w:tblLook w:firstColumn="1" w:firstRow="1" w:lastColumn="0" w:lastRow="0" w:noHBand="0" w:noVBand="1" w:val="04A0"/>
      </w:tblPr>
      <w:tblGrid>
        <w:gridCol w:w="9752"/>
      </w:tblGrid>
      <w:tr>
        <w:trPr>
          <w:cantSplit/>
        </w:trPr>
        <w:tc>
          <w:tcPr>
            <w:tcW w:type="dxa" w:w="9752"/>
            <w:shd w:fill="F0EDFF"/>
            <w:tcBorders>
              <w:top w:val="single" w:sz="12" w:color="6F5AE8"/>
              <w:left w:val="single" w:sz="12" w:color="6F5AE8"/>
              <w:bottom w:val="single" w:sz="12" w:color="6F5AE8"/>
              <w:right w:val="single" w:sz="12" w:color="6F5AE8"/>
            </w:tcBorders>
            <w:tcMar>
              <w:top w:w="150" w:type="dxa"/>
              <w:start w:w="180" w:type="dxa"/>
              <w:bottom w:w="150" w:type="dxa"/>
              <w:end w:w="180" w:type="dxa"/>
            </w:tcMar>
            <w:vAlign w:val="center"/>
          </w:tcPr>
          <w:p>
            <w:pPr>
              <w:spacing w:before="0" w:after="0" w:line="252" w:lineRule="auto"/>
            </w:pPr>
            <w:r>
              <w:rPr>
                <w:rFonts w:ascii="NanumSquare" w:hAnsi="NanumSquare" w:eastAsia="NanumSquare"/>
                <w:b/>
                <w:color w:val="1E244D"/>
                <w:sz w:val="15"/>
              </w:rPr>
              <w:t>Pilot illustration — reserve 목표 충족 후 잔여수익에만 적용</w:t>
            </w:r>
            <w:r>
              <w:rPr>
                <w:rFonts w:ascii="NanumGothic" w:hAnsi="NanumGothic" w:eastAsia="NanumGothic"/>
                <w:color w:val="1E244D"/>
                <w:sz w:val="14"/>
              </w:rPr>
              <w:br/>
              <w:t>Assurance Reserve가 목표 이하이면 ATOM 매입률을 자동 축소하거나 일시 중단한다. 목표 초과분에 한해 예시적으로 잔여 순수익의 50% ATOM 매입, 30% 추가 reserve, 20% 유지보수·공공인프라 배분을 검증한다. 이는 확정 배분규칙이 아니다.</w:t>
            </w:r>
          </w:p>
        </w:tc>
      </w:tr>
    </w:tbl>
    <w:tbl>
      <w:tblPr>
        <w:tblW w:type="auto" w:w="0"/>
        <w:jc w:val="center"/>
        <w:tblLayout w:type="fixed"/>
        <w:tblLook w:firstColumn="1" w:firstRow="1" w:lastColumn="0" w:lastRow="0" w:noHBand="0" w:noVBand="1" w:val="04A0"/>
      </w:tblPr>
      <w:tblGrid>
        <w:gridCol w:w="4876"/>
        <w:gridCol w:w="4876"/>
      </w:tblGrid>
      <w:tr>
        <w:trPr>
          <w:cantSplit/>
          <w:tblHeader w:val="true"/>
        </w:trPr>
        <w:tc>
          <w:tcPr>
            <w:tcW w:type="dxa" w:w="3280"/>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Reserve 목표 입력</w:t>
            </w:r>
          </w:p>
        </w:tc>
        <w:tc>
          <w:tcPr>
            <w:tcW w:type="dxa" w:w="6368"/>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설명</w:t>
            </w:r>
          </w:p>
        </w:tc>
      </w:tr>
      <w:tr>
        <w:trPr>
          <w:cantSplit/>
        </w:trPr>
        <w:tc>
          <w:tcPr>
            <w:tcW w:type="dxa" w:w="3280"/>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최근 12개월 실제 보상액</w:t>
            </w:r>
          </w:p>
        </w:tc>
        <w:tc>
          <w:tcPr>
            <w:tcW w:type="dxa" w:w="6368"/>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실현 손실 기준</w:t>
            </w:r>
          </w:p>
        </w:tc>
      </w:tr>
      <w:tr>
        <w:trPr>
          <w:cantSplit/>
        </w:trPr>
        <w:tc>
          <w:tcPr>
            <w:tcW w:type="dxa" w:w="3280"/>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99% 신뢰수준 예상손실</w:t>
            </w:r>
          </w:p>
        </w:tc>
        <w:tc>
          <w:tcPr>
            <w:tcW w:type="dxa" w:w="6368"/>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통계적 보상노출</w:t>
            </w:r>
          </w:p>
        </w:tc>
      </w:tr>
      <w:tr>
        <w:trPr>
          <w:cantSplit/>
        </w:trPr>
        <w:tc>
          <w:tcPr>
            <w:tcW w:type="dxa" w:w="3280"/>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최대 단일 provider 노출액</w:t>
            </w:r>
          </w:p>
        </w:tc>
        <w:tc>
          <w:tcPr>
            <w:tcW w:type="dxa" w:w="6368"/>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사업자 집중위험</w:t>
            </w:r>
          </w:p>
        </w:tc>
      </w:tr>
      <w:tr>
        <w:trPr>
          <w:cantSplit/>
        </w:trPr>
        <w:tc>
          <w:tcPr>
            <w:tcW w:type="dxa" w:w="3280"/>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최대 단일 경로 노출액</w:t>
            </w:r>
          </w:p>
        </w:tc>
        <w:tc>
          <w:tcPr>
            <w:tcW w:type="dxa" w:w="6368"/>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경로 집중위험</w:t>
            </w:r>
          </w:p>
        </w:tc>
      </w:tr>
      <w:tr>
        <w:trPr>
          <w:cantSplit/>
        </w:trPr>
        <w:tc>
          <w:tcPr>
            <w:tcW w:type="dxa" w:w="3280"/>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Stress loss multiple</w:t>
            </w:r>
          </w:p>
        </w:tc>
        <w:tc>
          <w:tcPr>
            <w:tcW w:type="dxa" w:w="6368"/>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상관된 체인·relay 장애</w:t>
            </w:r>
          </w:p>
        </w:tc>
      </w:tr>
      <w:tr>
        <w:trPr>
          <w:cantSplit/>
        </w:trPr>
        <w:tc>
          <w:tcPr>
            <w:tcW w:type="dxa" w:w="3280"/>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독립 리스크 검토 결과</w:t>
            </w:r>
          </w:p>
        </w:tc>
        <w:tc>
          <w:tcPr>
            <w:tcW w:type="dxa" w:w="6368"/>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외부 검토의 조정계수</w:t>
            </w:r>
          </w:p>
        </w:tc>
      </w:tr>
    </w:tbl>
    <w:p>
      <w:pPr>
        <w:spacing w:after="40"/>
      </w:pPr>
    </w:p>
    <w:p>
      <w:pPr>
        <w:spacing w:before="0" w:after="140" w:line="283" w:lineRule="auto"/>
      </w:pPr>
      <w:r>
        <w:rPr>
          <w:rFonts w:ascii="NanumGothic" w:hAnsi="NanumGothic" w:eastAsia="NanumGothic"/>
          <w:color w:val="1F2633"/>
          <w:sz w:val="21"/>
        </w:rPr>
        <w:t>공식 발표된 Injective USDC 합의도 수익으로 ATOM을 매입해 Community Pool로 보내는 경로를 제시한다. 다만 실제 반복수익·매입·귀속은 Revenue Dashboard에서 계약상 예정액, 실제 수령액, ATOM 매입액, Community Pool 귀속액으로 구분해 검증한다. [R3] [R12] [R13]</w:t>
      </w:r>
    </w:p>
    <w:p>
      <w:pPr>
        <w:pStyle w:val="Heading2"/>
        <w:spacing w:before="200" w:after="100" w:line="252" w:lineRule="auto"/>
        <w:keepNext/>
      </w:pPr>
      <w:r>
        <w:rPr>
          <w:rFonts w:ascii="NanumSquare" w:hAnsi="NanumSquare" w:eastAsia="NanumSquare"/>
          <w:b/>
          <w:color w:val="1E244D"/>
          <w:sz w:val="28"/>
        </w:rPr>
        <w:t>8.4 투명성 요구사항</w:t>
      </w:r>
    </w:p>
    <w:p>
      <w:pPr>
        <w:pStyle w:val="ListBullet"/>
        <w:spacing w:before="0" w:after="60" w:line="269" w:lineRule="auto"/>
        <w:ind w:left="340" w:hanging="170"/>
      </w:pPr>
      <w:r>
        <w:rPr>
          <w:rFonts w:ascii="NanumGothic" w:hAnsi="NanumGothic" w:eastAsia="NanumGothic"/>
          <w:color w:val="1F2633"/>
          <w:sz w:val="21"/>
        </w:rPr>
        <w:t>Mintscan에 Contracted Revenue, Accrued Revenue, Cash/Token Received, Provider Payout, Reserve, ATOM Purchased, Community Pool Deposited, Pending/Overdue를 구분해 공개한다.</w:t>
      </w:r>
    </w:p>
    <w:p>
      <w:pPr>
        <w:pStyle w:val="ListBullet"/>
        <w:spacing w:before="0" w:after="60" w:line="269" w:lineRule="auto"/>
        <w:ind w:left="340" w:hanging="170"/>
      </w:pPr>
      <w:r>
        <w:rPr>
          <w:rFonts w:ascii="NanumGothic" w:hAnsi="NanumGothic" w:eastAsia="NanumGothic"/>
          <w:color w:val="1F2633"/>
          <w:sz w:val="21"/>
        </w:rPr>
        <w:t>오프체인 기업계약은 최소한 gross contract revenue, protocol share 산식, 지급주기, 실제 수령액, 미수·연체 상태, 감사 가능성을 공개한다.</w:t>
      </w:r>
    </w:p>
    <w:p>
      <w:pPr>
        <w:pStyle w:val="ListBullet"/>
        <w:spacing w:before="0" w:after="60" w:line="269" w:lineRule="auto"/>
        <w:ind w:left="340" w:hanging="170"/>
      </w:pPr>
      <w:r>
        <w:rPr>
          <w:rFonts w:ascii="NanumGothic" w:hAnsi="NanumGothic" w:eastAsia="NanumGothic"/>
          <w:color w:val="1F2633"/>
          <w:sz w:val="21"/>
        </w:rPr>
        <w:t>다중서명 수동정산을 줄이고 가능한 범위에서 자동 Revenue Router를 사용한다.</w:t>
      </w:r>
    </w:p>
    <w:p>
      <w:pPr>
        <w:pStyle w:val="ListBullet"/>
        <w:spacing w:before="0" w:after="60" w:line="269" w:lineRule="auto"/>
        <w:ind w:left="340" w:hanging="170"/>
      </w:pPr>
      <w:r>
        <w:rPr>
          <w:rFonts w:ascii="NanumGothic" w:hAnsi="NanumGothic" w:eastAsia="NanumGothic"/>
          <w:color w:val="1F2633"/>
          <w:sz w:val="21"/>
        </w:rPr>
        <w:t>성과보고는 token price가 아니라 반복수익·거래품질·외부고객 수로 평가한다.</w:t>
      </w:r>
    </w:p>
    <w:p>
      <w:pPr>
        <w:pStyle w:val="Heading2"/>
      </w:pPr>
      <w:r>
        <w:rPr>
          <w:rFonts w:ascii="NanumSquare" w:hAnsi="NanumSquare" w:eastAsia="NanumSquare"/>
        </w:rPr>
        <w:t>8.5 ATOM Buyback Execution Policy</w:t>
      </w:r>
    </w:p>
    <w:p>
      <w:pPr>
        <w:spacing w:after="60" w:line="252" w:lineRule="auto"/>
      </w:pPr>
      <w:r>
        <w:rPr>
          <w:rFonts w:ascii="NanumGothic" w:hAnsi="NanumGothic" w:eastAsia="NanumGothic"/>
          <w:b w:val="0"/>
          <w:color w:val="1E244D"/>
          <w:sz w:val="14"/>
        </w:rPr>
        <w:t>1. TWAP 또는 batch auction 방식</w:t>
      </w:r>
    </w:p>
    <w:p>
      <w:pPr>
        <w:spacing w:after="60" w:line="252" w:lineRule="auto"/>
      </w:pPr>
      <w:r>
        <w:rPr>
          <w:rFonts w:ascii="NanumGothic" w:hAnsi="NanumGothic" w:eastAsia="NanumGothic"/>
          <w:b w:val="0"/>
          <w:color w:val="1E244D"/>
          <w:sz w:val="14"/>
        </w:rPr>
        <w:t>2. 일별·주별 최대 매입한도</w:t>
      </w:r>
    </w:p>
    <w:p>
      <w:pPr>
        <w:spacing w:after="60" w:line="252" w:lineRule="auto"/>
      </w:pPr>
      <w:r>
        <w:rPr>
          <w:rFonts w:ascii="NanumGothic" w:hAnsi="NanumGothic" w:eastAsia="NanumGothic"/>
          <w:b w:val="0"/>
          <w:color w:val="1E244D"/>
          <w:sz w:val="14"/>
        </w:rPr>
        <w:t>3. 거래당 slippage cap</w:t>
      </w:r>
    </w:p>
    <w:p>
      <w:pPr>
        <w:spacing w:after="60" w:line="252" w:lineRule="auto"/>
      </w:pPr>
      <w:r>
        <w:rPr>
          <w:rFonts w:ascii="NanumGothic" w:hAnsi="NanumGothic" w:eastAsia="NanumGothic"/>
          <w:b w:val="0"/>
          <w:color w:val="1E244D"/>
          <w:sz w:val="14"/>
        </w:rPr>
        <w:t>4. 다수 venue·RFQ provider 경쟁</w:t>
      </w:r>
    </w:p>
    <w:p>
      <w:pPr>
        <w:spacing w:after="60" w:line="252" w:lineRule="auto"/>
      </w:pPr>
      <w:r>
        <w:rPr>
          <w:rFonts w:ascii="NanumGothic" w:hAnsi="NanumGothic" w:eastAsia="NanumGothic"/>
          <w:b w:val="0"/>
          <w:color w:val="1E244D"/>
          <w:sz w:val="14"/>
        </w:rPr>
        <w:t>5. MEV·sandwich 보호경로</w:t>
      </w:r>
    </w:p>
    <w:p>
      <w:pPr>
        <w:spacing w:after="60" w:line="252" w:lineRule="auto"/>
      </w:pPr>
      <w:r>
        <w:rPr>
          <w:rFonts w:ascii="NanumGothic" w:hAnsi="NanumGothic" w:eastAsia="NanumGothic"/>
          <w:b w:val="0"/>
          <w:color w:val="1E244D"/>
          <w:sz w:val="14"/>
        </w:rPr>
        <w:t>6. 특정 validator·router·DEX 편중 제한</w:t>
      </w:r>
    </w:p>
    <w:p>
      <w:pPr>
        <w:spacing w:after="60" w:line="252" w:lineRule="auto"/>
      </w:pPr>
      <w:r>
        <w:rPr>
          <w:rFonts w:ascii="NanumGothic" w:hAnsi="NanumGothic" w:eastAsia="NanumGothic"/>
          <w:b w:val="0"/>
          <w:color w:val="1E244D"/>
          <w:sz w:val="14"/>
        </w:rPr>
        <w:t>7. 집행자 이해상충 신고</w:t>
      </w:r>
    </w:p>
    <w:p>
      <w:pPr>
        <w:spacing w:after="60" w:line="252" w:lineRule="auto"/>
      </w:pPr>
      <w:r>
        <w:rPr>
          <w:rFonts w:ascii="NanumGothic" w:hAnsi="NanumGothic" w:eastAsia="NanumGothic"/>
          <w:b w:val="0"/>
          <w:color w:val="1E244D"/>
          <w:sz w:val="14"/>
        </w:rPr>
        <w:t>8. 사전 미공개·사후 투명공개 원칙</w:t>
      </w:r>
    </w:p>
    <w:p>
      <w:pPr>
        <w:spacing w:after="60" w:line="252" w:lineRule="auto"/>
      </w:pPr>
      <w:r>
        <w:rPr>
          <w:rFonts w:ascii="NanumGothic" w:hAnsi="NanumGothic" w:eastAsia="NanumGothic"/>
          <w:b w:val="0"/>
          <w:color w:val="1E244D"/>
          <w:sz w:val="14"/>
        </w:rPr>
        <w:t>9. 평균 집행가격·시장영향·수수료 공개</w:t>
      </w:r>
    </w:p>
    <w:p>
      <w:pPr>
        <w:spacing w:after="60" w:line="252" w:lineRule="auto"/>
      </w:pPr>
      <w:r>
        <w:rPr>
          <w:rFonts w:ascii="NanumGothic" w:hAnsi="NanumGothic" w:eastAsia="NanumGothic"/>
          <w:b w:val="0"/>
          <w:color w:val="1E244D"/>
          <w:sz w:val="14"/>
        </w:rPr>
        <w:t>10. 매입 ATOM의 Community Pool 귀속 transaction 공개</w:t>
      </w:r>
    </w:p>
    <w:p>
      <w:pPr>
        <w:spacing w:after="60" w:line="252" w:lineRule="auto"/>
      </w:pPr>
      <w:r>
        <w:rPr>
          <w:rFonts w:ascii="NanumGothic" w:hAnsi="NanumGothic" w:eastAsia="NanumGothic"/>
          <w:b w:val="0"/>
          <w:color w:val="C54848"/>
          <w:sz w:val="14"/>
        </w:rPr>
        <w:t>금지: 매입시간·금액의 사전 상세공개 / 특정 DEX와의 영구 독점 / 수동 multisig 단일집행자 의존 / ATOM 가격목표 또는 가격방어 약속</w:t>
      </w:r>
    </w:p>
    <w:p>
      <w:pPr>
        <w:pStyle w:val="Heading1"/>
        <w:spacing w:before="280" w:after="140" w:line="252" w:lineRule="auto"/>
        <w:keepNext/>
      </w:pPr>
      <w:r>
        <w:rPr>
          <w:rFonts w:ascii="NanumSquare" w:hAnsi="NanumSquare" w:eastAsia="NanumSquare"/>
          <w:b/>
          <w:color w:val="1E244D"/>
          <w:sz w:val="36"/>
        </w:rPr>
        <w:t>9. 경제성·수수료 설계</w:t>
      </w:r>
    </w:p>
    <w:tbl>
      <w:tblPr>
        <w:tblW w:type="auto" w:w="0"/>
        <w:jc w:val="left"/>
        <w:tblLayout w:type="fixed"/>
        <w:tblLook w:firstColumn="1" w:firstRow="1" w:lastColumn="0" w:lastRow="0" w:noHBand="0" w:noVBand="1" w:val="04A0"/>
      </w:tblPr>
      <w:tblGrid>
        <w:gridCol w:w="9752"/>
      </w:tblGrid>
      <w:tr>
        <w:trPr>
          <w:cantSplit/>
        </w:trPr>
        <w:tc>
          <w:tcPr>
            <w:tcW w:type="dxa" w:w="2551"/>
            <w:shd w:fill="FFF4E8"/>
            <w:tcBorders>
              <w:top w:val="single" w:sz="8" w:color="D97A2B"/>
              <w:left w:val="single" w:sz="8" w:color="D97A2B"/>
              <w:bottom w:val="single" w:sz="8" w:color="D97A2B"/>
              <w:right w:val="single" w:sz="8" w:color="D97A2B"/>
            </w:tcBorders>
            <w:tcMar>
              <w:top w:w="60" w:type="dxa"/>
              <w:start w:w="110" w:type="dxa"/>
              <w:bottom w:w="60" w:type="dxa"/>
              <w:end w:w="110" w:type="dxa"/>
            </w:tcMar>
          </w:tcPr>
          <w:p>
            <w:pPr>
              <w:spacing w:before="0" w:after="0" w:line="240" w:lineRule="auto"/>
            </w:pPr>
            <w:r>
              <w:rPr>
                <w:rFonts w:ascii="NanumGothic" w:hAnsi="NanumGothic" w:eastAsia="NanumGothic"/>
                <w:b/>
                <w:color w:val="D97A2B"/>
                <w:sz w:val="18"/>
              </w:rPr>
              <w:t>[가정 기반 민감도 분석]</w:t>
            </w:r>
          </w:p>
        </w:tc>
      </w:tr>
    </w:tbl>
    <w:p>
      <w:pPr>
        <w:spacing w:after="0"/>
      </w:pPr>
    </w:p>
    <w:p>
      <w:pPr>
        <w:pStyle w:val="Heading2"/>
        <w:spacing w:before="200" w:after="100" w:line="252" w:lineRule="auto"/>
        <w:keepNext/>
      </w:pPr>
      <w:r>
        <w:rPr>
          <w:rFonts w:ascii="NanumSquare" w:hAnsi="NanumSquare" w:eastAsia="NanumSquare"/>
          <w:b/>
          <w:color w:val="1E244D"/>
          <w:sz w:val="28"/>
        </w:rPr>
        <w:t>9.1 기본 수익식</w:t>
      </w:r>
    </w:p>
    <w:tbl>
      <w:tblPr>
        <w:tblW w:type="auto" w:w="0"/>
        <w:jc w:val="center"/>
        <w:tblLayout w:type="autofit"/>
        <w:tblLook w:firstColumn="1" w:firstRow="1" w:lastColumn="0" w:lastRow="0" w:noHBand="0" w:noVBand="1" w:val="04A0"/>
      </w:tblPr>
      <w:tblGrid>
        <w:gridCol w:w="9752"/>
      </w:tblGrid>
      <w:tr>
        <w:trPr>
          <w:cantSplit/>
        </w:trPr>
        <w:tc>
          <w:tcPr>
            <w:tcW w:type="dxa" w:w="9752"/>
            <w:shd w:fill="FFF4E8"/>
            <w:tcBorders>
              <w:top w:val="single" w:sz="12" w:color="D97A2B"/>
              <w:left w:val="single" w:sz="12" w:color="D97A2B"/>
              <w:bottom w:val="single" w:sz="12" w:color="D97A2B"/>
              <w:right w:val="single" w:sz="12" w:color="D97A2B"/>
            </w:tcBorders>
            <w:tcMar>
              <w:top w:w="150" w:type="dxa"/>
              <w:start w:w="180" w:type="dxa"/>
              <w:bottom w:w="150" w:type="dxa"/>
              <w:end w:w="180" w:type="dxa"/>
            </w:tcMar>
            <w:vAlign w:val="center"/>
          </w:tcPr>
          <w:p>
            <w:pPr>
              <w:spacing w:before="0" w:after="0" w:line="252" w:lineRule="auto"/>
            </w:pPr>
            <w:r>
              <w:rPr>
                <w:rFonts w:ascii="NanumSquare" w:hAnsi="NanumSquare" w:eastAsia="NanumSquare"/>
                <w:b/>
                <w:color w:val="1E244D"/>
                <w:sz w:val="15"/>
              </w:rPr>
              <w:t>수익식</w:t>
            </w:r>
            <w:r>
              <w:rPr>
                <w:rFonts w:ascii="NanumGothic" w:hAnsi="NanumGothic" w:eastAsia="NanumGothic"/>
                <w:color w:val="1E244D"/>
                <w:sz w:val="14"/>
              </w:rPr>
              <w:br/>
              <w:t>① Asset Distribution Revenue = 적격 평균 유통잔액 × 발행사 incentive rate × Hub share</w:t>
              <w:br/>
              <w:t>② Assured Delivery SLA Revenue = premium transaction volume × protocol fee rate</w:t>
              <w:br/>
              <w:t>③ Enterprise Revenue = 기관 수 × 연간 SLA 계약액 × protocol share</w:t>
              <w:br/>
              <w:t>④ Registry Revenue = 검증·API 요청량 × 단가 × protocol share</w:t>
            </w:r>
          </w:p>
        </w:tc>
      </w:tr>
    </w:tbl>
    <w:p>
      <w:pPr>
        <w:spacing w:after="40"/>
      </w:pPr>
    </w:p>
    <w:p>
      <w:pPr>
        <w:pStyle w:val="Heading2"/>
        <w:spacing w:before="200" w:after="100" w:line="252" w:lineRule="auto"/>
        <w:keepNext/>
      </w:pPr>
      <w:r>
        <w:rPr>
          <w:rFonts w:ascii="NanumSquare" w:hAnsi="NanumSquare" w:eastAsia="NanumSquare"/>
          <w:b/>
          <w:color w:val="1E244D"/>
          <w:sz w:val="28"/>
        </w:rPr>
        <w:t>9.2 Premium volume 민감도</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294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연간 유료경로 거래액</w:t>
            </w:r>
          </w:p>
        </w:tc>
        <w:tc>
          <w:tcPr>
            <w:tcW w:type="dxa" w:w="215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0.05bp</w:t>
            </w:r>
          </w:p>
        </w:tc>
        <w:tc>
          <w:tcPr>
            <w:tcW w:type="dxa" w:w="215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0.10bp</w:t>
            </w:r>
          </w:p>
        </w:tc>
        <w:tc>
          <w:tcPr>
            <w:tcW w:type="dxa" w:w="215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0.20bp</w:t>
            </w:r>
          </w:p>
        </w:tc>
      </w:tr>
      <w:tr>
        <w:trPr>
          <w:cantSplit/>
        </w:trPr>
        <w:tc>
          <w:tcPr>
            <w:tcW w:type="dxa" w:w="294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$100B</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$500K</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$1.0M</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$2.0M</w:t>
            </w:r>
          </w:p>
        </w:tc>
      </w:tr>
      <w:tr>
        <w:trPr>
          <w:cantSplit/>
        </w:trPr>
        <w:tc>
          <w:tcPr>
            <w:tcW w:type="dxa" w:w="294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$500B</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$2.5M</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$5.0M</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$10.0M</w:t>
            </w:r>
          </w:p>
        </w:tc>
      </w:tr>
      <w:tr>
        <w:trPr>
          <w:cantSplit/>
        </w:trPr>
        <w:tc>
          <w:tcPr>
            <w:tcW w:type="dxa" w:w="294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$1000B</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$5.0M</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$10.0M</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$20.0M</w:t>
            </w:r>
          </w:p>
        </w:tc>
      </w:tr>
      <w:tr>
        <w:trPr>
          <w:cantSplit/>
        </w:trPr>
        <w:tc>
          <w:tcPr>
            <w:tcW w:type="dxa" w:w="294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$5000B</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$25.0M</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$50.0M</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$100.0M</w:t>
            </w:r>
          </w:p>
        </w:tc>
      </w:tr>
    </w:tbl>
    <w:p>
      <w:pPr>
        <w:spacing w:before="0" w:after="20" w:line="283" w:lineRule="auto"/>
      </w:pPr>
    </w:p>
    <w:p>
      <w:pPr>
        <w:spacing w:before="0" w:after="100" w:line="259" w:lineRule="auto"/>
      </w:pPr>
      <w:r>
        <w:rPr>
          <w:rFonts w:ascii="NanumGothic" w:hAnsi="NanumGothic" w:eastAsia="NanumGothic"/>
          <w:i/>
          <w:color w:val="5B6475"/>
          <w:sz w:val="17"/>
        </w:rPr>
        <w:t>단순 산술 민감도이며 시장전망이 아니다. 실제 fee는 provider premium, gas, liquidity cost와 분리하여 고객 인터뷰와 pilot에서 검증해야 한다.</w:t>
      </w:r>
    </w:p>
    <w:p>
      <w:pPr>
        <w:pStyle w:val="Heading2"/>
        <w:spacing w:before="200" w:after="100" w:line="252" w:lineRule="auto"/>
        <w:keepNext/>
      </w:pPr>
      <w:r>
        <w:rPr>
          <w:rFonts w:ascii="NanumSquare" w:hAnsi="NanumSquare" w:eastAsia="NanumSquare"/>
          <w:b/>
          <w:color w:val="1E244D"/>
          <w:sz w:val="28"/>
        </w:rPr>
        <w:t>9.3 가격설계 원칙</w:t>
      </w:r>
    </w:p>
    <w:p>
      <w:pPr>
        <w:pStyle w:val="ListBullet"/>
        <w:spacing w:before="0" w:after="60" w:line="269" w:lineRule="auto"/>
        <w:ind w:left="340" w:hanging="170"/>
      </w:pPr>
      <w:r>
        <w:rPr>
          <w:rFonts w:ascii="NanumGothic" w:hAnsi="NanumGothic" w:eastAsia="NanumGothic"/>
          <w:color w:val="1F2633"/>
          <w:sz w:val="21"/>
        </w:rPr>
        <w:t>Base IBC: 별도 Hub premium 0. 사용자가 직접 경로를 선택할 자유를 유지한다.</w:t>
      </w:r>
    </w:p>
    <w:p>
      <w:pPr>
        <w:pStyle w:val="ListBullet"/>
        <w:spacing w:before="0" w:after="60" w:line="269" w:lineRule="auto"/>
        <w:ind w:left="340" w:hanging="170"/>
      </w:pPr>
      <w:r>
        <w:rPr>
          <w:rFonts w:ascii="NanumGothic" w:hAnsi="NanumGothic" w:eastAsia="NanumGothic"/>
          <w:color w:val="1F2633"/>
          <w:sz w:val="21"/>
        </w:rPr>
        <w:t>Distribution: 성과형 인센티브 pool에서 Hub가 take rate를 받는다.</w:t>
      </w:r>
    </w:p>
    <w:p>
      <w:pPr>
        <w:pStyle w:val="ListBullet"/>
        <w:spacing w:before="0" w:after="60" w:line="269" w:lineRule="auto"/>
        <w:ind w:left="340" w:hanging="170"/>
      </w:pPr>
      <w:r>
        <w:rPr>
          <w:rFonts w:ascii="NanumGothic" w:hAnsi="NanumGothic" w:eastAsia="NanumGothic"/>
          <w:color w:val="1F2633"/>
          <w:sz w:val="21"/>
        </w:rPr>
        <w:t>Assured Delivery SLA: provider가 premium을 제시하고 Hub는 일정 비율 또는 소액 protocol fee를 취득한다.</w:t>
      </w:r>
    </w:p>
    <w:p>
      <w:pPr>
        <w:pStyle w:val="ListBullet"/>
        <w:spacing w:before="0" w:after="60" w:line="269" w:lineRule="auto"/>
        <w:ind w:left="340" w:hanging="170"/>
      </w:pPr>
      <w:r>
        <w:rPr>
          <w:rFonts w:ascii="NanumGothic" w:hAnsi="NanumGothic" w:eastAsia="NanumGothic"/>
          <w:color w:val="1F2633"/>
          <w:sz w:val="21"/>
        </w:rPr>
        <w:t>Institutional: 거래액 수수료와 연간 SLA 계약을 혼합하되 초대형 거래에는 fee cap을 둔다.</w:t>
      </w:r>
    </w:p>
    <w:p>
      <w:pPr>
        <w:pStyle w:val="ListBullet"/>
        <w:spacing w:before="0" w:after="60" w:line="269" w:lineRule="auto"/>
        <w:ind w:left="340" w:hanging="170"/>
      </w:pPr>
      <w:r>
        <w:rPr>
          <w:rFonts w:ascii="NanumGothic" w:hAnsi="NanumGothic" w:eastAsia="NanumGothic"/>
          <w:color w:val="1F2633"/>
          <w:sz w:val="21"/>
        </w:rPr>
        <w:t>Registry: 공개 핵심데이터는 무료, 검증·감사·SLA·대량 API를 유료화한다.</w:t>
      </w:r>
    </w:p>
    <w:p>
      <w:pPr>
        <w:pStyle w:val="ListBullet"/>
        <w:spacing w:before="0" w:after="60" w:line="269" w:lineRule="auto"/>
        <w:ind w:left="340" w:hanging="170"/>
      </w:pPr>
      <w:r>
        <w:rPr>
          <w:rFonts w:ascii="NanumGothic" w:hAnsi="NanumGothic" w:eastAsia="NanumGothic"/>
          <w:color w:val="1F2633"/>
          <w:sz w:val="21"/>
        </w:rPr>
        <w:t>가격은 ATOM 시세가 아니라 외부 고객의 절감비용·위험감소·완료확실성을 기준으로 책정한다.</w:t>
      </w:r>
    </w:p>
    <w:p>
      <w:pPr>
        <w:pStyle w:val="Heading2"/>
        <w:spacing w:before="200" w:after="100" w:line="252" w:lineRule="auto"/>
        <w:keepNext/>
      </w:pPr>
      <w:r>
        <w:rPr>
          <w:rFonts w:ascii="NanumSquare" w:hAnsi="NanumSquare" w:eastAsia="NanumSquare"/>
          <w:b/>
          <w:color w:val="1E244D"/>
          <w:sz w:val="28"/>
        </w:rPr>
        <w:t>9.4 손익분기 전에 확인할 질문</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00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질문</w:t>
            </w:r>
          </w:p>
        </w:tc>
        <w:tc>
          <w:tcPr>
            <w:tcW w:type="dxa" w:w="340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확인할 지표</w:t>
            </w:r>
          </w:p>
        </w:tc>
        <w:tc>
          <w:tcPr>
            <w:tcW w:type="dxa" w:w="306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의사결정</w:t>
            </w:r>
          </w:p>
        </w:tc>
      </w:tr>
      <w:tr>
        <w:trPr>
          <w:cantSplit/>
        </w:trPr>
        <w:tc>
          <w:tcPr>
            <w:tcW w:type="dxa" w:w="300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발행사가 유통에 돈을 내는가?</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계약금·성과 pool·renewal</w:t>
            </w:r>
          </w:p>
        </w:tc>
        <w:tc>
          <w:tcPr>
            <w:tcW w:type="dxa" w:w="30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BM 1 계속/중단</w:t>
            </w:r>
          </w:p>
        </w:tc>
      </w:tr>
      <w:tr>
        <w:trPr>
          <w:cantSplit/>
        </w:trPr>
        <w:tc>
          <w:tcPr>
            <w:tcW w:type="dxa" w:w="300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사용자가 보장에 돈을 내는가?</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premium 선택률·평균 fee</w:t>
            </w:r>
          </w:p>
        </w:tc>
        <w:tc>
          <w:tcPr>
            <w:tcW w:type="dxa" w:w="30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BM 2 가격조정</w:t>
            </w:r>
          </w:p>
        </w:tc>
      </w:tr>
      <w:tr>
        <w:trPr>
          <w:cantSplit/>
        </w:trPr>
        <w:tc>
          <w:tcPr>
            <w:tcW w:type="dxa" w:w="300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provider가 bond를 감수하는가?</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공급자 수·담보비용·quote spread</w:t>
            </w:r>
          </w:p>
        </w:tc>
        <w:tc>
          <w:tcPr>
            <w:tcW w:type="dxa" w:w="30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SLA 범위 축소/확대</w:t>
            </w:r>
          </w:p>
        </w:tc>
      </w:tr>
      <w:tr>
        <w:trPr>
          <w:cantSplit/>
        </w:trPr>
        <w:tc>
          <w:tcPr>
            <w:tcW w:type="dxa" w:w="300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기관이 단일접속을 원하는가?</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PoC→유료전환·integration saving</w:t>
            </w:r>
          </w:p>
        </w:tc>
        <w:tc>
          <w:tcPr>
            <w:tcW w:type="dxa" w:w="30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BM 3 착수</w:t>
            </w:r>
          </w:p>
        </w:tc>
      </w:tr>
      <w:tr>
        <w:trPr>
          <w:cantSplit/>
        </w:trPr>
        <w:tc>
          <w:tcPr>
            <w:tcW w:type="dxa" w:w="300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ATOM 귀속이 실제인가?</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외부자산 매출→ATOM 매입 금액</w:t>
            </w:r>
          </w:p>
        </w:tc>
        <w:tc>
          <w:tcPr>
            <w:tcW w:type="dxa" w:w="30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토크노믹스 연계</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10. 기술 구현·보안</w:t>
      </w:r>
    </w:p>
    <w:tbl>
      <w:tblPr>
        <w:tblW w:type="auto" w:w="0"/>
        <w:jc w:val="left"/>
        <w:tblLayout w:type="fixed"/>
        <w:tblLook w:firstColumn="1" w:firstRow="1" w:lastColumn="0" w:lastRow="0" w:noHBand="0" w:noVBand="1" w:val="04A0"/>
      </w:tblPr>
      <w:tblGrid>
        <w:gridCol w:w="9752"/>
      </w:tblGrid>
      <w:tr>
        <w:trPr>
          <w:cantSplit/>
        </w:trPr>
        <w:tc>
          <w:tcPr>
            <w:tcW w:type="dxa" w:w="2551"/>
            <w:shd w:fill="EDF4FF"/>
            <w:tcBorders>
              <w:top w:val="single" w:sz="8" w:color="2E6FCE"/>
              <w:left w:val="single" w:sz="8" w:color="2E6FCE"/>
              <w:bottom w:val="single" w:sz="8" w:color="2E6FCE"/>
              <w:right w:val="single" w:sz="8" w:color="2E6FCE"/>
            </w:tcBorders>
            <w:tcMar>
              <w:top w:w="60" w:type="dxa"/>
              <w:start w:w="110" w:type="dxa"/>
              <w:bottom w:w="60" w:type="dxa"/>
              <w:end w:w="110" w:type="dxa"/>
            </w:tcMar>
          </w:tcPr>
          <w:p>
            <w:pPr>
              <w:spacing w:before="0" w:after="0" w:line="240" w:lineRule="auto"/>
            </w:pPr>
            <w:r>
              <w:rPr>
                <w:rFonts w:ascii="NanumGothic" w:hAnsi="NanumGothic" w:eastAsia="NanumGothic"/>
                <w:b/>
                <w:color w:val="2E6FCE"/>
                <w:sz w:val="18"/>
              </w:rPr>
              <w:t>[실행 설계]</w:t>
            </w:r>
          </w:p>
        </w:tc>
      </w:tr>
    </w:tbl>
    <w:p>
      <w:pPr>
        <w:spacing w:after="0"/>
      </w:pPr>
    </w:p>
    <w:p>
      <w:pPr>
        <w:pStyle w:val="Heading2"/>
        <w:spacing w:before="200" w:after="100" w:line="252" w:lineRule="auto"/>
        <w:keepNext/>
      </w:pPr>
      <w:r>
        <w:rPr>
          <w:rFonts w:ascii="NanumSquare" w:hAnsi="NanumSquare" w:eastAsia="NanumSquare"/>
          <w:b/>
          <w:color w:val="1E244D"/>
          <w:sz w:val="28"/>
        </w:rPr>
        <w:t>10.1 “계약과 데이터부터, 모듈은 나중에”</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36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단계</w:t>
            </w:r>
          </w:p>
        </w:tc>
        <w:tc>
          <w:tcPr>
            <w:tcW w:type="dxa" w:w="249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구현 위치</w:t>
            </w:r>
          </w:p>
        </w:tc>
        <w:tc>
          <w:tcPr>
            <w:tcW w:type="dxa" w:w="345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기능</w:t>
            </w:r>
          </w:p>
        </w:tc>
        <w:tc>
          <w:tcPr>
            <w:tcW w:type="dxa" w:w="272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6"/>
              </w:rPr>
              <w:t>승격 조건</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MVP 0</w:t>
            </w:r>
          </w:p>
        </w:tc>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오프체인 계약 + Mintscan dashboard</w:t>
            </w:r>
          </w:p>
        </w:tc>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Injective USDC 계약·롤아웃·실제수령·ATOM 매입 상태 공개, issuer 표준계약</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실제 입금과 데이터 정확성</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MVP 1</w:t>
            </w:r>
          </w:p>
        </w:tc>
        <w:tc>
          <w:tcPr>
            <w:tcW w:type="dxa" w:w="249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감사된 CosmWasm</w:t>
            </w:r>
          </w:p>
        </w:tc>
        <w:tc>
          <w:tcPr>
            <w:tcW w:type="dxa" w:w="345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Revenue Vault, fee escrow, campaign payout</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2개 이상 issuer·실매출</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MVP 2</w:t>
            </w:r>
          </w:p>
        </w:tc>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오프체인 signed quote + CosmWasm bond/receipt</w:t>
            </w:r>
          </w:p>
        </w:tc>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Assured Delivery SLA pilot</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provider 3개+, SLA 수요</w:t>
            </w:r>
          </w:p>
        </w:tc>
      </w:tr>
      <w:tr>
        <w:trPr>
          <w:cantSplit/>
        </w:trPr>
        <w:tc>
          <w:tcPr>
            <w:tcW w:type="dxa" w:w="136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MVP 3</w:t>
            </w:r>
          </w:p>
        </w:tc>
        <w:tc>
          <w:tcPr>
            <w:tcW w:type="dxa" w:w="249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최소 SDK module 검토</w:t>
            </w:r>
          </w:p>
        </w:tc>
        <w:tc>
          <w:tcPr>
            <w:tcW w:type="dxa" w:w="345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고빈도 receipt·native fee routing</w:t>
            </w:r>
          </w:p>
        </w:tc>
        <w:tc>
          <w:tcPr>
            <w:tcW w:type="dxa" w:w="272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계약성능·운영비 병목이 입증될 때만</w:t>
            </w:r>
          </w:p>
        </w:tc>
      </w:tr>
      <w:tr>
        <w:trPr>
          <w:cantSplit/>
        </w:trPr>
        <w:tc>
          <w:tcPr>
            <w:tcW w:type="dxa" w:w="136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6"/>
              </w:rPr>
              <w:t>Scale</w:t>
            </w:r>
          </w:p>
        </w:tc>
        <w:tc>
          <w:tcPr>
            <w:tcW w:type="dxa" w:w="249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표준 API/enterprise adapters</w:t>
            </w:r>
          </w:p>
        </w:tc>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기관 SLA, DvP/PvP adapter</w:t>
            </w:r>
          </w:p>
        </w:tc>
        <w:tc>
          <w:tcPr>
            <w:tcW w:type="dxa" w:w="272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6"/>
              </w:rPr>
              <w:t>법률·시장·기술 PMF</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10.2 오프체인과 온체인의 경계</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311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오프체인</w:t>
            </w:r>
          </w:p>
        </w:tc>
        <w:tc>
          <w:tcPr>
            <w:tcW w:type="dxa" w:w="311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온체인</w:t>
            </w:r>
          </w:p>
        </w:tc>
        <w:tc>
          <w:tcPr>
            <w:tcW w:type="dxa" w:w="323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이유</w:t>
            </w:r>
          </w:p>
        </w:tc>
      </w:tr>
      <w:tr>
        <w:trPr>
          <w:cantSplit/>
        </w:trPr>
        <w:tc>
          <w:tcPr>
            <w:tcW w:type="dxa" w:w="311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route calculation·RFQ discovery</w:t>
            </w:r>
          </w:p>
        </w:tc>
        <w:tc>
          <w:tcPr>
            <w:tcW w:type="dxa" w:w="311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quote hash·provider signature</w:t>
            </w:r>
          </w:p>
        </w:tc>
        <w:tc>
          <w:tcPr>
            <w:tcW w:type="dxa" w:w="32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저지연 경쟁과 검증가능성 동시 확보</w:t>
            </w:r>
          </w:p>
        </w:tc>
      </w:tr>
      <w:tr>
        <w:trPr>
          <w:cantSplit/>
        </w:trPr>
        <w:tc>
          <w:tcPr>
            <w:tcW w:type="dxa" w:w="311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기업계약·지원·법률조건</w:t>
            </w:r>
          </w:p>
        </w:tc>
        <w:tc>
          <w:tcPr>
            <w:tcW w:type="dxa" w:w="311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protocol share·payment receipt</w:t>
            </w:r>
          </w:p>
        </w:tc>
        <w:tc>
          <w:tcPr>
            <w:tcW w:type="dxa" w:w="32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상업기밀과 공공수익 투명성 분리</w:t>
            </w:r>
          </w:p>
        </w:tc>
      </w:tr>
      <w:tr>
        <w:trPr>
          <w:cantSplit/>
        </w:trPr>
        <w:tc>
          <w:tcPr>
            <w:tcW w:type="dxa" w:w="311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KYC 원자료·정책판단</w:t>
            </w:r>
          </w:p>
        </w:tc>
        <w:tc>
          <w:tcPr>
            <w:tcW w:type="dxa" w:w="311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attestation·expiry·revocation</w:t>
            </w:r>
          </w:p>
        </w:tc>
        <w:tc>
          <w:tcPr>
            <w:tcW w:type="dxa" w:w="32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PII 비저장</w:t>
            </w:r>
          </w:p>
        </w:tc>
      </w:tr>
      <w:tr>
        <w:trPr>
          <w:cantSplit/>
        </w:trPr>
        <w:tc>
          <w:tcPr>
            <w:tcW w:type="dxa" w:w="311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monitoring·alert·analytics</w:t>
            </w:r>
          </w:p>
        </w:tc>
        <w:tc>
          <w:tcPr>
            <w:tcW w:type="dxa" w:w="311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최종 receipt·bond·payout</w:t>
            </w:r>
          </w:p>
        </w:tc>
        <w:tc>
          <w:tcPr>
            <w:tcW w:type="dxa" w:w="32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고비용 데이터는 외부, 핵심 책임은 체인</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10.3 보안모델</w:t>
      </w:r>
    </w:p>
    <w:p>
      <w:pPr>
        <w:pStyle w:val="ListBullet"/>
        <w:spacing w:before="0" w:after="60" w:line="269" w:lineRule="auto"/>
        <w:ind w:left="340" w:hanging="170"/>
      </w:pPr>
      <w:r>
        <w:rPr>
          <w:rFonts w:ascii="NanumGothic" w:hAnsi="NanumGothic" w:eastAsia="NanumGothic"/>
          <w:color w:val="1F2633"/>
          <w:sz w:val="21"/>
        </w:rPr>
        <w:t>IBC/Eureka의 light-client 또는 ZK-proof 보안모델을 그대로 활용하고 별도 멀티시그 브리지를 새로 만들지 않는다. Eureka light client의 안전성 모델과 relay liveness는 분리해 관리한다. 초기 permissioned relay 장애는 proof 위조 위험과 동일하지 않지만 전송 지연·중단 위험을 발생시킬 수 있으므로 receipt 상태와 SLA 면책·보상 규칙에 별도 사건유형으로 포함한다. [R5] [R8]</w:t>
      </w:r>
    </w:p>
    <w:p>
      <w:pPr>
        <w:pStyle w:val="ListBullet"/>
        <w:spacing w:before="0" w:after="60" w:line="269" w:lineRule="auto"/>
        <w:ind w:left="340" w:hanging="170"/>
      </w:pPr>
      <w:r>
        <w:rPr>
          <w:rFonts w:ascii="NanumGothic" w:hAnsi="NanumGothic" w:eastAsia="NanumGothic"/>
          <w:color w:val="1F2633"/>
          <w:sz w:val="21"/>
        </w:rPr>
        <w:t>Provider bond는 실행오류·SLA 위반만 보장하며, 체인 자체의 시스템 리스크를 전부 떠안지 않는다. ATOM만을 유일한 담보로 사용하지 않고 USDC 등 승인된 고유동성 안정자산을 1차 담보로 사용한다.</w:t>
      </w:r>
    </w:p>
    <w:p>
      <w:pPr>
        <w:pStyle w:val="ListBullet"/>
        <w:spacing w:before="0" w:after="60" w:line="269" w:lineRule="auto"/>
        <w:ind w:left="340" w:hanging="170"/>
      </w:pPr>
      <w:r>
        <w:rPr>
          <w:rFonts w:ascii="NanumGothic" w:hAnsi="NanumGothic" w:eastAsia="NanumGothic"/>
          <w:color w:val="1F2633"/>
          <w:sz w:val="21"/>
        </w:rPr>
        <w:t>Receipt 판정은 source tx, IBC ack/timeout, destination tx, route hash의 조합으로 결정한다.</w:t>
      </w:r>
    </w:p>
    <w:p>
      <w:pPr>
        <w:pStyle w:val="ListBullet"/>
        <w:spacing w:before="0" w:after="60" w:line="269" w:lineRule="auto"/>
        <w:ind w:left="340" w:hanging="170"/>
      </w:pPr>
      <w:r>
        <w:rPr>
          <w:rFonts w:ascii="NanumGothic" w:hAnsi="NanumGothic" w:eastAsia="NanumGothic"/>
          <w:color w:val="1F2633"/>
          <w:sz w:val="21"/>
        </w:rPr>
        <w:t>Oracle 의존성을 최소화하고, 가격보장은 quoted minimum amount out과 실제 수취량으로 판정한다.</w:t>
      </w:r>
    </w:p>
    <w:p>
      <w:pPr>
        <w:pStyle w:val="ListBullet"/>
        <w:spacing w:before="0" w:after="60" w:line="269" w:lineRule="auto"/>
        <w:ind w:left="340" w:hanging="170"/>
      </w:pPr>
      <w:r>
        <w:rPr>
          <w:rFonts w:ascii="NanumGothic" w:hAnsi="NanumGothic" w:eastAsia="NanumGothic"/>
          <w:color w:val="1F2633"/>
          <w:sz w:val="21"/>
        </w:rPr>
        <w:t>Revenue Vault와 bond contract는 독립 감사, bug bounty, 제한된 upgrade 권한을 요구한다.</w:t>
      </w:r>
    </w:p>
    <w:p>
      <w:pPr>
        <w:pStyle w:val="ListBullet"/>
        <w:spacing w:before="0" w:after="60" w:line="269" w:lineRule="auto"/>
        <w:ind w:left="340" w:hanging="170"/>
      </w:pPr>
      <w:r>
        <w:rPr>
          <w:rFonts w:ascii="NanumGothic" w:hAnsi="NanumGothic" w:eastAsia="NanumGothic"/>
          <w:color w:val="1F2633"/>
          <w:sz w:val="21"/>
        </w:rPr>
        <w:t>실패분쟁은 자동판정 가능한 유형부터 시작하고 주관적 사건은 초기 SLA에서 제외한다.</w:t>
      </w:r>
    </w:p>
    <w:p>
      <w:pPr>
        <w:pStyle w:val="Heading3"/>
      </w:pPr>
      <w:r>
        <w:rPr>
          <w:rFonts w:ascii="NanumSquare" w:hAnsi="NanumSquare" w:eastAsia="NanumSquare"/>
        </w:rPr>
        <w:t>10.3.1 Provider Bond 담보정책</w:t>
      </w:r>
    </w:p>
    <w:tbl>
      <w:tblPr>
        <w:tblW w:type="auto" w:w="0"/>
        <w:jc w:val="center"/>
        <w:tblLayout w:type="fixed"/>
        <w:tblLook w:firstColumn="1" w:firstRow="1" w:lastColumn="0" w:lastRow="0" w:noHBand="0" w:noVBand="1" w:val="04A0"/>
      </w:tblPr>
      <w:tblGrid>
        <w:gridCol w:w="4876"/>
        <w:gridCol w:w="4876"/>
      </w:tblGrid>
      <w:tr>
        <w:trPr>
          <w:cantSplit/>
          <w:tblHeader w:val="true"/>
        </w:trPr>
        <w:tc>
          <w:tcPr>
            <w:tcW w:type="dxa" w:w="2605"/>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항목</w:t>
            </w:r>
          </w:p>
        </w:tc>
        <w:tc>
          <w:tcPr>
            <w:tcW w:type="dxa" w:w="7043"/>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권장안</w:t>
            </w:r>
          </w:p>
        </w:tc>
      </w:tr>
      <w:tr>
        <w:trPr>
          <w:cantSplit/>
        </w:trPr>
        <w:tc>
          <w:tcPr>
            <w:tcW w:type="dxa" w:w="2605"/>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1차 담보</w:t>
            </w:r>
          </w:p>
        </w:tc>
        <w:tc>
          <w:tcPr>
            <w:tcW w:type="dxa" w:w="7043"/>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USDC 또는 승인된 고유동성 안정자산</w:t>
            </w:r>
          </w:p>
        </w:tc>
      </w:tr>
      <w:tr>
        <w:trPr>
          <w:cantSplit/>
        </w:trPr>
        <w:tc>
          <w:tcPr>
            <w:tcW w:type="dxa" w:w="2605"/>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ATOM 담보</w:t>
            </w:r>
          </w:p>
        </w:tc>
        <w:tc>
          <w:tcPr>
            <w:tcW w:type="dxa" w:w="7043"/>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허용하되 높은 haircut 적용</w:t>
            </w:r>
          </w:p>
        </w:tc>
      </w:tr>
      <w:tr>
        <w:trPr>
          <w:cantSplit/>
        </w:trPr>
        <w:tc>
          <w:tcPr>
            <w:tcW w:type="dxa" w:w="2605"/>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평가</w:t>
            </w:r>
          </w:p>
        </w:tc>
        <w:tc>
          <w:tcPr>
            <w:tcW w:type="dxa" w:w="7043"/>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실시간 또는 주기적 mark-to-market</w:t>
            </w:r>
          </w:p>
        </w:tc>
      </w:tr>
      <w:tr>
        <w:trPr>
          <w:cantSplit/>
        </w:trPr>
        <w:tc>
          <w:tcPr>
            <w:tcW w:type="dxa" w:w="2605"/>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부족담보</w:t>
            </w:r>
          </w:p>
        </w:tc>
        <w:tc>
          <w:tcPr>
            <w:tcW w:type="dxa" w:w="7043"/>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자동 top-up, 신규 quote 중단</w:t>
            </w:r>
          </w:p>
        </w:tc>
      </w:tr>
      <w:tr>
        <w:trPr>
          <w:cantSplit/>
        </w:trPr>
        <w:tc>
          <w:tcPr>
            <w:tcW w:type="dxa" w:w="2605"/>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집중도</w:t>
            </w:r>
          </w:p>
        </w:tc>
        <w:tc>
          <w:tcPr>
            <w:tcW w:type="dxa" w:w="7043"/>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provider·자산·경로별 한도</w:t>
            </w:r>
          </w:p>
        </w:tc>
      </w:tr>
      <w:tr>
        <w:trPr>
          <w:cantSplit/>
        </w:trPr>
        <w:tc>
          <w:tcPr>
            <w:tcW w:type="dxa" w:w="2605"/>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청산</w:t>
            </w:r>
          </w:p>
        </w:tc>
        <w:tc>
          <w:tcPr>
            <w:tcW w:type="dxa" w:w="7043"/>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SLA 위반 시 사전 정의된 waterfall</w:t>
            </w:r>
          </w:p>
        </w:tc>
      </w:tr>
      <w:tr>
        <w:trPr>
          <w:cantSplit/>
        </w:trPr>
        <w:tc>
          <w:tcPr>
            <w:tcW w:type="dxa" w:w="2605"/>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대형사고</w:t>
            </w:r>
          </w:p>
        </w:tc>
        <w:tc>
          <w:tcPr>
            <w:tcW w:type="dxa" w:w="7043"/>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bond 외 Assurance Reserve·선택형 외부보험 활용</w:t>
            </w:r>
          </w:p>
        </w:tc>
      </w:tr>
    </w:tbl>
    <w:p>
      <w:pPr>
        <w:spacing w:after="60" w:line="252" w:lineRule="auto"/>
      </w:pPr>
      <w:r>
        <w:rPr>
          <w:rFonts w:ascii="NanumGothic" w:hAnsi="NanumGothic" w:eastAsia="NanumGothic"/>
          <w:b w:val="0"/>
          <w:color w:val="1E244D"/>
          <w:sz w:val="14"/>
        </w:rPr>
        <w:t>최소 필드: collateral_asset / market_value / haircut / effective_collateral / top_up_threshold / liquidation_rule / route_exposure_cap / provider_exposure_cap</w:t>
      </w:r>
    </w:p>
    <w:p>
      <w:pPr>
        <w:pStyle w:val="Heading2"/>
        <w:spacing w:before="200" w:after="100" w:line="252" w:lineRule="auto"/>
        <w:keepNext/>
      </w:pPr>
      <w:r>
        <w:rPr>
          <w:rFonts w:ascii="NanumSquare" w:hAnsi="NanumSquare" w:eastAsia="NanumSquare"/>
          <w:b/>
          <w:color w:val="1E244D"/>
          <w:sz w:val="28"/>
        </w:rPr>
        <w:t>10.4 기존 인프라를 소유하지 말고 조합할 것</w:t>
      </w:r>
    </w:p>
    <w:p>
      <w:pPr>
        <w:spacing w:before="0" w:after="140" w:line="283" w:lineRule="auto"/>
      </w:pPr>
      <w:r>
        <w:rPr>
          <w:rFonts w:ascii="NanumGothic" w:hAnsi="NanumGothic" w:eastAsia="NanumGothic"/>
          <w:color w:val="1F2633"/>
          <w:sz w:val="21"/>
        </w:rPr>
        <w:t>Skip Go는 경로·스왑·tracking, Eureka는 외부체인 transport, Mintscan은 data, IBC는 verification을 담당한다. 공식팀도 이 분업을 공개했다. Hub의 신규개발은 이들을 복제하지 않고, 그 위에서 시장규칙·에스크로·완료 receipt·수익귀속을 담당해야 한다.</w:t>
      </w:r>
      <w:r>
        <w:t xml:space="preserve"> </w:t>
      </w:r>
      <w:hyperlink r:id="rId11">
        <w:r>
          <w:rPr>
            <w:rFonts w:ascii="NanumGothic" w:hAnsi="NanumGothic" w:eastAsia="NanumGothic"/>
            <w:color w:val="6F5AE8"/>
            <w:sz w:val="17"/>
            <w:b/>
          </w:rPr>
          <w:t>[R1]</w:t>
        </w:r>
      </w:hyperlink>
      <w:r>
        <w:t xml:space="preserve"> </w:t>
      </w:r>
      <w:hyperlink r:id="rId23">
        <w:r>
          <w:rPr>
            <w:rFonts w:ascii="NanumGothic" w:hAnsi="NanumGothic" w:eastAsia="NanumGothic"/>
            <w:color w:val="6F5AE8"/>
            <w:sz w:val="17"/>
            <w:b/>
          </w:rPr>
          <w:t>[R4]</w:t>
        </w:r>
      </w:hyperlink>
      <w:r>
        <w:t xml:space="preserve"> </w:t>
      </w:r>
      <w:hyperlink r:id="rId16">
        <w:r>
          <w:rPr>
            <w:rFonts w:ascii="NanumGothic" w:hAnsi="NanumGothic" w:eastAsia="NanumGothic"/>
            <w:color w:val="6F5AE8"/>
            <w:sz w:val="17"/>
            <w:b/>
          </w:rPr>
          <w:t>[R9]</w:t>
        </w:r>
      </w:hyperlink>
      <w:r>
        <w:t xml:space="preserve"> </w:t>
      </w:r>
      <w:hyperlink r:id="rId21">
        <w:r>
          <w:rPr>
            <w:rFonts w:ascii="NanumGothic" w:hAnsi="NanumGothic" w:eastAsia="NanumGothic"/>
            <w:color w:val="6F5AE8"/>
            <w:sz w:val="17"/>
            <w:b/>
          </w:rPr>
          <w:t>[R10]</w:t>
        </w:r>
      </w:hyperlink>
    </w:p>
    <w:p>
      <w:pPr>
        <w:pStyle w:val="Heading1"/>
        <w:spacing w:before="280" w:after="140" w:line="252" w:lineRule="auto"/>
        <w:keepNext/>
      </w:pPr>
      <w:r>
        <w:rPr>
          <w:rFonts w:ascii="NanumSquare" w:hAnsi="NanumSquare" w:eastAsia="NanumSquare"/>
          <w:b/>
          <w:color w:val="1E244D"/>
          <w:sz w:val="36"/>
        </w:rPr>
        <w:t>11. 거버넌스·중립성 헌장</w:t>
      </w:r>
    </w:p>
    <w:tbl>
      <w:tblPr>
        <w:tblW w:type="auto" w:w="0"/>
        <w:jc w:val="left"/>
        <w:tblLayout w:type="fixed"/>
        <w:tblLook w:firstColumn="1" w:firstRow="1" w:lastColumn="0" w:lastRow="0" w:noHBand="0" w:noVBand="1" w:val="04A0"/>
      </w:tblPr>
      <w:tblGrid>
        <w:gridCol w:w="9752"/>
      </w:tblGrid>
      <w:tr>
        <w:trPr>
          <w:cantSplit/>
        </w:trPr>
        <w:tc>
          <w:tcPr>
            <w:tcW w:type="dxa" w:w="2551"/>
            <w:shd w:fill="F0EDFF"/>
            <w:tcBorders>
              <w:top w:val="single" w:sz="8" w:color="6F5AE8"/>
              <w:left w:val="single" w:sz="8" w:color="6F5AE8"/>
              <w:bottom w:val="single" w:sz="8" w:color="6F5AE8"/>
              <w:right w:val="single" w:sz="8" w:color="6F5AE8"/>
            </w:tcBorders>
            <w:tcMar>
              <w:top w:w="60" w:type="dxa"/>
              <w:start w:w="110" w:type="dxa"/>
              <w:bottom w:w="60" w:type="dxa"/>
              <w:end w:w="110" w:type="dxa"/>
            </w:tcMar>
          </w:tcPr>
          <w:p>
            <w:pPr>
              <w:spacing w:before="0" w:after="0" w:line="240" w:lineRule="auto"/>
            </w:pPr>
            <w:r>
              <w:rPr>
                <w:rFonts w:ascii="NanumGothic" w:hAnsi="NanumGothic" w:eastAsia="NanumGothic"/>
                <w:b/>
                <w:color w:val="6F5AE8"/>
                <w:sz w:val="18"/>
              </w:rPr>
              <w:t>[거버넌스 제안]</w:t>
            </w:r>
          </w:p>
        </w:tc>
      </w:tr>
    </w:tbl>
    <w:p>
      <w:pPr>
        <w:spacing w:after="0"/>
      </w:pPr>
    </w:p>
    <w:p>
      <w:pPr>
        <w:pStyle w:val="Heading2"/>
        <w:spacing w:before="200" w:after="100" w:line="252" w:lineRule="auto"/>
        <w:keepNext/>
      </w:pPr>
      <w:r>
        <w:rPr>
          <w:rFonts w:ascii="NanumSquare" w:hAnsi="NanumSquare" w:eastAsia="NanumSquare"/>
          <w:b/>
          <w:color w:val="1E244D"/>
          <w:sz w:val="28"/>
        </w:rPr>
        <w:t>11.1 Neutrality Charter</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1020"/>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조항</w:t>
            </w:r>
          </w:p>
        </w:tc>
        <w:tc>
          <w:tcPr>
            <w:tcW w:type="dxa" w:w="839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8"/>
              </w:rPr>
              <w:t>원칙</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1</w:t>
            </w:r>
          </w:p>
        </w:tc>
        <w:tc>
          <w:tcPr>
            <w:tcW w:type="dxa" w:w="839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기본 IBC는 개방형으로 유지하며 Hub 프리미엄은 선택형이다.</w:t>
            </w:r>
          </w:p>
        </w:tc>
      </w:tr>
      <w:tr>
        <w:trPr>
          <w:cantSplit/>
        </w:trPr>
        <w:tc>
          <w:tcPr>
            <w:tcW w:type="dxa" w:w="102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2</w:t>
            </w:r>
          </w:p>
        </w:tc>
        <w:tc>
          <w:tcPr>
            <w:tcW w:type="dxa" w:w="839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Hub는 특정 DEX·stablecoin·router를 독점적 “공식” 사업자로 지정하지 않는다.</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3</w:t>
            </w:r>
          </w:p>
        </w:tc>
        <w:tc>
          <w:tcPr>
            <w:tcW w:type="dxa" w:w="839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등록·견적·성과·수익분배 규칙은 공개되고 기계적으로 검증 가능해야 한다.</w:t>
            </w:r>
          </w:p>
        </w:tc>
      </w:tr>
      <w:tr>
        <w:trPr>
          <w:cantSplit/>
        </w:trPr>
        <w:tc>
          <w:tcPr>
            <w:tcW w:type="dxa" w:w="102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4</w:t>
            </w:r>
          </w:p>
        </w:tc>
        <w:tc>
          <w:tcPr>
            <w:tcW w:type="dxa" w:w="839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사업자 진입은 객관적 보안·bond·운영요건으로 결정한다.</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5</w:t>
            </w:r>
          </w:p>
        </w:tc>
        <w:tc>
          <w:tcPr>
            <w:tcW w:type="dxa" w:w="839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Hub는 사용자 자산의 원금 custody와 market making을 하지 않는다.</w:t>
            </w:r>
          </w:p>
        </w:tc>
      </w:tr>
      <w:tr>
        <w:trPr>
          <w:cantSplit/>
        </w:trPr>
        <w:tc>
          <w:tcPr>
            <w:tcW w:type="dxa" w:w="102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6</w:t>
            </w:r>
          </w:p>
        </w:tc>
        <w:tc>
          <w:tcPr>
            <w:tcW w:type="dxa" w:w="839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PII는 저장하지 않고 외부 규제사업자의 credential만 검증한다.</w:t>
            </w:r>
          </w:p>
        </w:tc>
      </w:tr>
      <w:tr>
        <w:trPr>
          <w:cantSplit/>
        </w:trPr>
        <w:tc>
          <w:tcPr>
            <w:tcW w:type="dxa" w:w="1020"/>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7</w:t>
            </w:r>
          </w:p>
        </w:tc>
        <w:tc>
          <w:tcPr>
            <w:tcW w:type="dxa" w:w="839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오프체인 매출도 Hub 인증서비스라면 protocol share와 지급상태를 공개한다.</w:t>
            </w:r>
          </w:p>
        </w:tc>
      </w:tr>
      <w:tr>
        <w:trPr>
          <w:cantSplit/>
        </w:trPr>
        <w:tc>
          <w:tcPr>
            <w:tcW w:type="dxa" w:w="1020"/>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8"/>
              </w:rPr>
              <w:t>8</w:t>
            </w:r>
          </w:p>
        </w:tc>
        <w:tc>
          <w:tcPr>
            <w:tcW w:type="dxa" w:w="839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8"/>
              </w:rPr>
              <w:t>신규 native module은 PMF·감사·업그레이드 비용 분석 후에만 채택한다.</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11.2 Provider 거버넌스</w:t>
      </w:r>
    </w:p>
    <w:p>
      <w:pPr>
        <w:pStyle w:val="ListBullet"/>
        <w:spacing w:before="0" w:after="60" w:line="269" w:lineRule="auto"/>
        <w:ind w:left="340" w:hanging="170"/>
      </w:pPr>
      <w:r>
        <w:rPr>
          <w:rFonts w:ascii="NanumGothic" w:hAnsi="NanumGothic" w:eastAsia="NanumGothic"/>
          <w:color w:val="1F2633"/>
          <w:sz w:val="21"/>
        </w:rPr>
        <w:t>최소 bond, uptime, incident disclosure, software audit 등 등록기준을 표준화한다.</w:t>
      </w:r>
    </w:p>
    <w:p>
      <w:pPr>
        <w:pStyle w:val="ListBullet"/>
        <w:spacing w:before="0" w:after="60" w:line="269" w:lineRule="auto"/>
        <w:ind w:left="340" w:hanging="170"/>
      </w:pPr>
      <w:r>
        <w:rPr>
          <w:rFonts w:ascii="NanumGothic" w:hAnsi="NanumGothic" w:eastAsia="NanumGothic"/>
          <w:color w:val="1F2633"/>
          <w:sz w:val="21"/>
        </w:rPr>
        <w:t>성과 순위는 fee뿐 아니라 성공률, latency, compensation 이행률, concentration을 반영한다.</w:t>
      </w:r>
    </w:p>
    <w:p>
      <w:pPr>
        <w:pStyle w:val="ListBullet"/>
        <w:spacing w:before="0" w:after="60" w:line="269" w:lineRule="auto"/>
        <w:ind w:left="340" w:hanging="170"/>
      </w:pPr>
      <w:r>
        <w:rPr>
          <w:rFonts w:ascii="NanumGothic" w:hAnsi="NanumGothic" w:eastAsia="NanumGothic"/>
          <w:color w:val="1F2633"/>
          <w:sz w:val="21"/>
        </w:rPr>
        <w:t>단일 provider가 premium flow의 50~60%를 넘으면 신규 orderflow에 분산 인센티브를 적용한다.</w:t>
      </w:r>
    </w:p>
    <w:p>
      <w:pPr>
        <w:pStyle w:val="ListBullet"/>
        <w:spacing w:before="0" w:after="60" w:line="269" w:lineRule="auto"/>
        <w:ind w:left="340" w:hanging="170"/>
      </w:pPr>
      <w:r>
        <w:rPr>
          <w:rFonts w:ascii="NanumGothic" w:hAnsi="NanumGothic" w:eastAsia="NanumGothic"/>
          <w:color w:val="1F2633"/>
          <w:sz w:val="21"/>
        </w:rPr>
        <w:t>거버넌스 투표가 개별 route·자산을 일상적으로 선택하지 않도록 자동규칙을 우선한다.</w:t>
      </w:r>
    </w:p>
    <w:p>
      <w:pPr>
        <w:pStyle w:val="ListBullet"/>
        <w:spacing w:before="0" w:after="60" w:line="269" w:lineRule="auto"/>
        <w:ind w:left="340" w:hanging="170"/>
      </w:pPr>
      <w:r>
        <w:rPr>
          <w:rFonts w:ascii="NanumGothic" w:hAnsi="NanumGothic" w:eastAsia="NanumGothic"/>
          <w:color w:val="1F2633"/>
          <w:sz w:val="21"/>
        </w:rPr>
        <w:t>이해상충이 있는 validator·위원·개발사는 campaign 심사와 자금배분에서 공개·회피한다.</w:t>
      </w:r>
    </w:p>
    <w:p>
      <w:pPr>
        <w:pStyle w:val="Heading2"/>
        <w:spacing w:before="200" w:after="100" w:line="252" w:lineRule="auto"/>
        <w:keepNext/>
      </w:pPr>
      <w:r>
        <w:rPr>
          <w:rFonts w:ascii="NanumSquare" w:hAnsi="NanumSquare" w:eastAsia="NanumSquare"/>
          <w:b/>
          <w:color w:val="1E244D"/>
          <w:sz w:val="28"/>
        </w:rPr>
        <w:t>11.3 법적 경계</w:t>
      </w:r>
    </w:p>
    <w:p>
      <w:pPr>
        <w:spacing w:before="0" w:after="140" w:line="283" w:lineRule="auto"/>
      </w:pPr>
      <w:r>
        <w:rPr>
          <w:rFonts w:ascii="NanumGothic" w:hAnsi="NanumGothic" w:eastAsia="NanumGothic"/>
          <w:color w:val="1F2633"/>
          <w:sz w:val="21"/>
        </w:rPr>
        <w:t>“clearing”, “settlement”, “guarantee”, “insurance”는 관할권에 따라 지급결제·중개·보험·금융시장인프라 규제를 유발할 수 있다. 제품명은 Coordination과 Assured SLA를 사용하며, MVP는 비수탁형 소프트웨어, 서비스 수수료 에스크로, 사전 정의된 bond compensation으로 범위를 좁힌다. 고객원금 custody·다자간 netting·신용공여·체인 최종성 보증은 제외한다.</w:t>
      </w:r>
    </w:p>
    <w:p>
      <w:pPr>
        <w:pStyle w:val="ListBullet"/>
        <w:spacing w:after="60" w:line="252" w:lineRule="auto"/>
      </w:pPr>
      <w:r>
        <w:rPr>
          <w:rFonts w:ascii="NanumGothic" w:hAnsi="NanumGothic" w:eastAsia="NanumGothic"/>
          <w:b w:val="0"/>
          <w:color w:val="1E244D"/>
          <w:sz w:val="14"/>
        </w:rPr>
        <w:t>외부 마케팅에서 “guaranteed” 표현을 사용하지 않는다.</w:t>
      </w:r>
    </w:p>
    <w:p>
      <w:pPr>
        <w:pStyle w:val="ListBullet"/>
        <w:spacing w:after="60" w:line="252" w:lineRule="auto"/>
      </w:pPr>
      <w:r>
        <w:rPr>
          <w:rFonts w:ascii="NanumGothic" w:hAnsi="NanumGothic" w:eastAsia="NanumGothic"/>
          <w:b w:val="0"/>
          <w:color w:val="1E244D"/>
          <w:sz w:val="14"/>
        </w:rPr>
        <w:t>고객 원금 또는 체인 finality를 보증하지 않는다.</w:t>
      </w:r>
    </w:p>
    <w:p>
      <w:pPr>
        <w:pStyle w:val="ListBullet"/>
        <w:spacing w:after="60" w:line="252" w:lineRule="auto"/>
      </w:pPr>
      <w:r>
        <w:rPr>
          <w:rFonts w:ascii="NanumGothic" w:hAnsi="NanumGothic" w:eastAsia="NanumGothic"/>
          <w:b w:val="0"/>
          <w:color w:val="1E244D"/>
          <w:sz w:val="14"/>
        </w:rPr>
        <w:t>SLA 위반에는 사전 정의된 provider bond compensation만 제공한다.</w:t>
      </w:r>
    </w:p>
    <w:p>
      <w:pPr>
        <w:pStyle w:val="ListBullet"/>
        <w:spacing w:after="60" w:line="252" w:lineRule="auto"/>
      </w:pPr>
      <w:r>
        <w:rPr>
          <w:rFonts w:ascii="NanumGothic" w:hAnsi="NanumGothic" w:eastAsia="NanumGothic"/>
          <w:b w:val="0"/>
          <w:color w:val="1E244D"/>
          <w:sz w:val="14"/>
        </w:rPr>
        <w:t>“insurance”는 실제 보험자와 보험계약이 존재할 때만 사용한다.</w:t>
      </w:r>
    </w:p>
    <w:p>
      <w:pPr>
        <w:spacing w:after="60" w:line="252" w:lineRule="auto"/>
      </w:pPr>
      <w:r>
        <w:rPr>
          <w:rFonts w:ascii="NanumGothic" w:hAnsi="NanumGothic" w:eastAsia="NanumGothic"/>
          <w:b w:val="0"/>
          <w:color w:val="1E244D"/>
          <w:sz w:val="14"/>
        </w:rPr>
        <w:t>오프체인 기관계약의 법적 당사자는 v1.1에서 근거 없이 확정하지 않는다. Legal Boundary Memo가 계약 당사자, invoice·세금, AML·제재, 사고책임, 분쟁관할, protocol share 집행방식과 SLA compensation의 보험 해당 가능성을 세 모델별로 비교해 권고한다.</w:t>
      </w:r>
    </w:p>
    <w:p>
      <w:pPr>
        <w:spacing w:before="0" w:after="140" w:line="283" w:lineRule="auto"/>
      </w:pPr>
      <w:r>
        <w:rPr>
          <w:rFonts w:ascii="NanumGothic" w:hAnsi="NanumGothic" w:eastAsia="NanumGothic"/>
          <w:color w:val="1F2633"/>
          <w:sz w:val="21"/>
        </w:rPr>
        <w:t>CLS식 PvP와 netting은 장기적으로 유용한 비교대상이지만, 초기 제품에 넣을 경우 법률·유동성·운영 복잡도가 급증한다. Phase 4 이전에는 “완료 receipt와 DvP/PvP adapter 연구” 수준으로 제한한다.</w:t>
      </w:r>
      <w:r>
        <w:t xml:space="preserve"> </w:t>
      </w:r>
      <w:hyperlink r:id="rId26">
        <w:r>
          <w:rPr>
            <w:rFonts w:ascii="NanumGothic" w:hAnsi="NanumGothic" w:eastAsia="NanumGothic"/>
            <w:color w:val="6F5AE8"/>
            <w:sz w:val="17"/>
            <w:b/>
          </w:rPr>
          <w:t>[R18]</w:t>
        </w:r>
      </w:hyperlink>
    </w:p>
    <w:p>
      <w:pPr>
        <w:pStyle w:val="Heading1"/>
        <w:spacing w:before="280" w:after="140" w:line="252" w:lineRule="auto"/>
        <w:keepNext/>
      </w:pPr>
      <w:r>
        <w:rPr>
          <w:rFonts w:ascii="NanumSquare" w:hAnsi="NanumSquare" w:eastAsia="NanumSquare"/>
          <w:b/>
          <w:color w:val="1E244D"/>
          <w:sz w:val="36"/>
        </w:rPr>
        <w:t>12. 로드맵·KPI·중단 기준</w:t>
      </w:r>
    </w:p>
    <w:tbl>
      <w:tblPr>
        <w:tblW w:type="auto" w:w="0"/>
        <w:jc w:val="left"/>
        <w:tblLayout w:type="fixed"/>
        <w:tblLook w:firstColumn="1" w:firstRow="1" w:lastColumn="0" w:lastRow="0" w:noHBand="0" w:noVBand="1" w:val="04A0"/>
      </w:tblPr>
      <w:tblGrid>
        <w:gridCol w:w="9752"/>
      </w:tblGrid>
      <w:tr>
        <w:trPr>
          <w:cantSplit/>
        </w:trPr>
        <w:tc>
          <w:tcPr>
            <w:tcW w:type="dxa" w:w="2551"/>
            <w:shd w:fill="ECF7F0"/>
            <w:tcBorders>
              <w:top w:val="single" w:sz="8" w:color="25885A"/>
              <w:left w:val="single" w:sz="8" w:color="25885A"/>
              <w:bottom w:val="single" w:sz="8" w:color="25885A"/>
              <w:right w:val="single" w:sz="8" w:color="25885A"/>
            </w:tcBorders>
            <w:tcMar>
              <w:top w:w="60" w:type="dxa"/>
              <w:start w:w="110" w:type="dxa"/>
              <w:bottom w:w="60" w:type="dxa"/>
              <w:end w:w="110" w:type="dxa"/>
            </w:tcMar>
          </w:tcPr>
          <w:p>
            <w:pPr>
              <w:spacing w:before="0" w:after="0" w:line="240" w:lineRule="auto"/>
            </w:pPr>
            <w:r>
              <w:rPr>
                <w:rFonts w:ascii="NanumGothic" w:hAnsi="NanumGothic" w:eastAsia="NanumGothic"/>
                <w:b/>
                <w:color w:val="25885A"/>
                <w:sz w:val="18"/>
              </w:rPr>
              <w:t>[실행 권고]</w:t>
            </w:r>
          </w:p>
        </w:tc>
      </w:tr>
    </w:tbl>
    <w:p>
      <w:pPr>
        <w:spacing w:after="0"/>
      </w:pPr>
    </w:p>
    <w:p>
      <w:pPr>
        <w:pStyle w:val="Heading2"/>
        <w:spacing w:before="200" w:after="100" w:line="252" w:lineRule="auto"/>
        <w:keepNext/>
      </w:pPr>
      <w:r>
        <w:rPr>
          <w:rFonts w:ascii="NanumSquare" w:hAnsi="NanumSquare" w:eastAsia="NanumSquare"/>
          <w:b/>
          <w:color w:val="1E244D"/>
          <w:sz w:val="28"/>
        </w:rPr>
        <w:t>12.1 단계별 로드맵</w:t>
      </w: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30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기간</w:t>
            </w:r>
          </w:p>
        </w:tc>
        <w:tc>
          <w:tcPr>
            <w:tcW w:type="dxa" w:w="215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목표</w:t>
            </w:r>
          </w:p>
        </w:tc>
        <w:tc>
          <w:tcPr>
            <w:tcW w:type="dxa" w:w="391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핵심 산출물</w:t>
            </w:r>
          </w:p>
        </w:tc>
        <w:tc>
          <w:tcPr>
            <w:tcW w:type="dxa" w:w="209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승인 게이트</w:t>
            </w:r>
          </w:p>
        </w:tc>
      </w:tr>
      <w:tr>
        <w:trPr>
          <w:cantSplit/>
        </w:trPr>
        <w:tc>
          <w:tcPr>
            <w:tcW w:type="dxa" w:w="130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0~90일</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Evidence &amp; Charter</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Neutrality Charter, 계약법인 비교, 수익 dashboard, attribution 규칙, reserve·담보정책, 인터뷰, 법률 memo</w:t>
            </w:r>
          </w:p>
        </w:tc>
        <w:tc>
          <w:tcPr>
            <w:tcW w:type="dxa" w:w="209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고객 2곳+ LOI, 법적 집행경로, reserve 목표</w:t>
            </w:r>
          </w:p>
        </w:tc>
      </w:tr>
      <w:tr>
        <w:trPr>
          <w:cantSplit/>
        </w:trPr>
        <w:tc>
          <w:tcPr>
            <w:tcW w:type="dxa" w:w="130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3~6개월</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Distribution MVP</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campaign contract, Revenue Vault, Mintscan 실시간 공개</w:t>
            </w:r>
          </w:p>
        </w:tc>
        <w:tc>
          <w:tcPr>
            <w:tcW w:type="dxa" w:w="209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실제 외부매출·반복지급</w:t>
            </w:r>
          </w:p>
        </w:tc>
      </w:tr>
      <w:tr>
        <w:trPr>
          <w:cantSplit/>
        </w:trPr>
        <w:tc>
          <w:tcPr>
            <w:tcW w:type="dxa" w:w="130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6~12개월</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Assured Delivery SLA Pilot</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signed quote, escrow, bond, receipt, 제한된 chain/asset</w:t>
            </w:r>
          </w:p>
        </w:tc>
        <w:tc>
          <w:tcPr>
            <w:tcW w:type="dxa" w:w="209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provider 3개+, 성공률 목표</w:t>
            </w:r>
          </w:p>
        </w:tc>
      </w:tr>
      <w:tr>
        <w:trPr>
          <w:cantSplit/>
        </w:trPr>
        <w:tc>
          <w:tcPr>
            <w:tcW w:type="dxa" w:w="130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12~18개월</w:t>
            </w:r>
          </w:p>
        </w:tc>
        <w:tc>
          <w:tcPr>
            <w:tcW w:type="dxa" w:w="215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Open Provider Market</w:t>
            </w:r>
          </w:p>
        </w:tc>
        <w:tc>
          <w:tcPr>
            <w:tcW w:type="dxa" w:w="391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다중 router/relayer/MM, wallet integration, SLA tiers</w:t>
            </w:r>
          </w:p>
        </w:tc>
        <w:tc>
          <w:tcPr>
            <w:tcW w:type="dxa" w:w="209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경쟁·마진·수요 검증</w:t>
            </w:r>
          </w:p>
        </w:tc>
      </w:tr>
      <w:tr>
        <w:trPr>
          <w:cantSplit/>
        </w:trPr>
        <w:tc>
          <w:tcPr>
            <w:tcW w:type="dxa" w:w="130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18개월+</w:t>
            </w:r>
          </w:p>
        </w:tc>
        <w:tc>
          <w:tcPr>
            <w:tcW w:type="dxa" w:w="215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Institutional Scale</w:t>
            </w:r>
          </w:p>
        </w:tc>
        <w:tc>
          <w:tcPr>
            <w:tcW w:type="dxa" w:w="391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enterprise gateway, DvP/PvP adapters, 규제형 attestation</w:t>
            </w:r>
          </w:p>
        </w:tc>
        <w:tc>
          <w:tcPr>
            <w:tcW w:type="dxa" w:w="209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유료기관·법률승인</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12.2 핵심 KPI</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70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영역</w:t>
            </w:r>
          </w:p>
        </w:tc>
        <w:tc>
          <w:tcPr>
            <w:tcW w:type="dxa" w:w="4365"/>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KPI</w:t>
            </w:r>
          </w:p>
        </w:tc>
        <w:tc>
          <w:tcPr>
            <w:tcW w:type="dxa" w:w="3402"/>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왜 중요한가</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Revenue</w:t>
            </w:r>
          </w:p>
        </w:tc>
        <w:tc>
          <w:tcPr>
            <w:tcW w:type="dxa" w:w="43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Contracted·Accrued·Received·ATOM Purchased·Pool Deposited, net margin</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진짜 BM 여부</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Distribution</w:t>
            </w:r>
          </w:p>
        </w:tc>
        <w:tc>
          <w:tcPr>
            <w:tcW w:type="dxa" w:w="43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incremental time-weighted balance, verified holder, liquidity, 30·60·90일 retention, wash exclusion, renewal</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유통의 질</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Premium flow</w:t>
            </w:r>
          </w:p>
        </w:tc>
        <w:tc>
          <w:tcPr>
            <w:tcW w:type="dxa" w:w="43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유료경로 거래액, 선택률, 평균 premium</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보장서비스 수요</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Reliability</w:t>
            </w:r>
          </w:p>
        </w:tc>
        <w:tc>
          <w:tcPr>
            <w:tcW w:type="dxa" w:w="43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성공률, p50/p95 완료시간, compensation 이행</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SLA 신뢰</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Competition</w:t>
            </w:r>
          </w:p>
        </w:tc>
        <w:tc>
          <w:tcPr>
            <w:tcW w:type="dxa" w:w="43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active provider 수, 상위1개 점유율, quote spread</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중립시장 건강성</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ATOM accrual</w:t>
            </w:r>
          </w:p>
        </w:tc>
        <w:tc>
          <w:tcPr>
            <w:tcW w:type="dxa" w:w="43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실제 수령 외부매출 기반 ATOM 매입·Community Pool 유입</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가치포착 실체</w:t>
            </w:r>
          </w:p>
        </w:tc>
      </w:tr>
      <w:tr>
        <w:trPr>
          <w:cantSplit/>
        </w:trPr>
        <w:tc>
          <w:tcPr>
            <w:tcW w:type="dxa" w:w="170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Enterprise</w:t>
            </w:r>
          </w:p>
        </w:tc>
        <w:tc>
          <w:tcPr>
            <w:tcW w:type="dxa" w:w="4365"/>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PoC→유료전환, 연간계약, 지원비용</w:t>
            </w:r>
          </w:p>
        </w:tc>
        <w:tc>
          <w:tcPr>
            <w:tcW w:type="dxa" w:w="3402"/>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기관 PMF</w:t>
            </w:r>
          </w:p>
        </w:tc>
      </w:tr>
      <w:tr>
        <w:trPr>
          <w:cantSplit/>
        </w:trPr>
        <w:tc>
          <w:tcPr>
            <w:tcW w:type="dxa" w:w="170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Security</w:t>
            </w:r>
          </w:p>
        </w:tc>
        <w:tc>
          <w:tcPr>
            <w:tcW w:type="dxa" w:w="4365"/>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incident, loss, reserve coverage, audit finding</w:t>
            </w:r>
          </w:p>
        </w:tc>
        <w:tc>
          <w:tcPr>
            <w:tcW w:type="dxa" w:w="3402"/>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존속가능성</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12.3 Kill / Pivot 기준</w:t>
      </w:r>
    </w:p>
    <w:tbl>
      <w:tblPr>
        <w:tblW w:type="auto" w:w="0"/>
        <w:jc w:val="center"/>
        <w:tblLayout w:type="autofit"/>
        <w:tblLook w:firstColumn="1" w:firstRow="1" w:lastColumn="0" w:lastRow="0" w:noHBand="0" w:noVBand="1" w:val="04A0"/>
      </w:tblPr>
      <w:tblGrid>
        <w:gridCol w:w="9752"/>
      </w:tblGrid>
      <w:tr>
        <w:trPr>
          <w:cantSplit/>
        </w:trPr>
        <w:tc>
          <w:tcPr>
            <w:tcW w:type="dxa" w:w="9752"/>
            <w:shd w:fill="FBECEC"/>
            <w:tcBorders>
              <w:top w:val="single" w:sz="12" w:color="B44444"/>
              <w:left w:val="single" w:sz="12" w:color="B44444"/>
              <w:bottom w:val="single" w:sz="12" w:color="B44444"/>
              <w:right w:val="single" w:sz="12" w:color="B44444"/>
            </w:tcBorders>
            <w:tcMar>
              <w:top w:w="150" w:type="dxa"/>
              <w:start w:w="180" w:type="dxa"/>
              <w:bottom w:w="150" w:type="dxa"/>
              <w:end w:w="180" w:type="dxa"/>
            </w:tcMar>
            <w:vAlign w:val="center"/>
          </w:tcPr>
          <w:p>
            <w:pPr>
              <w:spacing w:before="0" w:after="0" w:line="252" w:lineRule="auto"/>
            </w:pPr>
            <w:r>
              <w:rPr>
                <w:rFonts w:ascii="NanumSquare" w:hAnsi="NanumSquare" w:eastAsia="NanumSquare"/>
                <w:b/>
                <w:color w:val="1E244D"/>
                <w:sz w:val="15"/>
              </w:rPr>
              <w:t>기능을 유지하기 위한 최소 증거</w:t>
            </w:r>
            <w:r>
              <w:rPr>
                <w:rFonts w:ascii="NanumGothic" w:hAnsi="NanumGothic" w:eastAsia="NanumGothic"/>
                <w:color w:val="1E244D"/>
                <w:sz w:val="14"/>
              </w:rPr>
              <w:br/>
              <w:t>① 12개월 내 반복 외부매출이 발생하지 않음, ② distribution campaign renewal이 없음, ③ provider가 2개 이하로 고착, ④ premium 선택률이 지속적으로 미미함, ⑤ assurance·운영비가 protocol take를 초과, ⑥ 중립성 훼손으로 주요 체인이 이탈 — 이 중 2개 이상이면 native module 확대를 중단하고 제품을 축소·피벗한다.</w:t>
            </w:r>
          </w:p>
        </w:tc>
      </w:tr>
    </w:tbl>
    <w:p>
      <w:pPr>
        <w:spacing w:after="40"/>
      </w:pPr>
    </w:p>
    <w:p>
      <w:pPr>
        <w:pStyle w:val="Heading1"/>
        <w:spacing w:before="280" w:after="140" w:line="252" w:lineRule="auto"/>
        <w:keepNext/>
      </w:pPr>
      <w:r>
        <w:rPr>
          <w:rFonts w:ascii="NanumSquare" w:hAnsi="NanumSquare" w:eastAsia="NanumSquare"/>
          <w:b/>
          <w:color w:val="1E244D"/>
          <w:sz w:val="36"/>
        </w:rPr>
        <w:t>13. 리스크와 대응</w:t>
      </w:r>
    </w:p>
    <w:tbl>
      <w:tblPr>
        <w:tblW w:type="auto" w:w="0"/>
        <w:jc w:val="left"/>
        <w:tblLayout w:type="fixed"/>
        <w:tblLook w:firstColumn="1" w:firstRow="1" w:lastColumn="0" w:lastRow="0" w:noHBand="0" w:noVBand="1" w:val="04A0"/>
      </w:tblPr>
      <w:tblGrid>
        <w:gridCol w:w="9752"/>
      </w:tblGrid>
      <w:tr>
        <w:trPr>
          <w:cantSplit/>
        </w:trPr>
        <w:tc>
          <w:tcPr>
            <w:tcW w:type="dxa" w:w="2551"/>
            <w:shd w:fill="FBECEC"/>
            <w:tcBorders>
              <w:top w:val="single" w:sz="8" w:color="B44444"/>
              <w:left w:val="single" w:sz="8" w:color="B44444"/>
              <w:bottom w:val="single" w:sz="8" w:color="B44444"/>
              <w:right w:val="single" w:sz="8" w:color="B44444"/>
            </w:tcBorders>
            <w:tcMar>
              <w:top w:w="60" w:type="dxa"/>
              <w:start w:w="110" w:type="dxa"/>
              <w:bottom w:w="60" w:type="dxa"/>
              <w:end w:w="110" w:type="dxa"/>
            </w:tcMar>
          </w:tcPr>
          <w:p>
            <w:pPr>
              <w:spacing w:before="0" w:after="0" w:line="240" w:lineRule="auto"/>
            </w:pPr>
            <w:r>
              <w:rPr>
                <w:rFonts w:ascii="NanumGothic" w:hAnsi="NanumGothic" w:eastAsia="NanumGothic"/>
                <w:b/>
                <w:color w:val="B44444"/>
                <w:sz w:val="18"/>
              </w:rPr>
              <w:t>[반대 논거 포함]</w:t>
            </w:r>
          </w:p>
        </w:tc>
      </w:tr>
    </w:tbl>
    <w:p>
      <w:pPr>
        <w:spacing w:after="0"/>
      </w:pPr>
    </w:p>
    <w:tbl>
      <w:tblPr>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blHeader w:val="true"/>
        </w:trPr>
        <w:tc>
          <w:tcPr>
            <w:tcW w:type="dxa" w:w="1701"/>
            <w:shd w:fill="1E244D"/>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40" w:lineRule="auto"/>
              <w:jc w:val="center"/>
            </w:pPr>
            <w:r>
              <w:rPr>
                <w:rFonts w:ascii="NanumGothic" w:hAnsi="NanumGothic" w:eastAsia="NanumGothic"/>
                <w:b/>
                <w:color w:val="FFFFFF"/>
                <w:sz w:val="16"/>
              </w:rPr>
              <w:t>리스크</w:t>
            </w:r>
          </w:p>
        </w:tc>
        <w:tc>
          <w:tcPr>
            <w:tcW w:type="dxa" w:w="2665"/>
            <w:shd w:fill="1E244D"/>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40" w:lineRule="auto"/>
              <w:jc w:val="center"/>
            </w:pPr>
            <w:r>
              <w:rPr>
                <w:rFonts w:ascii="NanumGothic" w:hAnsi="NanumGothic" w:eastAsia="NanumGothic"/>
                <w:b/>
                <w:color w:val="FFFFFF"/>
                <w:sz w:val="16"/>
              </w:rPr>
              <w:t>발생경로</w:t>
            </w:r>
          </w:p>
        </w:tc>
        <w:tc>
          <w:tcPr>
            <w:tcW w:type="dxa" w:w="3288"/>
            <w:shd w:fill="1E244D"/>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40" w:lineRule="auto"/>
              <w:jc w:val="center"/>
            </w:pPr>
            <w:r>
              <w:rPr>
                <w:rFonts w:ascii="NanumGothic" w:hAnsi="NanumGothic" w:eastAsia="NanumGothic"/>
                <w:b/>
                <w:color w:val="FFFFFF"/>
                <w:sz w:val="16"/>
              </w:rPr>
              <w:t>대응</w:t>
            </w:r>
          </w:p>
        </w:tc>
        <w:tc>
          <w:tcPr>
            <w:tcW w:type="dxa" w:w="1814"/>
            <w:shd w:fill="1E244D"/>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40" w:lineRule="auto"/>
              <w:jc w:val="center"/>
            </w:pPr>
            <w:r>
              <w:rPr>
                <w:rFonts w:ascii="NanumGothic" w:hAnsi="NanumGothic" w:eastAsia="NanumGothic"/>
                <w:b/>
                <w:color w:val="FFFFFF"/>
                <w:sz w:val="16"/>
              </w:rPr>
              <w:t>잔여위험</w:t>
            </w:r>
          </w:p>
        </w:tc>
      </w:tr>
      <w:tr>
        <w:trPr>
          <w:cantSplit/>
          <w:cantSplit/>
        </w:trPr>
        <w:tc>
          <w:tcPr>
            <w:tcW w:type="dxa" w:w="1701"/>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6"/>
              </w:rPr>
              <w:t>Hub 우회</w:t>
            </w:r>
          </w:p>
        </w:tc>
        <w:tc>
          <w:tcPr>
            <w:tcW w:type="dxa" w:w="2665"/>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직접 IBC가 더 싸고 간단</w:t>
            </w:r>
          </w:p>
        </w:tc>
        <w:tc>
          <w:tcPr>
            <w:tcW w:type="dxa" w:w="3288"/>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기본전송이 아닌 SLA·감사·복구 판매</w:t>
            </w:r>
          </w:p>
        </w:tc>
        <w:tc>
          <w:tcPr>
            <w:tcW w:type="dxa" w:w="1814"/>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premium 가치가 약하면 실패</w:t>
            </w:r>
          </w:p>
        </w:tc>
      </w:tr>
      <w:tr>
        <w:trPr>
          <w:cantSplit/>
          <w:cantSplit/>
        </w:trPr>
        <w:tc>
          <w:tcPr>
            <w:tcW w:type="dxa" w:w="1701"/>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6"/>
              </w:rPr>
              <w:t>중립성 훼손</w:t>
            </w:r>
          </w:p>
        </w:tc>
        <w:tc>
          <w:tcPr>
            <w:tcW w:type="dxa" w:w="2665"/>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특정 issuer/router 우대</w:t>
            </w:r>
          </w:p>
        </w:tc>
        <w:tc>
          <w:tcPr>
            <w:tcW w:type="dxa" w:w="3288"/>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공개 campaign, 객관적 KPI, 비독점</w:t>
            </w:r>
          </w:p>
        </w:tc>
        <w:tc>
          <w:tcPr>
            <w:tcW w:type="dxa" w:w="1814"/>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거버넌스 포획</w:t>
            </w:r>
          </w:p>
        </w:tc>
      </w:tr>
      <w:tr>
        <w:trPr>
          <w:cantSplit/>
          <w:cantSplit/>
        </w:trPr>
        <w:tc>
          <w:tcPr>
            <w:tcW w:type="dxa" w:w="1701"/>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6"/>
              </w:rPr>
              <w:t>규제</w:t>
            </w:r>
          </w:p>
        </w:tc>
        <w:tc>
          <w:tcPr>
            <w:tcW w:type="dxa" w:w="2665"/>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coordination·assurance의 과대해석가 금융업으로 해석</w:t>
            </w:r>
          </w:p>
        </w:tc>
        <w:tc>
          <w:tcPr>
            <w:tcW w:type="dxa" w:w="3288"/>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비수탁·bond 한정, jurisdiction별 법률검토</w:t>
            </w:r>
          </w:p>
        </w:tc>
        <w:tc>
          <w:tcPr>
            <w:tcW w:type="dxa" w:w="1814"/>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국가별 불확실성</w:t>
            </w:r>
          </w:p>
        </w:tc>
      </w:tr>
      <w:tr>
        <w:trPr>
          <w:cantSplit/>
          <w:cantSplit/>
        </w:trPr>
        <w:tc>
          <w:tcPr>
            <w:tcW w:type="dxa" w:w="1701"/>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6"/>
              </w:rPr>
              <w:t>기술공격면</w:t>
            </w:r>
          </w:p>
        </w:tc>
        <w:tc>
          <w:tcPr>
            <w:tcW w:type="dxa" w:w="2665"/>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escrow·receipt·registry 취약점</w:t>
            </w:r>
          </w:p>
        </w:tc>
        <w:tc>
          <w:tcPr>
            <w:tcW w:type="dxa" w:w="3288"/>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작은 MVP, audit, cap, pause, reserve</w:t>
            </w:r>
          </w:p>
        </w:tc>
        <w:tc>
          <w:tcPr>
            <w:tcW w:type="dxa" w:w="1814"/>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새 코드의 불가피한 위험</w:t>
            </w:r>
          </w:p>
        </w:tc>
      </w:tr>
      <w:tr>
        <w:trPr>
          <w:cantSplit/>
          <w:cantSplit/>
        </w:trPr>
        <w:tc>
          <w:tcPr>
            <w:tcW w:type="dxa" w:w="1701"/>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6"/>
              </w:rPr>
              <w:t>담보부족</w:t>
            </w:r>
          </w:p>
        </w:tc>
        <w:tc>
          <w:tcPr>
            <w:tcW w:type="dxa" w:w="2665"/>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대형사고가 provider bond 초과</w:t>
            </w:r>
          </w:p>
        </w:tc>
        <w:tc>
          <w:tcPr>
            <w:tcW w:type="dxa" w:w="3288"/>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책임범위 제한, 보험 tier, reserve</w:t>
            </w:r>
          </w:p>
        </w:tc>
        <w:tc>
          <w:tcPr>
            <w:tcW w:type="dxa" w:w="1814"/>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tail risk</w:t>
            </w:r>
          </w:p>
        </w:tc>
      </w:tr>
      <w:tr>
        <w:trPr>
          <w:cantSplit/>
          <w:cantSplit/>
        </w:trPr>
        <w:tc>
          <w:tcPr>
            <w:tcW w:type="dxa" w:w="1701"/>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6"/>
              </w:rPr>
              <w:t>수익부족</w:t>
            </w:r>
          </w:p>
        </w:tc>
        <w:tc>
          <w:tcPr>
            <w:tcW w:type="dxa" w:w="2665"/>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초저율 fee와 낮은 거래량</w:t>
            </w:r>
          </w:p>
        </w:tc>
        <w:tc>
          <w:tcPr>
            <w:tcW w:type="dxa" w:w="3288"/>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issuer incentive·SLA subscription 병행</w:t>
            </w:r>
          </w:p>
        </w:tc>
        <w:tc>
          <w:tcPr>
            <w:tcW w:type="dxa" w:w="1814"/>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규모경제 도달 실패</w:t>
            </w:r>
          </w:p>
        </w:tc>
      </w:tr>
      <w:tr>
        <w:trPr>
          <w:cantSplit/>
          <w:cantSplit/>
        </w:trPr>
        <w:tc>
          <w:tcPr>
            <w:tcW w:type="dxa" w:w="1701"/>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6"/>
              </w:rPr>
              <w:t>사업자 독점</w:t>
            </w:r>
          </w:p>
        </w:tc>
        <w:tc>
          <w:tcPr>
            <w:tcW w:type="dxa" w:w="2665"/>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Skip/Cosmos Labs 중심화</w:t>
            </w:r>
          </w:p>
        </w:tc>
        <w:tc>
          <w:tcPr>
            <w:tcW w:type="dxa" w:w="3288"/>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open spec, 복수 operator, concentration KPI</w:t>
            </w:r>
          </w:p>
        </w:tc>
        <w:tc>
          <w:tcPr>
            <w:tcW w:type="dxa" w:w="1814"/>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네트워크 효과</w:t>
            </w:r>
          </w:p>
        </w:tc>
      </w:tr>
      <w:tr>
        <w:trPr>
          <w:cantSplit/>
          <w:cantSplit/>
        </w:trPr>
        <w:tc>
          <w:tcPr>
            <w:tcW w:type="dxa" w:w="1701"/>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6"/>
              </w:rPr>
              <w:t>ATOM 규제성</w:t>
            </w:r>
          </w:p>
        </w:tc>
        <w:tc>
          <w:tcPr>
            <w:tcW w:type="dxa" w:w="2665"/>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수익의 직접 배당 약속</w:t>
            </w:r>
          </w:p>
        </w:tc>
        <w:tc>
          <w:tcPr>
            <w:tcW w:type="dxa" w:w="3288"/>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Community Pool buyback 중심, 법률검토</w:t>
            </w:r>
          </w:p>
        </w:tc>
        <w:tc>
          <w:tcPr>
            <w:tcW w:type="dxa" w:w="1814"/>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관할별 해석</w:t>
            </w:r>
          </w:p>
        </w:tc>
      </w:tr>
      <w:tr>
        <w:trPr>
          <w:cantSplit/>
          <w:cantSplit/>
        </w:trPr>
        <w:tc>
          <w:tcPr>
            <w:tcW w:type="dxa" w:w="1701"/>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6"/>
              </w:rPr>
              <w:t>로드맵 팽창</w:t>
            </w:r>
          </w:p>
        </w:tc>
        <w:tc>
          <w:tcPr>
            <w:tcW w:type="dxa" w:w="2665"/>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EVM·DEX·privacy까지 동시 개발</w:t>
            </w:r>
          </w:p>
        </w:tc>
        <w:tc>
          <w:tcPr>
            <w:tcW w:type="dxa" w:w="3288"/>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제품별 gate, PMF 전 native module 금지</w:t>
            </w:r>
          </w:p>
        </w:tc>
        <w:tc>
          <w:tcPr>
            <w:tcW w:type="dxa" w:w="1814"/>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6"/>
              </w:rPr>
              <w:t>커뮤니티 압력</w:t>
            </w:r>
          </w:p>
        </w:tc>
      </w:tr>
      <w:tr>
        <w:trPr>
          <w:cantSplit/>
        </w:trPr>
        <w:tc>
          <w:tcPr>
            <w:tcW w:type="dxa" w:w="2438"/>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7F8FB"/>
          </w:tcPr>
          <w:p>
            <w:pPr>
              <w:spacing w:after="0" w:before="0" w:line="252" w:lineRule="auto"/>
            </w:pPr>
            <w:r>
              <w:rPr>
                <w:rFonts w:ascii="NanumGothic" w:hAnsi="NanumGothic" w:eastAsia="NanumGothic"/>
                <w:color w:val="1E244D"/>
                <w:sz w:val="13"/>
              </w:rPr>
              <w:t>Wrong-way risk</w:t>
            </w:r>
          </w:p>
        </w:tc>
        <w:tc>
          <w:tcPr>
            <w:tcW w:type="dxa" w:w="2438"/>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7F8FB"/>
          </w:tcPr>
          <w:p>
            <w:pPr>
              <w:spacing w:after="0" w:before="0" w:line="252" w:lineRule="auto"/>
            </w:pPr>
            <w:r>
              <w:rPr>
                <w:rFonts w:ascii="NanumGothic" w:hAnsi="NanumGothic" w:eastAsia="NanumGothic"/>
                <w:color w:val="1E244D"/>
                <w:sz w:val="13"/>
              </w:rPr>
              <w:t>네트워크 사고와 ATOM 가격하락 동시 발생</w:t>
            </w:r>
          </w:p>
        </w:tc>
        <w:tc>
          <w:tcPr>
            <w:tcW w:type="dxa" w:w="2438"/>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7F8FB"/>
          </w:tcPr>
          <w:p>
            <w:pPr>
              <w:spacing w:after="0" w:before="0" w:line="252" w:lineRule="auto"/>
            </w:pPr>
            <w:r>
              <w:rPr>
                <w:rFonts w:ascii="NanumGothic" w:hAnsi="NanumGothic" w:eastAsia="NanumGothic"/>
                <w:color w:val="1E244D"/>
                <w:sz w:val="13"/>
              </w:rPr>
              <w:t>안정자산 1차담보, ATOM haircut, top-up·노출한도</w:t>
            </w:r>
          </w:p>
        </w:tc>
        <w:tc>
          <w:tcPr>
            <w:tcW w:type="dxa" w:w="2438"/>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7F8FB"/>
          </w:tcPr>
          <w:p>
            <w:pPr>
              <w:spacing w:after="0" w:before="0" w:line="252" w:lineRule="auto"/>
            </w:pPr>
            <w:r>
              <w:rPr>
                <w:rFonts w:ascii="NanumGothic" w:hAnsi="NanumGothic" w:eastAsia="NanumGothic"/>
                <w:color w:val="1E244D"/>
                <w:sz w:val="13"/>
              </w:rPr>
              <w:t>급격한 시장붕괴</w:t>
            </w:r>
          </w:p>
        </w:tc>
      </w:tr>
      <w:tr>
        <w:trPr>
          <w:cantSplit/>
        </w:trPr>
        <w:tc>
          <w:tcPr>
            <w:tcW w:type="dxa" w:w="2438"/>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FFFFF"/>
          </w:tcPr>
          <w:p>
            <w:pPr>
              <w:spacing w:after="0" w:before="0" w:line="252" w:lineRule="auto"/>
            </w:pPr>
            <w:r>
              <w:rPr>
                <w:rFonts w:ascii="NanumGothic" w:hAnsi="NanumGothic" w:eastAsia="NanumGothic"/>
                <w:color w:val="1E244D"/>
                <w:sz w:val="13"/>
              </w:rPr>
              <w:t>Contract enforcement</w:t>
            </w:r>
          </w:p>
        </w:tc>
        <w:tc>
          <w:tcPr>
            <w:tcW w:type="dxa" w:w="2438"/>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FFFFF"/>
          </w:tcPr>
          <w:p>
            <w:pPr>
              <w:spacing w:after="0" w:before="0" w:line="252" w:lineRule="auto"/>
            </w:pPr>
            <w:r>
              <w:rPr>
                <w:rFonts w:ascii="NanumGothic" w:hAnsi="NanumGothic" w:eastAsia="NanumGothic"/>
                <w:color w:val="1E244D"/>
                <w:sz w:val="13"/>
              </w:rPr>
              <w:t>gateway가 protocol share 회피·연체</w:t>
            </w:r>
          </w:p>
        </w:tc>
        <w:tc>
          <w:tcPr>
            <w:tcW w:type="dxa" w:w="2438"/>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FFFFF"/>
          </w:tcPr>
          <w:p>
            <w:pPr>
              <w:spacing w:after="0" w:before="0" w:line="252" w:lineRule="auto"/>
            </w:pPr>
            <w:r>
              <w:rPr>
                <w:rFonts w:ascii="NanumGothic" w:hAnsi="NanumGothic" w:eastAsia="NanumGothic"/>
                <w:color w:val="1E244D"/>
                <w:sz w:val="13"/>
              </w:rPr>
              <w:t>metering receipt, 감사권, 인증정지, bond·계약해지</w:t>
            </w:r>
          </w:p>
        </w:tc>
        <w:tc>
          <w:tcPr>
            <w:tcW w:type="dxa" w:w="2438"/>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FFFFF"/>
          </w:tcPr>
          <w:p>
            <w:pPr>
              <w:spacing w:after="0" w:before="0" w:line="252" w:lineRule="auto"/>
            </w:pPr>
            <w:r>
              <w:rPr>
                <w:rFonts w:ascii="NanumGothic" w:hAnsi="NanumGothic" w:eastAsia="NanumGothic"/>
                <w:color w:val="1E244D"/>
                <w:sz w:val="13"/>
              </w:rPr>
              <w:t>관할별 집행비용</w:t>
            </w:r>
          </w:p>
        </w:tc>
      </w:tr>
    </w:tbl>
    <w:p>
      <w:pPr>
        <w:spacing w:before="0" w:after="20" w:line="283" w:lineRule="auto"/>
      </w:pPr>
    </w:p>
    <w:p>
      <w:pPr>
        <w:pStyle w:val="Heading2"/>
        <w:spacing w:before="200" w:after="100" w:line="252" w:lineRule="auto"/>
        <w:keepNext/>
      </w:pPr>
      <w:r>
        <w:rPr>
          <w:rFonts w:ascii="NanumSquare" w:hAnsi="NanumSquare" w:eastAsia="NanumSquare"/>
          <w:b/>
          <w:color w:val="1E244D"/>
          <w:sz w:val="28"/>
        </w:rPr>
        <w:t>13.1 가장 강한 반론과 답변</w:t>
      </w:r>
    </w:p>
    <w:tbl>
      <w:tblPr>
        <w:tblW w:type="auto" w:w="0"/>
        <w:jc w:val="center"/>
        <w:tblLayout w:type="fixed"/>
        <w:tblLook w:firstColumn="1" w:firstRow="1" w:lastColumn="0" w:lastRow="0" w:noHBand="0" w:noVBand="1" w:val="04A0"/>
      </w:tblPr>
      <w:tblGrid>
        <w:gridCol w:w="4876"/>
        <w:gridCol w:w="4876"/>
      </w:tblGrid>
      <w:tr>
        <w:trPr>
          <w:tblHeader w:val="true"/>
          <w:cantSplit/>
        </w:trPr>
        <w:tc>
          <w:tcPr>
            <w:tcW w:type="dxa" w:w="345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반론</w:t>
            </w:r>
          </w:p>
        </w:tc>
        <w:tc>
          <w:tcPr>
            <w:tcW w:type="dxa" w:w="6009"/>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답변</w:t>
            </w:r>
          </w:p>
        </w:tc>
      </w:tr>
      <w:tr>
        <w:trPr>
          <w:cantSplit/>
        </w:trPr>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IBC는 무료인데 누가 Hub에 돈을 내나?</w:t>
            </w:r>
          </w:p>
        </w:tc>
        <w:tc>
          <w:tcPr>
            <w:tcW w:type="dxa" w:w="600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전송 자체가 아니라 issuer distribution, SLA, recovery, audit, one-connection 운영비에 지불한다.</w:t>
            </w:r>
          </w:p>
        </w:tc>
      </w:tr>
      <w:tr>
        <w:trPr>
          <w:cantSplit/>
        </w:trPr>
        <w:tc>
          <w:tcPr>
            <w:tcW w:type="dxa" w:w="345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Skip Go가 이미 다 하는 것 아닌가?</w:t>
            </w:r>
          </w:p>
        </w:tc>
        <w:tc>
          <w:tcPr>
            <w:tcW w:type="dxa" w:w="600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Skip은 route·UX를 제공한다. Hub는 복수 provider 경쟁, bond, escrow, receipt, protocol revenue를 제공한다.</w:t>
            </w:r>
          </w:p>
        </w:tc>
      </w:tr>
      <w:tr>
        <w:trPr>
          <w:cantSplit/>
        </w:trPr>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Hub가 또 앱체인이 되는 것 아닌가?</w:t>
            </w:r>
          </w:p>
        </w:tc>
        <w:tc>
          <w:tcPr>
            <w:tcW w:type="dxa" w:w="600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DEX·lending·market making을 금지하고 최소 coordination primitive만 둔다.</w:t>
            </w:r>
          </w:p>
        </w:tc>
      </w:tr>
      <w:tr>
        <w:trPr>
          <w:cantSplit/>
        </w:trPr>
        <w:tc>
          <w:tcPr>
            <w:tcW w:type="dxa" w:w="345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ATOM buyback이 가격부양용 아닌가?</w:t>
            </w:r>
          </w:p>
        </w:tc>
        <w:tc>
          <w:tcPr>
            <w:tcW w:type="dxa" w:w="600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외부고객 매출을 Community Pool 자산으로 전환하는 treasury 정책이며, 가격보장이나 배당약속이 아니다.</w:t>
            </w:r>
          </w:p>
        </w:tc>
      </w:tr>
      <w:tr>
        <w:trPr>
          <w:cantSplit/>
        </w:trPr>
        <w:tc>
          <w:tcPr>
            <w:tcW w:type="dxa" w:w="345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기관은 public chain을 원하지 않을 수 있다.</w:t>
            </w:r>
          </w:p>
        </w:tc>
        <w:tc>
          <w:tcPr>
            <w:tcW w:type="dxa" w:w="600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private DLT도 IBC/Eureka 계층과 enterprise gateway를 통해 선택적으로 연결하도록 설계한다.</w:t>
            </w:r>
          </w:p>
        </w:tc>
      </w:tr>
      <w:tr>
        <w:trPr>
          <w:cantSplit/>
        </w:trPr>
        <w:tc>
          <w:tcPr>
            <w:tcW w:type="dxa" w:w="345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거래 실패를 전부 보상할 수 없다.</w:t>
            </w:r>
          </w:p>
        </w:tc>
        <w:tc>
          <w:tcPr>
            <w:tcW w:type="dxa" w:w="600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객관적으로 provider가 통제 가능한 SLA만 보장하고 chain halt 등은 면책·옵션보험으로 분리한다.</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14. 의사결정 요청안</w:t>
      </w:r>
    </w:p>
    <w:tbl>
      <w:tblPr>
        <w:tblW w:type="auto" w:w="0"/>
        <w:jc w:val="left"/>
        <w:tblLayout w:type="fixed"/>
        <w:tblLook w:firstColumn="1" w:firstRow="1" w:lastColumn="0" w:lastRow="0" w:noHBand="0" w:noVBand="1" w:val="04A0"/>
      </w:tblPr>
      <w:tblGrid>
        <w:gridCol w:w="9752"/>
      </w:tblGrid>
      <w:tr>
        <w:trPr>
          <w:cantSplit/>
        </w:trPr>
        <w:tc>
          <w:tcPr>
            <w:tcW w:type="dxa" w:w="2551"/>
            <w:shd w:fill="F0EDFF"/>
            <w:tcBorders>
              <w:top w:val="single" w:sz="8" w:color="6F5AE8"/>
              <w:left w:val="single" w:sz="8" w:color="6F5AE8"/>
              <w:bottom w:val="single" w:sz="8" w:color="6F5AE8"/>
              <w:right w:val="single" w:sz="8" w:color="6F5AE8"/>
            </w:tcBorders>
            <w:tcMar>
              <w:top w:w="60" w:type="dxa"/>
              <w:start w:w="110" w:type="dxa"/>
              <w:bottom w:w="60" w:type="dxa"/>
              <w:end w:w="110" w:type="dxa"/>
            </w:tcMar>
          </w:tcPr>
          <w:p>
            <w:pPr>
              <w:spacing w:before="0" w:after="0" w:line="240" w:lineRule="auto"/>
            </w:pPr>
            <w:r>
              <w:rPr>
                <w:rFonts w:ascii="NanumGothic" w:hAnsi="NanumGothic" w:eastAsia="NanumGothic"/>
                <w:b/>
                <w:color w:val="6F5AE8"/>
                <w:sz w:val="18"/>
              </w:rPr>
              <w:t>[권장 거버넌스·운영 결정]</w:t>
            </w:r>
          </w:p>
        </w:tc>
      </w:tr>
    </w:tbl>
    <w:p>
      <w:pPr>
        <w:spacing w:after="0"/>
      </w:pPr>
    </w:p>
    <w:p>
      <w:pPr>
        <w:pStyle w:val="Heading2"/>
        <w:spacing w:before="200" w:after="100" w:line="252" w:lineRule="auto"/>
        <w:keepNext/>
      </w:pPr>
      <w:r>
        <w:rPr>
          <w:rFonts w:ascii="NanumSquare" w:hAnsi="NanumSquare" w:eastAsia="NanumSquare"/>
          <w:b/>
          <w:color w:val="1E244D"/>
          <w:sz w:val="28"/>
        </w:rPr>
        <w:t>14.1 지금 승인할 것</w:t>
      </w:r>
    </w:p>
    <w:p>
      <w:pPr>
        <w:spacing w:before="0" w:after="100" w:line="276" w:lineRule="auto"/>
      </w:pPr>
      <w:r>
        <w:rPr>
          <w:rFonts w:ascii="NanumGothic" w:hAnsi="NanumGothic" w:eastAsia="NanumGothic"/>
          <w:b/>
          <w:color w:val="1E244D"/>
          <w:sz w:val="22"/>
        </w:rPr>
        <w:t>1  방향 승인</w:t>
      </w:r>
      <w:r>
        <w:rPr>
          <w:rFonts w:ascii="NanumGothic" w:hAnsi="NanumGothic" w:eastAsia="NanumGothic"/>
          <w:color w:val="1F2633"/>
          <w:sz w:val="21"/>
        </w:rPr>
        <w:t xml:space="preserve"> — Cosmos Hub의 우선 BM 탐색을 “Neutral Interchain Distribution &amp; Assurance”로 좁힌다.</w:t>
      </w:r>
    </w:p>
    <w:p>
      <w:pPr>
        <w:spacing w:before="0" w:after="100" w:line="276" w:lineRule="auto"/>
      </w:pPr>
      <w:r>
        <w:rPr>
          <w:rFonts w:ascii="NanumGothic" w:hAnsi="NanumGothic" w:eastAsia="NanumGothic"/>
          <w:b/>
          <w:color w:val="1E244D"/>
          <w:sz w:val="22"/>
        </w:rPr>
        <w:t>2  중립성 헌장</w:t>
      </w:r>
      <w:r>
        <w:rPr>
          <w:rFonts w:ascii="NanumGothic" w:hAnsi="NanumGothic" w:eastAsia="NanumGothic"/>
          <w:color w:val="1F2633"/>
          <w:sz w:val="21"/>
        </w:rPr>
        <w:t xml:space="preserve"> — 기본 IBC 무과금, 비수탁, 비독점, 앱체인 비경쟁, PII 비저장을 원칙으로 채택한다.</w:t>
      </w:r>
    </w:p>
    <w:p>
      <w:pPr>
        <w:spacing w:before="0" w:after="100" w:line="276" w:lineRule="auto"/>
      </w:pPr>
      <w:r>
        <w:rPr>
          <w:rFonts w:ascii="NanumGothic" w:hAnsi="NanumGothic" w:eastAsia="NanumGothic"/>
          <w:b/>
          <w:color w:val="1E244D"/>
          <w:sz w:val="22"/>
        </w:rPr>
        <w:t>3  90일 Discovery</w:t>
      </w:r>
      <w:r>
        <w:rPr>
          <w:rFonts w:ascii="NanumGothic" w:hAnsi="NanumGothic" w:eastAsia="NanumGothic"/>
          <w:color w:val="1F2633"/>
          <w:sz w:val="21"/>
        </w:rPr>
        <w:t xml:space="preserve"> — 발행사·은행·router·wallet·validator 인터뷰와 법률·기술 검증을 진행한다.</w:t>
      </w:r>
    </w:p>
    <w:p>
      <w:pPr>
        <w:spacing w:before="0" w:after="100" w:line="276" w:lineRule="auto"/>
      </w:pPr>
      <w:r>
        <w:rPr>
          <w:rFonts w:ascii="NanumGothic" w:hAnsi="NanumGothic" w:eastAsia="NanumGothic"/>
          <w:b/>
          <w:color w:val="1E244D"/>
          <w:sz w:val="22"/>
        </w:rPr>
        <w:t>4 Revenue Transparency — Injective USDC부터 Contracted, Accrued, Received, ATOM Purchased, Community Pool Deposited 상태를 구분한 공개 대시보드를 구축한다.</w:t>
      </w:r>
    </w:p>
    <w:p>
      <w:pPr>
        <w:spacing w:before="0" w:after="100" w:line="276" w:lineRule="auto"/>
      </w:pPr>
      <w:r>
        <w:rPr>
          <w:rFonts w:ascii="NanumGothic" w:hAnsi="NanumGothic" w:eastAsia="NanumGothic"/>
          <w:b/>
          <w:color w:val="1E244D"/>
          <w:sz w:val="22"/>
        </w:rPr>
        <w:t>5  Distribution MVP</w:t>
      </w:r>
      <w:r>
        <w:rPr>
          <w:rFonts w:ascii="NanumGothic" w:hAnsi="NanumGothic" w:eastAsia="NanumGothic"/>
          <w:color w:val="1F2633"/>
          <w:sz w:val="21"/>
        </w:rPr>
        <w:t xml:space="preserve"> — 최소 1개 추가 issuer와 공개 campaign pilot을 추진한다.</w:t>
      </w:r>
    </w:p>
    <w:p>
      <w:pPr>
        <w:spacing w:before="0" w:after="100" w:line="276" w:lineRule="auto"/>
      </w:pPr>
      <w:r>
        <w:rPr>
          <w:rFonts w:ascii="NanumGothic" w:hAnsi="NanumGothic" w:eastAsia="NanumGothic"/>
          <w:b/>
          <w:color w:val="1E244D"/>
          <w:sz w:val="22"/>
        </w:rPr>
        <w:t>6  모듈 동결 원칙</w:t>
      </w:r>
      <w:r>
        <w:rPr>
          <w:rFonts w:ascii="NanumGothic" w:hAnsi="NanumGothic" w:eastAsia="NanumGothic"/>
          <w:color w:val="1F2633"/>
          <w:sz w:val="21"/>
        </w:rPr>
        <w:t xml:space="preserve"> — PMF가 확인되기 전 대형 native module·Hub 자체 DEX·custody를 착수하지 않는다.</w:t>
      </w:r>
    </w:p>
    <w:p>
      <w:pPr>
        <w:pStyle w:val="Heading2"/>
        <w:spacing w:before="200" w:after="100" w:line="252" w:lineRule="auto"/>
        <w:keepNext/>
      </w:pPr>
      <w:r>
        <w:rPr>
          <w:rFonts w:ascii="NanumSquare" w:hAnsi="NanumSquare" w:eastAsia="NanumSquare"/>
          <w:b/>
          <w:color w:val="1E244D"/>
          <w:sz w:val="28"/>
        </w:rPr>
        <w:t>14.2 아직 승인하지 말 것</w:t>
      </w:r>
    </w:p>
    <w:p>
      <w:pPr>
        <w:pStyle w:val="ListBullet"/>
        <w:spacing w:before="0" w:after="60" w:line="269" w:lineRule="auto"/>
        <w:ind w:left="340" w:hanging="170"/>
      </w:pPr>
      <w:r>
        <w:rPr>
          <w:rFonts w:ascii="NanumGothic" w:hAnsi="NanumGothic" w:eastAsia="NanumGothic"/>
          <w:color w:val="1F2633"/>
          <w:sz w:val="21"/>
        </w:rPr>
        <w:t>CLS식 netting·중앙 balance sheet·고객원금 custody</w:t>
      </w:r>
    </w:p>
    <w:p>
      <w:pPr>
        <w:pStyle w:val="ListBullet"/>
        <w:spacing w:before="0" w:after="60" w:line="269" w:lineRule="auto"/>
        <w:ind w:left="340" w:hanging="170"/>
      </w:pPr>
      <w:r>
        <w:rPr>
          <w:rFonts w:ascii="NanumGothic" w:hAnsi="NanumGothic" w:eastAsia="NanumGothic"/>
          <w:color w:val="1F2633"/>
          <w:sz w:val="21"/>
        </w:rPr>
        <w:t>Hub 공식 stablecoin 또는 공식 DEX 지정</w:t>
      </w:r>
    </w:p>
    <w:p>
      <w:pPr>
        <w:pStyle w:val="ListBullet"/>
        <w:spacing w:before="0" w:after="60" w:line="269" w:lineRule="auto"/>
        <w:ind w:left="340" w:hanging="170"/>
      </w:pPr>
      <w:r>
        <w:rPr>
          <w:rFonts w:ascii="NanumGothic" w:hAnsi="NanumGothic" w:eastAsia="NanumGothic"/>
          <w:color w:val="1F2633"/>
          <w:sz w:val="21"/>
        </w:rPr>
        <w:t>모든 IBC/Eureka 트래픽에 강제 protocol toll</w:t>
      </w:r>
    </w:p>
    <w:p>
      <w:pPr>
        <w:pStyle w:val="ListBullet"/>
        <w:spacing w:before="0" w:after="60" w:line="269" w:lineRule="auto"/>
        <w:ind w:left="340" w:hanging="170"/>
      </w:pPr>
      <w:r>
        <w:rPr>
          <w:rFonts w:ascii="NanumGothic" w:hAnsi="NanumGothic" w:eastAsia="NanumGothic"/>
          <w:color w:val="1F2633"/>
          <w:sz w:val="21"/>
        </w:rPr>
        <w:t>ATOM 보유자에게 직접 수익률을 약속하는 배당구조</w:t>
      </w:r>
    </w:p>
    <w:p>
      <w:pPr>
        <w:pStyle w:val="ListBullet"/>
        <w:spacing w:before="0" w:after="60" w:line="269" w:lineRule="auto"/>
        <w:ind w:left="340" w:hanging="170"/>
      </w:pPr>
      <w:r>
        <w:rPr>
          <w:rFonts w:ascii="NanumGothic" w:hAnsi="NanumGothic" w:eastAsia="NanumGothic"/>
          <w:color w:val="1F2633"/>
          <w:sz w:val="21"/>
        </w:rPr>
        <w:t>EVM·privacy·liquidity venue를 동시에 추진하는 대형 범위</w:t>
      </w:r>
    </w:p>
    <w:p>
      <w:pPr>
        <w:pStyle w:val="Heading2"/>
        <w:spacing w:before="200" w:after="100" w:line="252" w:lineRule="auto"/>
        <w:keepNext/>
      </w:pPr>
      <w:r>
        <w:rPr>
          <w:rFonts w:ascii="NanumSquare" w:hAnsi="NanumSquare" w:eastAsia="NanumSquare"/>
          <w:b/>
          <w:color w:val="1E244D"/>
          <w:sz w:val="28"/>
        </w:rPr>
        <w:t>14.3 90일 산출물</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38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산출물</w:t>
            </w:r>
          </w:p>
        </w:tc>
        <w:tc>
          <w:tcPr>
            <w:tcW w:type="dxa" w:w="4479"/>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필수 내용</w:t>
            </w:r>
          </w:p>
        </w:tc>
        <w:tc>
          <w:tcPr>
            <w:tcW w:type="dxa" w:w="2608"/>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Go 조건</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Customer Evidence Pack</w:t>
            </w:r>
          </w:p>
        </w:tc>
        <w:tc>
          <w:tcPr>
            <w:tcW w:type="dxa" w:w="447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1"/>
              </w:rPr>
              <w:t>issuer willingness-to-pay, institution SLA willingness-to-pay, provider bond·recovery support willingness, legal contracting preference</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유료의향·담보·복구지원 확인</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Legal Boundary Memo</w:t>
            </w:r>
          </w:p>
        </w:tc>
        <w:tc>
          <w:tcPr>
            <w:tcW w:type="dxa" w:w="447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1"/>
              </w:rPr>
              <w:t>권장 계약 법인모델, protocol share 강제방식, 보험 분류조건, custody·money transmission·payment-system 경계, 국가별 접근책임, 상표·인증, 세금·회계, dispute resolution</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MVP 가능구조와 계약집행 경로</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Technical MVP Spec</w:t>
            </w:r>
          </w:p>
        </w:tc>
        <w:tc>
          <w:tcPr>
            <w:tcW w:type="dxa" w:w="447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1"/>
              </w:rPr>
              <w:t>receipt state machine, failure taxonomy, recovery-address rules, permissioned relay dependency, collateral valuation·haircut, exposure cap, revenue waterfall, buyback interface</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audit 가능한 범위</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Revenue Dashboard</w:t>
            </w:r>
          </w:p>
        </w:tc>
        <w:tc>
          <w:tcPr>
            <w:tcW w:type="dxa" w:w="447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1"/>
              </w:rPr>
              <w:t>Contracted Revenue, Accrued Revenue, Cash/Token Received, ATOM Purchased, Community Pool Deposited, Pending/Overdue</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실제 온체인·회계 증거</w:t>
            </w:r>
          </w:p>
        </w:tc>
      </w:tr>
      <w:tr>
        <w:trPr>
          <w:cantSplit/>
        </w:trPr>
        <w:tc>
          <w:tcPr>
            <w:tcW w:type="dxa" w:w="238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Pilot Commercial Term Sheet</w:t>
            </w:r>
          </w:p>
        </w:tc>
        <w:tc>
          <w:tcPr>
            <w:tcW w:type="dxa" w:w="4479"/>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campaign KPI·take rate·renewal</w:t>
            </w:r>
          </w:p>
        </w:tc>
        <w:tc>
          <w:tcPr>
            <w:tcW w:type="dxa" w:w="2608"/>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최소 1개 서명</w:t>
            </w:r>
          </w:p>
        </w:tc>
      </w:tr>
      <w:tr>
        <w:trPr>
          <w:cantSplit/>
        </w:trPr>
        <w:tc>
          <w:tcPr>
            <w:tcW w:type="dxa" w:w="238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Governance Charter</w:t>
            </w:r>
          </w:p>
        </w:tc>
        <w:tc>
          <w:tcPr>
            <w:tcW w:type="dxa" w:w="4479"/>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중립성·conflict·provider entry</w:t>
            </w:r>
          </w:p>
        </w:tc>
        <w:tc>
          <w:tcPr>
            <w:tcW w:type="dxa" w:w="2608"/>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공개 합의</w:t>
            </w:r>
          </w:p>
        </w:tc>
      </w:tr>
    </w:tbl>
    <w:tbl>
      <w:tblPr>
        <w:tblW w:type="auto" w:w="0"/>
        <w:jc w:val="center"/>
        <w:tblLayout w:type="fixed"/>
        <w:tblLook w:firstColumn="1" w:firstRow="1" w:lastColumn="0" w:lastRow="0" w:noHBand="0" w:noVBand="1" w:val="04A0"/>
      </w:tblPr>
      <w:tblGrid>
        <w:gridCol w:w="4876"/>
        <w:gridCol w:w="4876"/>
      </w:tblGrid>
      <w:tr>
        <w:trPr>
          <w:cantSplit/>
          <w:tblHeader w:val="true"/>
        </w:trPr>
        <w:tc>
          <w:tcPr>
            <w:tcW w:type="dxa" w:w="4052"/>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상태</w:t>
            </w:r>
          </w:p>
        </w:tc>
        <w:tc>
          <w:tcPr>
            <w:tcW w:type="dxa" w:w="5596"/>
            <w:tcMar>
              <w:top w:w="60" w:type="dxa"/>
              <w:start w:w="80" w:type="dxa"/>
              <w:bottom w:w="60" w:type="dxa"/>
              <w:end w:w="80" w:type="dxa"/>
            </w:tcMar>
            <w:tcBorders>
              <w:top w:val="single" w:sz="4" w:color="D8DDE8"/>
              <w:left w:val="single" w:sz="4" w:color="D8DDE8"/>
              <w:bottom w:val="single" w:sz="4" w:color="D8DDE8"/>
              <w:right w:val="single" w:sz="4" w:color="D8DDE8"/>
            </w:tcBorders>
            <w:shd w:fill="1E244D"/>
            <w:vAlign w:val="center"/>
          </w:tcPr>
          <w:p>
            <w:pPr>
              <w:spacing w:before="0" w:after="0" w:line="245" w:lineRule="auto"/>
              <w:jc w:val="center"/>
            </w:pPr>
            <w:r>
              <w:rPr>
                <w:rFonts w:ascii="NanumGothic" w:hAnsi="NanumGothic" w:eastAsia="NanumGothic"/>
                <w:b/>
                <w:color w:val="FFFFFF"/>
                <w:sz w:val="13"/>
              </w:rPr>
              <w:t>표시</w:t>
            </w:r>
          </w:p>
        </w:tc>
      </w:tr>
      <w:tr>
        <w:trPr>
          <w:cantSplit/>
        </w:trPr>
        <w:tc>
          <w:tcPr>
            <w:tcW w:type="dxa" w:w="405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Contracted Revenue</w:t>
            </w:r>
          </w:p>
        </w:tc>
        <w:tc>
          <w:tcPr>
            <w:tcW w:type="dxa" w:w="5596"/>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계약상 예정</w:t>
            </w:r>
          </w:p>
        </w:tc>
      </w:tr>
      <w:tr>
        <w:trPr>
          <w:cantSplit/>
        </w:trPr>
        <w:tc>
          <w:tcPr>
            <w:tcW w:type="dxa" w:w="4052"/>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Accrued Revenue</w:t>
            </w:r>
          </w:p>
        </w:tc>
        <w:tc>
          <w:tcPr>
            <w:tcW w:type="dxa" w:w="5596"/>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회계상 발생</w:t>
            </w:r>
          </w:p>
        </w:tc>
      </w:tr>
      <w:tr>
        <w:trPr>
          <w:cantSplit/>
        </w:trPr>
        <w:tc>
          <w:tcPr>
            <w:tcW w:type="dxa" w:w="405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Cash/Token Received</w:t>
            </w:r>
          </w:p>
        </w:tc>
        <w:tc>
          <w:tcPr>
            <w:tcW w:type="dxa" w:w="5596"/>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실제 수령</w:t>
            </w:r>
          </w:p>
        </w:tc>
      </w:tr>
      <w:tr>
        <w:trPr>
          <w:cantSplit/>
        </w:trPr>
        <w:tc>
          <w:tcPr>
            <w:tcW w:type="dxa" w:w="4052"/>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ATOM Purchased</w:t>
            </w:r>
          </w:p>
        </w:tc>
        <w:tc>
          <w:tcPr>
            <w:tcW w:type="dxa" w:w="5596"/>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실제 매입</w:t>
            </w:r>
          </w:p>
        </w:tc>
      </w:tr>
      <w:tr>
        <w:trPr>
          <w:cantSplit/>
        </w:trPr>
        <w:tc>
          <w:tcPr>
            <w:tcW w:type="dxa" w:w="4052"/>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Community Pool Deposited</w:t>
            </w:r>
          </w:p>
        </w:tc>
        <w:tc>
          <w:tcPr>
            <w:tcW w:type="dxa" w:w="5596"/>
            <w:tcMar>
              <w:top w:w="60" w:type="dxa"/>
              <w:start w:w="80" w:type="dxa"/>
              <w:bottom w:w="60" w:type="dxa"/>
              <w:end w:w="80" w:type="dxa"/>
            </w:tcMar>
            <w:tcBorders>
              <w:top w:val="single" w:sz="4" w:color="D8DDE8"/>
              <w:left w:val="single" w:sz="4" w:color="D8DDE8"/>
              <w:bottom w:val="single" w:sz="4" w:color="D8DDE8"/>
              <w:right w:val="single" w:sz="4" w:color="D8DDE8"/>
            </w:tcBorders>
            <w:shd w:fill="FFFFFF"/>
            <w:vAlign w:val="center"/>
          </w:tcPr>
          <w:p>
            <w:pPr>
              <w:spacing w:before="0" w:after="0" w:line="245" w:lineRule="auto"/>
            </w:pPr>
            <w:r>
              <w:rPr>
                <w:rFonts w:ascii="NanumGothic" w:hAnsi="NanumGothic" w:eastAsia="NanumGothic"/>
                <w:color w:val="1E244D"/>
                <w:sz w:val="13"/>
              </w:rPr>
              <w:t>실제 귀속</w:t>
            </w:r>
          </w:p>
        </w:tc>
      </w:tr>
      <w:tr>
        <w:trPr>
          <w:cantSplit/>
        </w:trPr>
        <w:tc>
          <w:tcPr>
            <w:tcW w:type="dxa" w:w="4052"/>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Pending/Overdue</w:t>
            </w:r>
          </w:p>
        </w:tc>
        <w:tc>
          <w:tcPr>
            <w:tcW w:type="dxa" w:w="5596"/>
            <w:tcMar>
              <w:top w:w="60" w:type="dxa"/>
              <w:start w:w="80" w:type="dxa"/>
              <w:bottom w:w="60" w:type="dxa"/>
              <w:end w:w="80" w:type="dxa"/>
            </w:tcMar>
            <w:tcBorders>
              <w:top w:val="single" w:sz="4" w:color="D8DDE8"/>
              <w:left w:val="single" w:sz="4" w:color="D8DDE8"/>
              <w:bottom w:val="single" w:sz="4" w:color="D8DDE8"/>
              <w:right w:val="single" w:sz="4" w:color="D8DDE8"/>
            </w:tcBorders>
            <w:shd w:fill="F7F8FB"/>
            <w:vAlign w:val="center"/>
          </w:tcPr>
          <w:p>
            <w:pPr>
              <w:spacing w:before="0" w:after="0" w:line="245" w:lineRule="auto"/>
            </w:pPr>
            <w:r>
              <w:rPr>
                <w:rFonts w:ascii="NanumGothic" w:hAnsi="NanumGothic" w:eastAsia="NanumGothic"/>
                <w:color w:val="1E244D"/>
                <w:sz w:val="13"/>
              </w:rPr>
              <w:t>미수·연체</w:t>
            </w:r>
          </w:p>
        </w:tc>
      </w:tr>
    </w:tbl>
    <w:p>
      <w:pPr>
        <w:spacing w:before="0" w:after="20" w:line="283" w:lineRule="auto"/>
      </w:pPr>
    </w:p>
    <w:tbl>
      <w:tblPr>
        <w:tblW w:type="auto" w:w="0"/>
        <w:jc w:val="center"/>
        <w:tblLayout w:type="autofit"/>
        <w:tblLook w:firstColumn="1" w:firstRow="1" w:lastColumn="0" w:lastRow="0" w:noHBand="0" w:noVBand="1" w:val="04A0"/>
      </w:tblPr>
      <w:tblGrid>
        <w:gridCol w:w="9752"/>
      </w:tblGrid>
      <w:tr>
        <w:trPr>
          <w:cantSplit/>
        </w:trPr>
        <w:tc>
          <w:tcPr>
            <w:tcW w:type="dxa" w:w="9752"/>
            <w:shd w:fill="F0EDFF"/>
            <w:tcBorders>
              <w:top w:val="single" w:sz="12" w:color="6F5AE8"/>
              <w:left w:val="single" w:sz="12" w:color="6F5AE8"/>
              <w:bottom w:val="single" w:sz="12" w:color="6F5AE8"/>
              <w:right w:val="single" w:sz="12" w:color="6F5AE8"/>
            </w:tcBorders>
            <w:tcMar>
              <w:top w:w="150" w:type="dxa"/>
              <w:start w:w="180" w:type="dxa"/>
              <w:bottom w:w="150" w:type="dxa"/>
              <w:end w:w="180" w:type="dxa"/>
            </w:tcMar>
            <w:vAlign w:val="center"/>
          </w:tcPr>
          <w:p>
            <w:pPr>
              <w:spacing w:before="0" w:after="0" w:line="252" w:lineRule="auto"/>
            </w:pPr>
            <w:r>
              <w:rPr>
                <w:rFonts w:ascii="NanumSquare" w:hAnsi="NanumSquare" w:eastAsia="NanumSquare"/>
                <w:b/>
                <w:color w:val="1E244D"/>
                <w:sz w:val="15"/>
              </w:rPr>
              <w:t>최종 권고</w:t>
            </w:r>
            <w:r>
              <w:rPr>
                <w:rFonts w:ascii="NanumGothic" w:hAnsi="NanumGothic" w:eastAsia="NanumGothic"/>
                <w:color w:val="1E244D"/>
                <w:sz w:val="15"/>
              </w:rPr>
              <w:br/>
              <w:t>Cosmos Hub의 승부처는 “모든 체인을 Hub 아래에 두는 것”이 아니다. 어떤 체인이든 독립성을 유지한 채 자산을 유통하고 거래의 완료·복구 상태를 검증할 때, Cosmos Hub의 선택형 coordination·assurance 시장을 사용하는 것이 더 싸고 안전하며 감사하기 쉬운 상태를 만드는 것이다.</w:t>
            </w:r>
          </w:p>
        </w:tc>
      </w:tr>
    </w:tbl>
    <w:p>
      <w:pPr>
        <w:spacing w:after="40"/>
      </w:pPr>
    </w:p>
    <w:p>
      <w:pPr>
        <w:pStyle w:val="Heading1"/>
        <w:spacing w:before="280" w:after="140" w:line="252" w:lineRule="auto"/>
        <w:keepNext/>
      </w:pPr>
      <w:r>
        <w:rPr>
          <w:rFonts w:ascii="NanumSquare" w:hAnsi="NanumSquare" w:eastAsia="NanumSquare"/>
          <w:b/>
          <w:color w:val="1E244D"/>
          <w:sz w:val="36"/>
        </w:rPr>
        <w:t>결론</w:t>
      </w:r>
    </w:p>
    <w:p>
      <w:pPr>
        <w:spacing w:before="0" w:after="140" w:line="283" w:lineRule="auto"/>
      </w:pPr>
      <w:r>
        <w:rPr>
          <w:rFonts w:ascii="NanumGothic" w:hAnsi="NanumGothic" w:eastAsia="NanumGothic"/>
          <w:color w:val="1F2633"/>
          <w:sz w:val="21"/>
        </w:rPr>
        <w:t>Cosmos의 기술철학은 주권 체인과 개방형 상호운용성이다. 이 철학을 훼손하지 않고 Hub가 돈을 벌려면 base protocol에 세금을 붙이는 것이 아니라, 그 위에서 발생하는 상업적 문제 — 자산 배포, 경로선택, 완료확실성, 기관운영, 검증데이터 — 를 상품화해야 한다.</w:t>
      </w:r>
    </w:p>
    <w:p>
      <w:pPr>
        <w:spacing w:before="0" w:after="140" w:line="283" w:lineRule="auto"/>
      </w:pPr>
      <w:r>
        <w:rPr>
          <w:rFonts w:ascii="NanumGothic" w:hAnsi="NanumGothic" w:eastAsia="NanumGothic"/>
          <w:color w:val="1F2633"/>
          <w:sz w:val="21"/>
        </w:rPr>
        <w:t>가장 현실적인 시작은 Injective USDC의 계약상 수익 경로를 표준화하는 Interchain Asset Distribution Market이다. 그 다음 provider 경쟁과 bond를 붙인 Assured Delivery SLA, 기관용 One-Connection Gateway, Asset &amp; Service Registry로 확장한다. 각 제품은 Hub가 고객과 경쟁하지 않는 최소기능만 가져야 하며, 계약상 예정수익과 실제 수령·ATOM 매입·Community Pool 귀속을 분리해 공개한다.</w:t>
      </w:r>
    </w:p>
    <w:p>
      <w:pPr>
        <w:spacing w:before="0" w:after="140" w:line="283" w:lineRule="auto"/>
      </w:pPr>
      <w:r>
        <w:rPr>
          <w:rFonts w:ascii="NanumGothic" w:hAnsi="NanumGothic" w:eastAsia="NanumGothic"/>
          <w:color w:val="1F2633"/>
          <w:sz w:val="21"/>
        </w:rPr>
        <w:t>이 모델이 성공하면 Cosmos Hub는 “앱이 많은 체인”이 아니라 “다른 체인과 금융기관이 서로 거래할 때 선택하는 신뢰 가능한 중립시장”이 된다. 그리고 ATOM은 단순 인플레이션 보상자산을 넘어 외부고객 수익이 축적되는 Hub의 보안·거버넌스 자산으로 재정의될 수 있다.</w:t>
      </w:r>
    </w:p>
    <w:p>
      <w:r>
        <w:br w:type="page"/>
      </w:r>
    </w:p>
    <w:p>
      <w:pPr>
        <w:pStyle w:val="Heading1"/>
        <w:spacing w:before="280" w:after="140" w:line="252" w:lineRule="auto"/>
        <w:keepNext/>
      </w:pPr>
      <w:r>
        <w:rPr>
          <w:rFonts w:ascii="NanumSquare" w:hAnsi="NanumSquare" w:eastAsia="NanumSquare"/>
          <w:b/>
          <w:color w:val="1E244D"/>
          <w:sz w:val="36"/>
        </w:rPr>
        <w:t>부록 A. 공식 사실 · 분석 · 신규 제안 교차표</w:t>
      </w:r>
    </w:p>
    <w:tbl>
      <w:tblPr>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531"/>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분류</w:t>
            </w:r>
          </w:p>
        </w:tc>
        <w:tc>
          <w:tcPr>
            <w:tcW w:type="dxa" w:w="5953"/>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명제</w:t>
            </w:r>
          </w:p>
        </w:tc>
        <w:tc>
          <w:tcPr>
            <w:tcW w:type="dxa" w:w="1984"/>
            <w:shd w:fill="1E244D"/>
            <w:tcMar>
              <w:top w:w="90" w:type="dxa"/>
              <w:start w:w="90" w:type="dxa"/>
              <w:bottom w:w="90" w:type="dxa"/>
              <w:end w:w="90" w:type="dxa"/>
            </w:tcMar>
            <w:vAlign w:val="cente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7"/>
              </w:rPr>
              <w:t>근거</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IBC는 permissionless이며 직접 chain-to-chain 연결 가능</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R5, R6, R20</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Eureka는 Hub 연결 체인의 Ethereum 접근을 지원하지만 초기 relay는 permissioned set이며 liveness가 해당 set에 의존</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R7, R8</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Skip Go는 경로·스왑·추적을 제공하고 affiliate fee 기능이 존재</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R9, R10, R11</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Injective USDC incentive 일부를 Hub에 귀속하고 ATOM 매입→Community Pool로 연결하는 합의가 공식 발표됨. 실제 반복수익·매입·귀속은 Revenue Dashboard에서 별도 검증</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3"/>
              </w:rPr>
              <w:t>R3, R12</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Hub팀은 TradFi↔DeFi gateway 및 issuance/distribution/access를 유망 방향으로 검증 중</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R1, R3</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공식 확인</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Gaia v28 소프트웨어에 ICS provider module 제거 포함</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R14</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분석</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현재 일반화된 외부고객 기반 Hub protocol BM은 미완성</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R1~R15 종합</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신규 제안</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Interchain Asset Distribution Market</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본 문서</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신규 제안</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Assured Delivery SLA, signed quote, provider bond, recovery states, SLA compensation</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본 문서</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신규 제안</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Enterprise One-Connection Gateway와 protocol metering share</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본 문서</w:t>
            </w:r>
          </w:p>
        </w:tc>
      </w:tr>
      <w:tr>
        <w:trPr>
          <w:cantSplit/>
        </w:trPr>
        <w:tc>
          <w:tcPr>
            <w:tcW w:type="dxa" w:w="1531"/>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신규 제안</w:t>
            </w:r>
          </w:p>
        </w:tc>
        <w:tc>
          <w:tcPr>
            <w:tcW w:type="dxa" w:w="5953"/>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Asset &amp; Service Registry / attestation</w:t>
            </w:r>
          </w:p>
        </w:tc>
        <w:tc>
          <w:tcPr>
            <w:tcW w:type="dxa" w:w="1984"/>
            <w:shd w:fill="FFFFFF"/>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val="0"/>
                <w:color w:val="1F2633"/>
                <w:sz w:val="17"/>
              </w:rPr>
              <w:t>본 문서</w:t>
            </w:r>
          </w:p>
        </w:tc>
      </w:tr>
      <w:tr>
        <w:trPr>
          <w:cantSplit/>
        </w:trPr>
        <w:tc>
          <w:tcPr>
            <w:tcW w:type="dxa" w:w="1531"/>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9" w:lineRule="auto"/>
              <w:jc w:val="left"/>
            </w:pPr>
            <w:r>
              <w:rPr>
                <w:rFonts w:ascii="NanumGothic" w:hAnsi="NanumGothic" w:eastAsia="NanumGothic"/>
                <w:b/>
                <w:color w:val="1F2633"/>
                <w:sz w:val="17"/>
              </w:rPr>
              <w:t>신규 제안</w:t>
            </w:r>
          </w:p>
        </w:tc>
        <w:tc>
          <w:tcPr>
            <w:tcW w:type="dxa" w:w="5953"/>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Revenue Vault 위험기반 waterfall 및 reserve 목표 초과분의 pilot allocation</w:t>
            </w:r>
          </w:p>
        </w:tc>
        <w:tc>
          <w:tcPr>
            <w:tcW w:type="dxa" w:w="1984"/>
            <w:shd w:fill="F4F5F9"/>
            <w:tcMar>
              <w:top w:w="75" w:type="dxa"/>
              <w:start w:w="85" w:type="dxa"/>
              <w:bottom w:w="75" w:type="dxa"/>
              <w:end w:w="85" w:type="dxa"/>
            </w:tcMar>
            <w:vAlign w:val="center"/>
            <w:tcBorders>
              <w:top w:val="single" w:sz="4" w:color="D7DAE3"/>
              <w:left w:val="single" w:sz="4" w:color="D7DAE3"/>
              <w:bottom w:val="single" w:sz="4" w:color="D7DAE3"/>
              <w:right w:val="single" w:sz="4" w:color="D7DAE3"/>
            </w:tcBorders>
          </w:tcPr>
          <w:p>
            <w:pPr>
              <w:spacing w:before="0" w:after="0" w:line="252" w:lineRule="auto"/>
              <w:jc w:val="left"/>
            </w:pPr>
            <w:r>
              <w:rPr>
                <w:rFonts w:ascii="NanumGothic" w:hAnsi="NanumGothic" w:eastAsia="NanumGothic"/>
                <w:color w:val="1E244D"/>
                <w:sz w:val="12"/>
              </w:rPr>
              <w:t>본 문서 — 법률·리스크 검토 전제</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부록 B. 핵심 용어</w:t>
      </w:r>
    </w:p>
    <w:tbl>
      <w:tblPr>
        <w:tblW w:type="auto" w:w="0"/>
        <w:jc w:val="center"/>
        <w:tblLayout w:type="fixed"/>
        <w:tblLook w:firstColumn="1" w:firstRow="1" w:lastColumn="0" w:lastRow="0" w:noHBand="0" w:noVBand="1" w:val="04A0"/>
      </w:tblPr>
      <w:tblGrid>
        <w:gridCol w:w="4876"/>
        <w:gridCol w:w="4876"/>
      </w:tblGrid>
      <w:tr>
        <w:trPr>
          <w:tblHeader w:val="true"/>
          <w:cantSplit/>
          <w:cantSplit/>
          <w:tblHeader w:val="true"/>
        </w:trPr>
        <w:tc>
          <w:tcPr>
            <w:tcW w:type="dxa" w:w="2381"/>
            <w:shd w:fill="1E244D"/>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40" w:lineRule="auto"/>
              <w:jc w:val="center"/>
            </w:pPr>
            <w:r>
              <w:rPr>
                <w:rFonts w:ascii="NanumGothic" w:hAnsi="NanumGothic" w:eastAsia="NanumGothic"/>
                <w:b/>
                <w:color w:val="FFFFFF"/>
                <w:sz w:val="17"/>
              </w:rPr>
              <w:t>용어</w:t>
            </w:r>
          </w:p>
        </w:tc>
        <w:tc>
          <w:tcPr>
            <w:tcW w:type="dxa" w:w="7087"/>
            <w:shd w:fill="1E244D"/>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40" w:lineRule="auto"/>
              <w:jc w:val="center"/>
            </w:pPr>
            <w:r>
              <w:rPr>
                <w:rFonts w:ascii="NanumGothic" w:hAnsi="NanumGothic" w:eastAsia="NanumGothic"/>
                <w:b/>
                <w:color w:val="FFFFFF"/>
                <w:sz w:val="17"/>
              </w:rPr>
              <w:t>정의</w:t>
            </w:r>
          </w:p>
        </w:tc>
      </w:tr>
      <w:tr>
        <w:trPr>
          <w:cantSplit/>
          <w:cantSplit/>
        </w:trPr>
        <w:tc>
          <w:tcPr>
            <w:tcW w:type="dxa" w:w="2381"/>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7"/>
              </w:rPr>
              <w:t>IBC</w:t>
            </w:r>
          </w:p>
        </w:tc>
        <w:tc>
          <w:tcPr>
            <w:tcW w:type="dxa" w:w="7087"/>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7"/>
              </w:rPr>
              <w:t>Inter-Blockchain Communication. 독립 체인의 상태와 메시지를 검증해 통신하는 프로토콜.</w:t>
            </w:r>
          </w:p>
        </w:tc>
      </w:tr>
      <w:tr>
        <w:trPr>
          <w:cantSplit/>
          <w:cantSplit/>
        </w:trPr>
        <w:tc>
          <w:tcPr>
            <w:tcW w:type="dxa" w:w="2381"/>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7"/>
              </w:rPr>
              <w:t>Eureka</w:t>
            </w:r>
          </w:p>
        </w:tc>
        <w:tc>
          <w:tcPr>
            <w:tcW w:type="dxa" w:w="7087"/>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7"/>
              </w:rPr>
              <w:t>IBC v2 기반 Cosmos↔Ethereum/EVM 연결 구현.</w:t>
            </w:r>
          </w:p>
        </w:tc>
      </w:tr>
      <w:tr>
        <w:trPr>
          <w:cantSplit/>
          <w:cantSplit/>
        </w:trPr>
        <w:tc>
          <w:tcPr>
            <w:tcW w:type="dxa" w:w="2381"/>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7"/>
              </w:rPr>
              <w:t>Skip Go</w:t>
            </w:r>
          </w:p>
        </w:tc>
        <w:tc>
          <w:tcPr>
            <w:tcW w:type="dxa" w:w="7087"/>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7"/>
              </w:rPr>
              <w:t>여러 DEX·bridge·IBC 경로를 조합하고 추적하는 interop API/UX 플랫폼.</w:t>
            </w:r>
          </w:p>
        </w:tc>
      </w:tr>
      <w:tr>
        <w:trPr>
          <w:cantSplit/>
          <w:cantSplit/>
        </w:trPr>
        <w:tc>
          <w:tcPr>
            <w:tcW w:type="dxa" w:w="2381"/>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Coordination</w:t>
            </w:r>
          </w:p>
        </w:tc>
        <w:tc>
          <w:tcPr>
            <w:tcW w:type="dxa" w:w="7087"/>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주문·견적·수수료·완료·복구 결과를 정리하는 프로토콜 조정 의미. 법률상 clearing·CCP와 동일하지 않음.</w:t>
            </w:r>
          </w:p>
        </w:tc>
      </w:tr>
      <w:tr>
        <w:trPr>
          <w:cantSplit/>
          <w:cantSplit/>
        </w:trPr>
        <w:tc>
          <w:tcPr>
            <w:tcW w:type="dxa" w:w="2381"/>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3"/>
              </w:rPr>
              <w:t>Settlement / Recovery Receipt</w:t>
            </w:r>
          </w:p>
        </w:tc>
        <w:tc>
          <w:tcPr>
            <w:tcW w:type="dxa" w:w="7087"/>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2"/>
              </w:rPr>
              <w:t>source tx, ack/proof, destination tx, route hash와 FINAL_STATUS로 완료·환불·중간잔류·보상·수동복구 상태를 기록.</w:t>
            </w:r>
          </w:p>
        </w:tc>
      </w:tr>
      <w:tr>
        <w:trPr>
          <w:cantSplit/>
          <w:cantSplit/>
        </w:trPr>
        <w:tc>
          <w:tcPr>
            <w:tcW w:type="dxa" w:w="2381"/>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7"/>
              </w:rPr>
              <w:t>Provider Bond</w:t>
            </w:r>
          </w:p>
        </w:tc>
        <w:tc>
          <w:tcPr>
            <w:tcW w:type="dxa" w:w="7087"/>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2" w:lineRule="auto"/>
              <w:jc w:val="left"/>
            </w:pPr>
            <w:r>
              <w:rPr>
                <w:rFonts w:ascii="NanumGothic" w:hAnsi="NanumGothic" w:eastAsia="NanumGothic"/>
                <w:color w:val="1E244D"/>
                <w:sz w:val="12"/>
              </w:rPr>
              <w:t>서비스 사업자가 통제 가능한 SLA 위반의 보상재원으로 잠그는 담보. 안정자산 우선, ATOM은 haircut과 노출한도 적용.</w:t>
            </w:r>
          </w:p>
        </w:tc>
      </w:tr>
      <w:tr>
        <w:trPr>
          <w:cantSplit/>
          <w:cantSplit/>
        </w:trPr>
        <w:tc>
          <w:tcPr>
            <w:tcW w:type="dxa" w:w="2381"/>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7"/>
              </w:rPr>
              <w:t>Distribution Incentive</w:t>
            </w:r>
          </w:p>
        </w:tc>
        <w:tc>
          <w:tcPr>
            <w:tcW w:type="dxa" w:w="7087"/>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7"/>
              </w:rPr>
              <w:t>발행사가 자산의 멀티체인 채택·유통을 촉진하기 위해 지급하는 성과형 보상.</w:t>
            </w:r>
          </w:p>
        </w:tc>
      </w:tr>
      <w:tr>
        <w:trPr>
          <w:cantSplit/>
          <w:cantSplit/>
        </w:trPr>
        <w:tc>
          <w:tcPr>
            <w:tcW w:type="dxa" w:w="2381"/>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7"/>
              </w:rPr>
              <w:t>Revenue Vault</w:t>
            </w:r>
          </w:p>
        </w:tc>
        <w:tc>
          <w:tcPr>
            <w:tcW w:type="dxa" w:w="7087"/>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7"/>
              </w:rPr>
              <w:t>프로토콜 매출·비용·reserve·ATOM 매입을 투명하게 처리하는 온체인 금고.</w:t>
            </w:r>
          </w:p>
        </w:tc>
      </w:tr>
      <w:tr>
        <w:trPr>
          <w:cantSplit/>
          <w:cantSplit/>
        </w:trPr>
        <w:tc>
          <w:tcPr>
            <w:tcW w:type="dxa" w:w="2381"/>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7"/>
              </w:rPr>
              <w:t>DvP/PvP</w:t>
            </w:r>
          </w:p>
        </w:tc>
        <w:tc>
          <w:tcPr>
            <w:tcW w:type="dxa" w:w="7087"/>
            <w:shd w:fill="FFFFFF"/>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7"/>
              </w:rPr>
              <w:t>Delivery-versus-Payment / Payment-versus-Payment. 양쪽 자산 지급의 동시성을 보장하는 정산 원리.</w:t>
            </w:r>
          </w:p>
        </w:tc>
      </w:tr>
      <w:tr>
        <w:trPr>
          <w:cantSplit/>
          <w:cantSplit/>
        </w:trPr>
        <w:tc>
          <w:tcPr>
            <w:tcW w:type="dxa" w:w="2381"/>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color w:val="1E244D"/>
                <w:sz w:val="17"/>
              </w:rPr>
              <w:t>Thin Core</w:t>
            </w:r>
          </w:p>
        </w:tc>
        <w:tc>
          <w:tcPr>
            <w:tcW w:type="dxa" w:w="7087"/>
            <w:shd w:fill="F7F8FB"/>
            <w:tcMar>
              <w:top w:w="60" w:type="dxa"/>
              <w:start w:w="80" w:type="dxa"/>
              <w:bottom w:w="60" w:type="dxa"/>
              <w:end w:w="80" w:type="dxa"/>
            </w:tcMar>
            <w:vAlign w:val="center"/>
            <w:tcBorders>
              <w:top w:val="single" w:sz="4" w:color="D8DDE8"/>
              <w:left w:val="single" w:sz="4" w:color="D8DDE8"/>
              <w:bottom w:val="single" w:sz="4" w:color="D8DDE8"/>
              <w:right w:val="single" w:sz="4" w:color="D8DDE8"/>
            </w:tcBorders>
          </w:tcPr>
          <w:p>
            <w:pPr>
              <w:spacing w:before="0" w:after="0" w:line="259" w:lineRule="auto"/>
              <w:jc w:val="left"/>
            </w:pPr>
            <w:r>
              <w:rPr>
                <w:rFonts w:ascii="NanumGothic" w:hAnsi="NanumGothic" w:eastAsia="NanumGothic"/>
                <w:b w:val="0"/>
                <w:color w:val="1E244D"/>
                <w:sz w:val="17"/>
              </w:rPr>
              <w:t>코어는 최소 공통기능만 제공하고 전문기능은 경쟁하는 edge 사업자에게 맡기는 설계.</w:t>
            </w:r>
          </w:p>
        </w:tc>
      </w:tr>
      <w:tr>
        <w:trPr>
          <w:cantSplit/>
        </w:trPr>
        <w:tc>
          <w:tcPr>
            <w:tcW w:type="dxa" w:w="4876"/>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FFFFF"/>
          </w:tcPr>
          <w:p>
            <w:pPr>
              <w:spacing w:after="0" w:before="0" w:line="252" w:lineRule="auto"/>
            </w:pPr>
            <w:r>
              <w:rPr>
                <w:rFonts w:ascii="NanumGothic" w:hAnsi="NanumGothic" w:eastAsia="NanumGothic"/>
                <w:color w:val="1E244D"/>
                <w:sz w:val="13"/>
              </w:rPr>
              <w:t>Assurance</w:t>
            </w:r>
          </w:p>
        </w:tc>
        <w:tc>
          <w:tcPr>
            <w:tcW w:type="dxa" w:w="4876"/>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FFFFF"/>
          </w:tcPr>
          <w:p>
            <w:pPr>
              <w:spacing w:after="0" w:before="0" w:line="252" w:lineRule="auto"/>
            </w:pPr>
            <w:r>
              <w:rPr>
                <w:rFonts w:ascii="NanumGothic" w:hAnsi="NanumGothic" w:eastAsia="NanumGothic"/>
                <w:color w:val="1E244D"/>
                <w:sz w:val="12"/>
              </w:rPr>
              <w:t>체인 최종성이나 고객 원금을 보증하지 않고, 사전 정의된 SLA와 provider bond에 따라 제한적 보상·복구 지원을 제공하는 구조.</w:t>
            </w:r>
          </w:p>
        </w:tc>
      </w:tr>
      <w:tr>
        <w:trPr>
          <w:cantSplit/>
        </w:trPr>
        <w:tc>
          <w:tcPr>
            <w:tcW w:type="dxa" w:w="4876"/>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7F8FB"/>
          </w:tcPr>
          <w:p>
            <w:pPr>
              <w:spacing w:after="0" w:before="0" w:line="252" w:lineRule="auto"/>
            </w:pPr>
            <w:r>
              <w:rPr>
                <w:rFonts w:ascii="NanumGothic" w:hAnsi="NanumGothic" w:eastAsia="NanumGothic"/>
                <w:color w:val="1E244D"/>
                <w:sz w:val="13"/>
              </w:rPr>
              <w:t>Recovery State</w:t>
            </w:r>
          </w:p>
        </w:tc>
        <w:tc>
          <w:tcPr>
            <w:tcW w:type="dxa" w:w="4876"/>
            <w:vAlign w:val="center"/>
            <w:tcMar>
              <w:top w:w="60" w:type="dxa"/>
              <w:start w:w="80" w:type="dxa"/>
              <w:bottom w:w="60" w:type="dxa"/>
              <w:end w:w="80" w:type="dxa"/>
            </w:tcMar>
            <w:tcBorders>
              <w:top w:val="single" w:sz="4" w:color="D8DDE8"/>
              <w:left w:val="single" w:sz="4" w:color="D8DDE8"/>
              <w:bottom w:val="single" w:sz="4" w:color="D8DDE8"/>
              <w:right w:val="single" w:sz="4" w:color="D8DDE8"/>
            </w:tcBorders>
            <w:shd w:fill="F7F8FB"/>
          </w:tcPr>
          <w:p>
            <w:pPr>
              <w:spacing w:after="0" w:before="0" w:line="252" w:lineRule="auto"/>
            </w:pPr>
            <w:r>
              <w:rPr>
                <w:rFonts w:ascii="NanumGothic" w:hAnsi="NanumGothic" w:eastAsia="NanumGothic"/>
                <w:color w:val="1E244D"/>
                <w:sz w:val="12"/>
              </w:rPr>
              <w:t>실패 시 자산이 source, swap chain, intermediate chain, recovery address 등에 위치하는 상태를 명시하는 receipt 필드.</w:t>
            </w:r>
          </w:p>
        </w:tc>
      </w:tr>
    </w:tbl>
    <w:p>
      <w:pPr>
        <w:spacing w:before="0" w:after="20" w:line="283" w:lineRule="auto"/>
      </w:pPr>
    </w:p>
    <w:p>
      <w:pPr>
        <w:pStyle w:val="Heading1"/>
        <w:spacing w:before="280" w:after="140" w:line="252" w:lineRule="auto"/>
        <w:keepNext/>
      </w:pPr>
      <w:r>
        <w:rPr>
          <w:rFonts w:ascii="NanumSquare" w:hAnsi="NanumSquare" w:eastAsia="NanumSquare"/>
          <w:b/>
          <w:color w:val="1E244D"/>
          <w:sz w:val="36"/>
        </w:rPr>
        <w:t>부록 C. 레퍼런스</w:t>
      </w:r>
    </w:p>
    <w:p>
      <w:pPr>
        <w:spacing w:before="0" w:after="140" w:line="283" w:lineRule="auto"/>
      </w:pPr>
      <w:r>
        <w:rPr>
          <w:rFonts w:ascii="NanumGothic" w:hAnsi="NanumGothic" w:eastAsia="NanumGothic"/>
          <w:color w:val="1F2633"/>
          <w:sz w:val="21"/>
        </w:rPr>
        <w:t>아래 자료는 2026년 8월 28일 기준으로 확인했다. Cosmos Hub Forum의 팀 업데이트는 공식 커뮤니케이션이지만 거버넌스 승인이나 법적 약속과 동일하지 않으며, 기술문서·GitHub 릴리스와 구분해 해석해야 한다.</w:t>
      </w: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Hub Weekly Update #12: August 13, 2026</w:t>
            </w:r>
            <w:r>
              <w:rPr>
                <w:rFonts w:ascii="NanumGothic" w:hAnsi="NanumGothic" w:eastAsia="NanumGothic"/>
                <w:color w:val="5B6475"/>
                <w:sz w:val="16"/>
              </w:rPr>
              <w:br/>
              <w:t>Cosmos Hub Forum / Hub Unit · 2026-08-13 · 공식 팀 업데이트(예비 방향)</w:t>
            </w:r>
            <w:r>
              <w:rPr>
                <w:rFonts w:ascii="NanumGothic" w:hAnsi="NanumGothic" w:eastAsia="NanumGothic"/>
                <w:color w:val="1F2633"/>
                <w:sz w:val="16"/>
              </w:rPr>
              <w:br/>
              <w:t xml:space="preserve">활용: TradFi↔DeFi 게이트웨이 가설, RWA 유통·접근 문제, Hub/Skip/IBC/Eureka/Mintscan 역할 구분, 9월 말 로드맵 목표.  </w:t>
            </w:r>
            <w:hyperlink r:id="rId11">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R2</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From Chaos to Stability to Growth: the Plan to Build the Cosmos Hub Roadmap in Public</w:t>
            </w:r>
            <w:r>
              <w:rPr>
                <w:rFonts w:ascii="NanumGothic" w:hAnsi="NanumGothic" w:eastAsia="NanumGothic"/>
                <w:color w:val="5B6475"/>
                <w:sz w:val="16"/>
              </w:rPr>
              <w:br/>
              <w:t>Cosmos Hub Forum / Hub Relations · 2026-05-08 · 공식 팀 업데이트(로드맵 프로세스)</w:t>
            </w:r>
            <w:r>
              <w:rPr>
                <w:rFonts w:ascii="NanumGothic" w:hAnsi="NanumGothic" w:eastAsia="NanumGothic"/>
                <w:color w:val="1F2633"/>
                <w:sz w:val="16"/>
              </w:rPr>
              <w:br/>
              <w:t xml:space="preserve">활용: Hub와 ATOM에 이익이 돌아오는 인프라, Eureka의 외부시장 확장, Hub 경유 방향, 제품·토크노믹스 성장단계.  </w:t>
            </w:r>
            <w:hyperlink r:id="rId32">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R3</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Hub Weekly Update #13: August 21, 2026</w:t>
            </w:r>
            <w:r>
              <w:rPr>
                <w:rFonts w:ascii="NanumGothic" w:hAnsi="NanumGothic" w:eastAsia="NanumGothic"/>
                <w:color w:val="5E6878"/>
                <w:sz w:val="13"/>
              </w:rPr>
              <w:br/>
              <w:t>Cosmos Hub Forum / Hub Unit · 2026-08-21 · 공식 팀 업데이트(진행상태)</w:t>
            </w:r>
            <w:r>
              <w:rPr>
                <w:rFonts w:ascii="NanumGothic" w:hAnsi="NanumGothic" w:eastAsia="NanumGothic"/>
                <w:color w:val="5E6878"/>
                <w:sz w:val="13"/>
              </w:rPr>
              <w:br/>
              <w:t>활용: Injective USDC 롤아웃이 개발자용 수동 브리징 단계이며 일반 사용자 마이그레이션은 후속 단계라는 상태, ATOM 토크노믹스 Phase 2, Gaia v28 테스트 및 ICS deprecation 진행.</w:t>
            </w:r>
            <w:r>
              <w:rPr>
                <w:sz w:val="13"/>
              </w:rPr>
              <w:t xml:space="preserve">  </w:t>
            </w:r>
            <w:hyperlink r:id="rId12">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R4</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Cosmos Quarterly #1 Q2-26 — Three Pillars, Three Teams</w:t>
            </w:r>
            <w:r>
              <w:rPr>
                <w:rFonts w:ascii="NanumGothic" w:hAnsi="NanumGothic" w:eastAsia="NanumGothic"/>
                <w:color w:val="5B6475"/>
                <w:sz w:val="16"/>
              </w:rPr>
              <w:br/>
              <w:t>Cosmos Hub Forum / Cosmos Labs · 2026-07-28 · 공식 조직·전략 업데이트</w:t>
            </w:r>
            <w:r>
              <w:rPr>
                <w:rFonts w:ascii="NanumGothic" w:hAnsi="NanumGothic" w:eastAsia="NanumGothic"/>
                <w:color w:val="1F2633"/>
                <w:sz w:val="16"/>
              </w:rPr>
              <w:br/>
              <w:t xml:space="preserve">활용: Mintscan 인수, Cosmos Labs Korea, Skip:Go·Mintscan·Eureka·Hub 인프라 통합, 엔터프라이즈·오픈소스·생태계 3축.  </w:t>
            </w:r>
            <w:hyperlink r:id="rId23">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R5</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How the IBC Protocol Works</w:t>
            </w:r>
            <w:r>
              <w:rPr>
                <w:rFonts w:ascii="NanumGothic" w:hAnsi="NanumGothic" w:eastAsia="NanumGothic"/>
                <w:color w:val="5E6878"/>
                <w:sz w:val="13"/>
              </w:rPr>
              <w:br/>
              <w:t>IBC Protocol · 상시 문서 · 프로토콜 공식 설명</w:t>
            </w:r>
            <w:r>
              <w:rPr>
                <w:rFonts w:ascii="NanumGothic" w:hAnsi="NanumGothic" w:eastAsia="NanumGothic"/>
                <w:color w:val="5E6878"/>
                <w:sz w:val="13"/>
              </w:rPr>
              <w:br/>
              <w:t>활용: IBC의 permissionless·sovereign chain 간 데이터 통신, client/core/app 계층.</w:t>
            </w:r>
            <w:r>
              <w:rPr>
                <w:rFonts w:ascii="NanumGothic" w:hAnsi="NanumGothic" w:eastAsia="NanumGothic"/>
                <w:color w:val="6D7482"/>
                <w:sz w:val="13"/>
              </w:rPr>
              <w:br/>
              <w:t>고정정보: 확인일 2026-08-28 · 인용 섹션: Client/Core/Application 계층 및 permissionless 연결 · 문서 버전/commit: 게시 버전 미표기 · Archive/PDF: 미보존</w:t>
            </w:r>
            <w:r>
              <w:rPr>
                <w:sz w:val="13"/>
              </w:rPr>
              <w:t xml:space="preserve">  </w:t>
            </w:r>
            <w:hyperlink r:id="rId13">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R6</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12 Myths &amp; Realities About the IBC Protocol</w:t>
            </w:r>
            <w:r>
              <w:rPr>
                <w:rFonts w:ascii="NanumGothic" w:hAnsi="NanumGothic" w:eastAsia="NanumGothic"/>
                <w:color w:val="5B6475"/>
                <w:sz w:val="16"/>
              </w:rPr>
              <w:br/>
              <w:t>IBC Protocol · 2024 · 프로토콜 공식 설명</w:t>
            </w:r>
            <w:r>
              <w:rPr>
                <w:rFonts w:ascii="NanumGothic" w:hAnsi="NanumGothic" w:eastAsia="NanumGothic"/>
                <w:color w:val="1F2633"/>
                <w:sz w:val="16"/>
              </w:rPr>
              <w:br/>
              <w:t xml:space="preserve">활용: 릴레이 permissionless, light client 기반 직접 chain-to-chain 검증, 중앙 router chain 불필요라는 설계 원칙.  </w:t>
            </w:r>
            <w:hyperlink r:id="rId14">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R7</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IBC Eureka — Overview</w:t>
            </w:r>
            <w:r>
              <w:rPr>
                <w:rFonts w:ascii="NanumGothic" w:hAnsi="NanumGothic" w:eastAsia="NanumGothic"/>
                <w:color w:val="5E6878"/>
                <w:sz w:val="13"/>
              </w:rPr>
              <w:br/>
              <w:t>Cosmos Developer Documentation · 상시 문서 · 공식 기술문서</w:t>
            </w:r>
            <w:r>
              <w:rPr>
                <w:rFonts w:ascii="NanumGothic" w:hAnsi="NanumGothic" w:eastAsia="NanumGothic"/>
                <w:color w:val="5E6878"/>
                <w:sz w:val="13"/>
              </w:rPr>
              <w:br/>
              <w:t>활용: Hub에 IBC 연결된 체인의 Ethereum/EVM 호환성, 외부 생태계 연결의 현재 구조.</w:t>
            </w:r>
            <w:r>
              <w:rPr>
                <w:rFonts w:ascii="NanumGothic" w:hAnsi="NanumGothic" w:eastAsia="NanumGothic"/>
                <w:color w:val="6D7482"/>
                <w:sz w:val="13"/>
              </w:rPr>
              <w:br/>
              <w:t>고정정보: 확인일 2026-08-28 · 인용 섹션: What is IBC Eureka? / Connect Your Chain · 문서 버전/commit: 게시 버전 미표기 · Archive/PDF: 미보존</w:t>
            </w:r>
            <w:r>
              <w:rPr>
                <w:sz w:val="13"/>
              </w:rPr>
              <w:t xml:space="preserve">  </w:t>
            </w:r>
            <w:hyperlink r:id="rId15">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R8</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IBC Eureka — Technical Overview</w:t>
            </w:r>
            <w:r>
              <w:rPr>
                <w:rFonts w:ascii="NanumGothic" w:hAnsi="NanumGothic" w:eastAsia="NanumGothic"/>
                <w:color w:val="5E6878"/>
                <w:sz w:val="13"/>
              </w:rPr>
              <w:br/>
              <w:t>Cosmos Developer Documentation · 상시 문서 · 공식 기술문서</w:t>
            </w:r>
            <w:r>
              <w:rPr>
                <w:rFonts w:ascii="NanumGothic" w:hAnsi="NanumGothic" w:eastAsia="NanumGothic"/>
                <w:color w:val="5E6878"/>
                <w:sz w:val="13"/>
              </w:rPr>
              <w:br/>
              <w:t>활용: light client·ZK proof, end-user-paid smart relayer, Hub 경유 구조, 초기 permissioned relayer 및 relay set에 대한 liveness 의존성.</w:t>
            </w:r>
            <w:r>
              <w:rPr>
                <w:rFonts w:ascii="NanumGothic" w:hAnsi="NanumGothic" w:eastAsia="NanumGothic"/>
                <w:color w:val="6D7482"/>
                <w:sz w:val="13"/>
              </w:rPr>
              <w:br/>
              <w:t>고정정보: 확인일 2026-08-28 · 인용 섹션: Native IBC Security Model / Permissioned Relay · 문서 버전/commit: 게시 버전 미표기 · Archive/PDF: 미보존</w:t>
            </w:r>
            <w:r>
              <w:rPr>
                <w:sz w:val="13"/>
              </w:rPr>
              <w:t xml:space="preserve">  </w:t>
            </w:r>
            <w:hyperlink r:id="rId20">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R9</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IBC Token Routing: Problem + Skip Go API Routing Algorithm</w:t>
            </w:r>
            <w:r>
              <w:rPr>
                <w:rFonts w:ascii="NanumGothic" w:hAnsi="NanumGothic" w:eastAsia="NanumGothic"/>
                <w:color w:val="5E6878"/>
                <w:sz w:val="13"/>
              </w:rPr>
              <w:br/>
              <w:t>Cosmos Developer Documentation / Skip Go · 상시 문서 · 공식 기술문서</w:t>
            </w:r>
            <w:r>
              <w:rPr>
                <w:rFonts w:ascii="NanumGothic" w:hAnsi="NanumGothic" w:eastAsia="NanumGothic"/>
                <w:color w:val="5E6878"/>
                <w:sz w:val="13"/>
              </w:rPr>
              <w:br/>
              <w:t>활용: IBC denom 경로 의존성, origin unwind, 최단·유동성 경로 추천 및 라우팅 문제.</w:t>
            </w:r>
            <w:r>
              <w:rPr>
                <w:rFonts w:ascii="NanumGothic" w:hAnsi="NanumGothic" w:eastAsia="NanumGothic"/>
                <w:color w:val="6D7482"/>
                <w:sz w:val="13"/>
              </w:rPr>
              <w:br/>
              <w:t>고정정보: 확인일 2026-08-28 · 인용 섹션: IBC token routing problem / routing algorithm · 문서 버전/commit: 게시 버전 미표기 · Archive/PDF: 미보존</w:t>
            </w:r>
            <w:r>
              <w:rPr>
                <w:sz w:val="13"/>
              </w:rPr>
              <w:t xml:space="preserve">  </w:t>
            </w:r>
            <w:hyperlink r:id="rId16">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R10</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Skip Go API — Introduction</w:t>
            </w:r>
            <w:r>
              <w:rPr>
                <w:rFonts w:ascii="NanumGothic" w:hAnsi="NanumGothic" w:eastAsia="NanumGothic"/>
                <w:color w:val="5E6878"/>
                <w:sz w:val="13"/>
              </w:rPr>
              <w:br/>
              <w:t>Cosmos Developer Documentation / Skip Go · 상시 문서 · 공식 제품문서</w:t>
            </w:r>
            <w:r>
              <w:rPr>
                <w:rFonts w:ascii="NanumGothic" w:hAnsi="NanumGothic" w:eastAsia="NanumGothic"/>
                <w:color w:val="5E6878"/>
                <w:sz w:val="13"/>
              </w:rPr>
              <w:br/>
              <w:t>활용: 멀티프로토콜 route composition, tracking, fee-sharing 구조, API의 역할.</w:t>
            </w:r>
            <w:r>
              <w:rPr>
                <w:rFonts w:ascii="NanumGothic" w:hAnsi="NanumGothic" w:eastAsia="NanumGothic"/>
                <w:color w:val="6D7482"/>
                <w:sz w:val="13"/>
              </w:rPr>
              <w:br/>
              <w:t>고정정보: 확인일 2026-08-28 · 인용 섹션: API introduction / route composition / tracking · 문서 버전/commit: 게시 버전 미표기 · Archive/PDF: 미보존</w:t>
            </w:r>
            <w:r>
              <w:rPr>
                <w:sz w:val="13"/>
              </w:rPr>
              <w:t xml:space="preserve">  </w:t>
            </w:r>
            <w:hyperlink r:id="rId21">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R11</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Setting Affiliate Fees</w:t>
            </w:r>
            <w:r>
              <w:rPr>
                <w:rFonts w:ascii="NanumGothic" w:hAnsi="NanumGothic" w:eastAsia="NanumGothic"/>
                <w:color w:val="5E6878"/>
                <w:sz w:val="13"/>
              </w:rPr>
              <w:br/>
              <w:t>Cosmos Developer Documentation / Skip Go · 상시 문서 · 공식 제품문서</w:t>
            </w:r>
            <w:r>
              <w:rPr>
                <w:rFonts w:ascii="NanumGothic" w:hAnsi="NanumGothic" w:eastAsia="NanumGothic"/>
                <w:color w:val="5E6878"/>
                <w:sz w:val="13"/>
              </w:rPr>
              <w:br/>
              <w:t>활용: swap 통합자가 수수료를 부과·분배할 수 있는 현행 기능과 transfer fee의 향후 가능성.</w:t>
            </w:r>
            <w:r>
              <w:rPr>
                <w:rFonts w:ascii="NanumGothic" w:hAnsi="NanumGothic" w:eastAsia="NanumGothic"/>
                <w:color w:val="6D7482"/>
                <w:sz w:val="13"/>
              </w:rPr>
              <w:br/>
              <w:t>고정정보: 확인일 2026-08-28 · 인용 섹션: affiliate fee applicability and configuration · 문서 버전/commit: 게시 버전 미표기 · Archive/PDF: 미보존</w:t>
            </w:r>
            <w:r>
              <w:rPr>
                <w:sz w:val="13"/>
              </w:rPr>
              <w:t xml:space="preserve">  </w:t>
            </w:r>
            <w:hyperlink r:id="rId33">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R12</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Hub Weekly Update #1: May 14, 2026</w:t>
            </w:r>
            <w:r>
              <w:rPr>
                <w:rFonts w:ascii="NanumGothic" w:hAnsi="NanumGothic" w:eastAsia="NanumGothic"/>
                <w:color w:val="5B6475"/>
                <w:sz w:val="16"/>
              </w:rPr>
              <w:br/>
              <w:t>Cosmos Hub Forum / Hub Unit · 2026-05-14 · 공식 팀 업데이트(실증 계약)</w:t>
            </w:r>
            <w:r>
              <w:rPr>
                <w:rFonts w:ascii="NanumGothic" w:hAnsi="NanumGothic" w:eastAsia="NanumGothic"/>
                <w:color w:val="1F2633"/>
                <w:sz w:val="16"/>
              </w:rPr>
              <w:br/>
              <w:t xml:space="preserve">활용: Injective USDC issuance incentive 중 Hub 50%(dYdX 33%), ATOM 매입 후 Community Pool 귀속, 4년 약정.  </w:t>
            </w:r>
            <w:hyperlink r:id="rId18">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R13</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ATOM Tokenomics: Phase 1 Outcomes</w:t>
            </w:r>
            <w:r>
              <w:rPr>
                <w:rFonts w:ascii="NanumGothic" w:hAnsi="NanumGothic" w:eastAsia="NanumGothic"/>
                <w:color w:val="5B6475"/>
                <w:sz w:val="16"/>
              </w:rPr>
              <w:br/>
              <w:t>Cosmos Hub Forum / Research Workstream · 2026-07-10 · 공식 연구결과</w:t>
            </w:r>
            <w:r>
              <w:rPr>
                <w:rFonts w:ascii="NanumGothic" w:hAnsi="NanumGothic" w:eastAsia="NanumGothic"/>
                <w:color w:val="1F2633"/>
                <w:sz w:val="16"/>
              </w:rPr>
              <w:br/>
              <w:t xml:space="preserve">활용: 보상·매도 흐름 실증분석, Phase 2 설계를 위한 경제적 기초.  </w:t>
            </w:r>
            <w:hyperlink r:id="rId31">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jc w:val="center"/>
            </w:pPr>
            <w:r>
              <w:rPr>
                <w:rFonts w:ascii="NanumGothic" w:hAnsi="NanumGothic" w:eastAsia="NanumGothic"/>
                <w:b/>
                <w:color w:val="FFFFFF"/>
                <w:sz w:val="19"/>
              </w:rPr>
              <w:t>R14</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64" w:lineRule="auto"/>
            </w:pPr>
            <w:r>
              <w:rPr>
                <w:rFonts w:ascii="NanumGothic" w:hAnsi="NanumGothic" w:eastAsia="NanumGothic"/>
                <w:b/>
                <w:color w:val="1E244D"/>
                <w:sz w:val="18"/>
              </w:rPr>
              <w:t>Gaia v28.0.0 Release Notes</w:t>
            </w:r>
            <w:r>
              <w:rPr>
                <w:rFonts w:ascii="NanumGothic" w:hAnsi="NanumGothic" w:eastAsia="NanumGothic"/>
                <w:color w:val="5B6475"/>
                <w:sz w:val="16"/>
              </w:rPr>
              <w:br/>
              <w:t>cosmos/gaia GitHub · 2026-08-21 · 공식 소프트웨어 릴리스</w:t>
            </w:r>
            <w:r>
              <w:rPr>
                <w:rFonts w:ascii="NanumGothic" w:hAnsi="NanumGothic" w:eastAsia="NanumGothic"/>
                <w:color w:val="1F2633"/>
                <w:sz w:val="16"/>
              </w:rPr>
              <w:br/>
              <w:t xml:space="preserve">활용: ICS provider module 제거가 포함된 Gaia 소프트웨어 릴리스. Mainnet 활성화는 별도 거버넌스 절차.  </w:t>
            </w:r>
            <w:hyperlink r:id="rId22">
              <w:r>
                <w:rPr>
                  <w:rFonts w:ascii="NanumGothic" w:hAnsi="NanumGothic" w:eastAsia="NanumGothic"/>
                  <w:color w:val="6F5AE8"/>
                  <w:sz w:val="16"/>
                  <w:u w:val="single"/>
                  <w:b/>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R15</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Cosmos Hub Documentation — Introduction / Delegator FAQ</w:t>
            </w:r>
            <w:r>
              <w:rPr>
                <w:rFonts w:ascii="NanumGothic" w:hAnsi="NanumGothic" w:eastAsia="NanumGothic"/>
                <w:color w:val="5E6878"/>
                <w:sz w:val="13"/>
              </w:rPr>
              <w:br/>
              <w:t>Cosmos Developer Documentation · 상시 문서 · 공식 네트워크 문서</w:t>
            </w:r>
            <w:r>
              <w:rPr>
                <w:rFonts w:ascii="NanumGothic" w:hAnsi="NanumGothic" w:eastAsia="NanumGothic"/>
                <w:color w:val="5E6878"/>
                <w:sz w:val="13"/>
              </w:rPr>
              <w:br/>
              <w:t>활용: ATOM의 보안·거버넌스·PoS 보상 및 Hub의 기본 역할.</w:t>
            </w:r>
            <w:r>
              <w:rPr>
                <w:rFonts w:ascii="NanumGothic" w:hAnsi="NanumGothic" w:eastAsia="NanumGothic"/>
                <w:color w:val="6D7482"/>
                <w:sz w:val="13"/>
              </w:rPr>
              <w:br/>
              <w:t>고정정보: 확인일 2026-08-28 · 인용 섹션: Cosmos Hub introduction / delegator FAQ · 문서 버전/commit: latest 경로, 게시 버전 미표기 · Archive/PDF: 미보존</w:t>
            </w:r>
            <w:r>
              <w:rPr>
                <w:sz w:val="13"/>
              </w:rPr>
              <w:t xml:space="preserve">  </w:t>
            </w:r>
            <w:hyperlink r:id="rId17">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R16</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SWIFT — Global Financial Messaging</w:t>
            </w:r>
            <w:r>
              <w:rPr>
                <w:rFonts w:ascii="NanumGothic" w:hAnsi="NanumGothic" w:eastAsia="NanumGothic"/>
                <w:color w:val="5E6878"/>
                <w:sz w:val="13"/>
              </w:rPr>
              <w:br/>
              <w:t>SWIFT · 상시 문서 · 비교대상 공식자료</w:t>
            </w:r>
            <w:r>
              <w:rPr>
                <w:rFonts w:ascii="NanumGothic" w:hAnsi="NanumGothic" w:eastAsia="NanumGothic"/>
                <w:color w:val="5E6878"/>
                <w:sz w:val="13"/>
              </w:rPr>
              <w:br/>
              <w:t>활용: 회원 소유의 보안 금융 메시징 네트워크. 자금 자체를 보유하는 기관과 메시징 기능을 구분하는 비교 기준.</w:t>
            </w:r>
            <w:r>
              <w:rPr>
                <w:rFonts w:ascii="NanumGothic" w:hAnsi="NanumGothic" w:eastAsia="NanumGothic"/>
                <w:color w:val="6D7482"/>
                <w:sz w:val="13"/>
              </w:rPr>
              <w:br/>
              <w:t>고정정보: 확인일 2026-08-28 · 인용 섹션: financial messaging network description · 문서 버전/commit: 게시 버전 미표기 · Archive/PDF: 미보존</w:t>
            </w:r>
            <w:r>
              <w:rPr>
                <w:sz w:val="13"/>
              </w:rPr>
              <w:t xml:space="preserve">  </w:t>
            </w:r>
            <w:hyperlink r:id="rId24">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R17</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VisaNet</w:t>
            </w:r>
            <w:r>
              <w:rPr>
                <w:rFonts w:ascii="NanumGothic" w:hAnsi="NanumGothic" w:eastAsia="NanumGothic"/>
                <w:color w:val="5E6878"/>
                <w:sz w:val="13"/>
              </w:rPr>
              <w:br/>
              <w:t>Visa · 상시 문서 · 비교대상 공식자료</w:t>
            </w:r>
            <w:r>
              <w:rPr>
                <w:rFonts w:ascii="NanumGothic" w:hAnsi="NanumGothic" w:eastAsia="NanumGothic"/>
                <w:color w:val="5E6878"/>
                <w:sz w:val="13"/>
              </w:rPr>
              <w:br/>
              <w:t>활용: authorization, clearing, settlement를 지원하는 네트워크 서비스 비교 기준.</w:t>
            </w:r>
            <w:r>
              <w:rPr>
                <w:rFonts w:ascii="NanumGothic" w:hAnsi="NanumGothic" w:eastAsia="NanumGothic"/>
                <w:color w:val="6D7482"/>
                <w:sz w:val="13"/>
              </w:rPr>
              <w:br/>
              <w:t>고정정보: 확인일 2026-08-28 · 인용 섹션: authorization / clearing / settlement network functions · 문서 버전/commit: 게시 버전 미표기 · Archive/PDF: 미보존</w:t>
            </w:r>
            <w:r>
              <w:rPr>
                <w:sz w:val="13"/>
              </w:rPr>
              <w:t xml:space="preserve">  </w:t>
            </w:r>
            <w:hyperlink r:id="rId25">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R18</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CLSSettlement</w:t>
            </w:r>
            <w:r>
              <w:rPr>
                <w:rFonts w:ascii="NanumGothic" w:hAnsi="NanumGothic" w:eastAsia="NanumGothic"/>
                <w:color w:val="5E6878"/>
                <w:sz w:val="13"/>
              </w:rPr>
              <w:br/>
              <w:t>CLS Group · 상시 문서 · 비교대상 공식자료</w:t>
            </w:r>
            <w:r>
              <w:rPr>
                <w:rFonts w:ascii="NanumGothic" w:hAnsi="NanumGothic" w:eastAsia="NanumGothic"/>
                <w:color w:val="5E6878"/>
                <w:sz w:val="13"/>
              </w:rPr>
              <w:br/>
              <w:t>활용: PvP, settlement-risk mitigation, netting·liquidity optimization. 고도화 단계의 비교 기준.</w:t>
            </w:r>
            <w:r>
              <w:rPr>
                <w:rFonts w:ascii="NanumGothic" w:hAnsi="NanumGothic" w:eastAsia="NanumGothic"/>
                <w:color w:val="6D7482"/>
                <w:sz w:val="13"/>
              </w:rPr>
              <w:br/>
              <w:t>고정정보: 확인일 2026-08-28 · 인용 섹션: PvP settlement-risk mitigation and liquidity optimization · 문서 버전/commit: 게시 버전 미표기 · Archive/PDF: 미보존</w:t>
            </w:r>
            <w:r>
              <w:rPr>
                <w:sz w:val="13"/>
              </w:rPr>
              <w:t xml:space="preserve">  </w:t>
            </w:r>
            <w:hyperlink r:id="rId26">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R19</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Definition of an Internet Exchange Point</w:t>
            </w:r>
            <w:r>
              <w:rPr>
                <w:rFonts w:ascii="NanumGothic" w:hAnsi="NanumGothic" w:eastAsia="NanumGothic"/>
                <w:color w:val="5E6878"/>
                <w:sz w:val="13"/>
              </w:rPr>
              <w:br/>
              <w:t>Euro-IX · 상시 문서 · 비교대상 공식자료</w:t>
            </w:r>
            <w:r>
              <w:rPr>
                <w:rFonts w:ascii="NanumGothic" w:hAnsi="NanumGothic" w:eastAsia="NanumGothic"/>
                <w:color w:val="5E6878"/>
                <w:sz w:val="13"/>
              </w:rPr>
              <w:br/>
              <w:t>활용: 독립 네트워크의 중립적 상호접속, 트래픽 비간섭, transit 사업과의 구분.</w:t>
            </w:r>
            <w:r>
              <w:rPr>
                <w:rFonts w:ascii="NanumGothic" w:hAnsi="NanumGothic" w:eastAsia="NanumGothic"/>
                <w:color w:val="6D7482"/>
                <w:sz w:val="13"/>
              </w:rPr>
              <w:br/>
              <w:t>고정정보: 확인일 2026-08-28 · 인용 섹션: IXP definition and neutral interconnection · 문서 버전/commit: 게시 버전 미표기 · Archive/PDF: 미보존</w:t>
            </w:r>
            <w:r>
              <w:rPr>
                <w:sz w:val="13"/>
              </w:rPr>
              <w:t xml:space="preserve">  </w:t>
            </w:r>
            <w:hyperlink r:id="rId27">
              <w:r>
                <w:rPr>
                  <w:rFonts w:ascii="NanumGothic" w:hAnsi="NanumGothic" w:eastAsia="NanumGothic"/>
                  <w:color w:val="6F5AE8"/>
                  <w:u w:val="single"/>
                  <w:sz w:val="14"/>
                </w:rPr>
                <w:t>원문 링크</w:t>
              </w:r>
            </w:hyperlink>
          </w:p>
        </w:tc>
      </w:tr>
    </w:tbl>
    <w:p>
      <w:pPr>
        <w:spacing w:after="20"/>
      </w:pPr>
    </w:p>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R20</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Chain Support Requirements</w:t>
            </w:r>
            <w:r>
              <w:rPr>
                <w:rFonts w:ascii="NanumGothic" w:hAnsi="NanumGothic" w:eastAsia="NanumGothic"/>
                <w:color w:val="5E6878"/>
                <w:sz w:val="13"/>
              </w:rPr>
              <w:br/>
              <w:t>Cosmos Developer Documentation / Skip Go · 상시 문서 · 공식 운영문서</w:t>
            </w:r>
            <w:r>
              <w:rPr>
                <w:rFonts w:ascii="NanumGothic" w:hAnsi="NanumGothic" w:eastAsia="NanumGothic"/>
                <w:color w:val="5E6878"/>
                <w:sz w:val="13"/>
              </w:rPr>
              <w:br/>
              <w:t>활용: relayer 역할, direct IBC path, 노드·채널·유동성·메타데이터 요구사항.</w:t>
            </w:r>
            <w:r>
              <w:rPr>
                <w:rFonts w:ascii="NanumGothic" w:hAnsi="NanumGothic" w:eastAsia="NanumGothic"/>
                <w:color w:val="6D7482"/>
                <w:sz w:val="13"/>
              </w:rPr>
              <w:br/>
              <w:t>고정정보: 확인일 2026-08-28 · 인용 섹션: relayer / direct IBC path / chain support requirements · 문서 버전/commit: 게시 버전 미표기 · Archive/PDF: 미보존</w:t>
            </w:r>
            <w:r>
              <w:rPr>
                <w:sz w:val="13"/>
              </w:rPr>
              <w:t xml:space="preserve">  </w:t>
            </w:r>
            <w:hyperlink r:id="rId19">
              <w:r>
                <w:rPr>
                  <w:rFonts w:ascii="NanumGothic" w:hAnsi="NanumGothic" w:eastAsia="NanumGothic"/>
                  <w:color w:val="6F5AE8"/>
                  <w:u w:val="single"/>
                  <w:sz w:val="14"/>
                </w:rPr>
                <w:t>원문 링크</w:t>
              </w:r>
            </w:hyperlink>
          </w:p>
        </w:tc>
      </w:tr>
    </w:tbl>
    <w:tbl>
      <w:tblPr>
        <w:tblW w:type="auto" w:w="0"/>
        <w:jc w:val="center"/>
        <w:tblLayout w:type="fixed"/>
        <w:tblLook w:firstColumn="1" w:firstRow="1" w:lastColumn="0" w:lastRow="0" w:noHBand="0" w:noVBand="1" w:val="04A0"/>
      </w:tblPr>
      <w:tblGrid>
        <w:gridCol w:w="4876"/>
        <w:gridCol w:w="4876"/>
      </w:tblGrid>
      <w:tr>
        <w:trPr>
          <w:cantSplit/>
        </w:trPr>
        <w:tc>
          <w:tcPr>
            <w:tcW w:type="dxa" w:w="1134"/>
            <w:shd w:fill="1E244D"/>
            <w:tcMar>
              <w:top w:w="90" w:type="dxa"/>
              <w:start w:w="100" w:type="dxa"/>
              <w:bottom w:w="90" w:type="dxa"/>
              <w:end w:w="100" w:type="dxa"/>
            </w:tcMar>
            <w:tcBorders>
              <w:top w:val="single" w:sz="4" w:color="D7DAE3"/>
              <w:left w:val="single" w:sz="4" w:color="D7DAE3"/>
              <w:bottom w:val="single" w:sz="4" w:color="D7DAE3"/>
              <w:right w:val="single" w:sz="4" w:color="D7DAE3"/>
            </w:tcBorders>
            <w:vAlign w:val="center"/>
          </w:tcPr>
          <w:p>
            <w:pPr>
              <w:spacing w:before="0" w:after="0" w:line="252" w:lineRule="auto"/>
              <w:jc w:val="center"/>
            </w:pPr>
            <w:r>
              <w:rPr>
                <w:rFonts w:ascii="NanumSquare" w:hAnsi="NanumSquare" w:eastAsia="NanumSquare"/>
                <w:b/>
                <w:color w:val="FFFFFF"/>
                <w:sz w:val="14"/>
              </w:rPr>
              <w:t>R21</w:t>
            </w:r>
          </w:p>
        </w:tc>
        <w:tc>
          <w:tcPr>
            <w:tcW w:type="dxa" w:w="8334"/>
            <w:shd w:fill="FFFFFF"/>
            <w:tcMar>
              <w:top w:w="90" w:type="dxa"/>
              <w:start w:w="100" w:type="dxa"/>
              <w:bottom w:w="90" w:type="dxa"/>
              <w:end w:w="100" w:type="dxa"/>
            </w:tcMar>
            <w:tcBorders>
              <w:top w:val="single" w:sz="4" w:color="D7DAE3"/>
              <w:left w:val="single" w:sz="4" w:color="D7DAE3"/>
              <w:bottom w:val="single" w:sz="4" w:color="D7DAE3"/>
              <w:right w:val="single" w:sz="4" w:color="D7DAE3"/>
            </w:tcBorders>
          </w:tcPr>
          <w:p>
            <w:pPr>
              <w:spacing w:before="0" w:after="0" w:line="240" w:lineRule="auto"/>
            </w:pPr>
            <w:r>
              <w:rPr>
                <w:rFonts w:ascii="NanumGothic" w:hAnsi="NanumGothic" w:eastAsia="NanumGothic"/>
                <w:b/>
                <w:color w:val="1E244D"/>
                <w:sz w:val="14"/>
              </w:rPr>
              <w:t>Cross-chain Failure Cases</w:t>
            </w:r>
            <w:r>
              <w:rPr>
                <w:rFonts w:ascii="NanumGothic" w:hAnsi="NanumGothic" w:eastAsia="NanumGothic"/>
                <w:color w:val="5E6878"/>
                <w:sz w:val="13"/>
              </w:rPr>
              <w:br/>
              <w:t>Cosmos Developer Documentation / Skip Go · 상시 문서 · 공식 기술문서</w:t>
            </w:r>
            <w:r>
              <w:rPr>
                <w:rFonts w:ascii="NanumGothic" w:hAnsi="NanumGothic" w:eastAsia="NanumGothic"/>
                <w:color w:val="5E6878"/>
                <w:sz w:val="13"/>
              </w:rPr>
              <w:br/>
              <w:t>활용: pre-swap·swap failure의 source 환불, post-swap failure의 swap-chain 잔류, multi-transaction 경로의 중간체인 잔류, CCTP·Hyperlane·Go Fast별 상이한 실패·복구모델.</w:t>
            </w:r>
            <w:r>
              <w:rPr>
                <w:rFonts w:ascii="NanumGothic" w:hAnsi="NanumGothic" w:eastAsia="NanumGothic"/>
                <w:color w:val="6D7482"/>
                <w:sz w:val="13"/>
              </w:rPr>
              <w:br/>
              <w:t>고정정보: 확인일 2026-08-28 · 인용 섹션: IBC pre-swap/post-swap, multi-transaction, CCTP, Hyperlane, Go Fast failures · 문서 버전/commit: 게시 버전 미표기 · Archive/PDF: 미보존</w:t>
            </w:r>
            <w:r>
              <w:rPr>
                <w:sz w:val="13"/>
              </w:rPr>
              <w:t xml:space="preserve">  </w:t>
            </w:r>
            <w:hyperlink r:id="rId34">
              <w:r>
                <w:rPr>
                  <w:rFonts w:ascii="NanumGothic" w:hAnsi="NanumGothic" w:eastAsia="NanumGothic"/>
                  <w:color w:val="6F5AE8"/>
                  <w:u w:val="single"/>
                  <w:sz w:val="14"/>
                </w:rPr>
                <w:t>원문 링크</w:t>
              </w:r>
            </w:hyperlink>
          </w:p>
        </w:tc>
      </w:tr>
    </w:tbl>
    <w:p>
      <w:pPr/>
    </w:p>
    <w:p>
      <w:pPr>
        <w:spacing w:after="20"/>
      </w:pPr>
    </w:p>
    <w:p>
      <w:pPr>
        <w:pStyle w:val="Heading1"/>
        <w:spacing w:before="280" w:after="140" w:line="252" w:lineRule="auto"/>
        <w:keepNext/>
      </w:pPr>
      <w:r>
        <w:rPr>
          <w:rFonts w:ascii="NanumSquare" w:hAnsi="NanumSquare" w:eastAsia="NanumSquare"/>
          <w:b/>
          <w:color w:val="1E244D"/>
          <w:sz w:val="36"/>
        </w:rPr>
        <w:t>제안서 사용 메모</w:t>
      </w:r>
    </w:p>
    <w:tbl>
      <w:tblPr>
        <w:tblW w:type="auto" w:w="0"/>
        <w:jc w:val="center"/>
        <w:tblLayout w:type="autofit"/>
        <w:tblLook w:firstColumn="1" w:firstRow="1" w:lastColumn="0" w:lastRow="0" w:noHBand="0" w:noVBand="1" w:val="04A0"/>
      </w:tblPr>
      <w:tblGrid>
        <w:gridCol w:w="9752"/>
      </w:tblGrid>
      <w:tr>
        <w:trPr>
          <w:cantSplit/>
        </w:trPr>
        <w:tc>
          <w:tcPr>
            <w:tcW w:type="dxa" w:w="9752"/>
            <w:shd w:fill="EDF4FF"/>
            <w:tcBorders>
              <w:top w:val="single" w:sz="12" w:color="2E6FCE"/>
              <w:left w:val="single" w:sz="12" w:color="2E6FCE"/>
              <w:bottom w:val="single" w:sz="12" w:color="2E6FCE"/>
              <w:right w:val="single" w:sz="12" w:color="2E6FCE"/>
            </w:tcBorders>
            <w:tcMar>
              <w:top w:w="150" w:type="dxa"/>
              <w:start w:w="180" w:type="dxa"/>
              <w:bottom w:w="150" w:type="dxa"/>
              <w:end w:w="180" w:type="dxa"/>
            </w:tcMar>
            <w:vAlign w:val="center"/>
          </w:tcPr>
          <w:p>
            <w:pPr>
              <w:spacing w:before="0" w:after="0" w:line="252" w:lineRule="auto"/>
            </w:pPr>
            <w:r>
              <w:rPr>
                <w:rFonts w:ascii="NanumSquare" w:hAnsi="NanumSquare" w:eastAsia="NanumSquare"/>
                <w:b/>
                <w:color w:val="1E244D"/>
                <w:sz w:val="15"/>
              </w:rPr>
              <w:t>권장 사용 방식</w:t>
            </w:r>
            <w:r>
              <w:rPr>
                <w:rFonts w:ascii="NanumGothic" w:hAnsi="NanumGothic" w:eastAsia="NanumGothic"/>
                <w:color w:val="1E244D"/>
                <w:sz w:val="15"/>
              </w:rPr>
              <w:br/>
              <w:t>이 문서는 v1.0의 중심 명제를 유지하면서 교차검증의 P0·P1·P2 보정을 반영한 의사결정용 v1.1 Candidate다. 90일 Discovery 이후 실제 고객증거, 외부 법률의견, MVP 기술사양, 발행사 term sheet, 반복적인 온체인 수익·ATOM 매입 증거를 붙여 final로 전환한다.</w:t>
            </w:r>
          </w:p>
        </w:tc>
      </w:tr>
    </w:tbl>
    <w:p>
      <w:pPr>
        <w:spacing w:after="40"/>
      </w:pPr>
    </w:p>
    <w:p>
      <w:pPr>
        <w:spacing w:before="0" w:after="140" w:line="283" w:lineRule="auto"/>
      </w:pPr>
      <w:r>
        <w:rPr>
          <w:rFonts w:ascii="NanumGothic" w:hAnsi="NanumGothic" w:eastAsia="NanumGothic"/>
          <w:color w:val="1F2633"/>
          <w:sz w:val="21"/>
        </w:rPr>
        <w:t>본 문서의 제안은 Cosmos Hub 공식팀이 공개한 TradFi↔DeFi gateway 방향과 정렬되지만, NICM·provider bond·Revenue Vault 배분·중립성 헌장은 독립 제안이다. 공식 채택 여부는 공개 토론, 법률·기술 검증, 거버넌스 절차를 거쳐야 한다.</w:t>
      </w:r>
    </w:p>
    <w:p>
      <w:pPr>
        <w:spacing w:before="400" w:after="0" w:line="240" w:lineRule="auto"/>
        <w:jc w:val="center"/>
      </w:pPr>
      <w:r>
        <w:rPr>
          <w:rFonts w:ascii="NanumSquare" w:hAnsi="NanumSquare" w:eastAsia="NanumSquare"/>
          <w:b/>
          <w:color w:val="6F5AE8"/>
          <w:sz w:val="22"/>
        </w:rPr>
        <w:t>— END OF DOCUMENT —</w:t>
      </w:r>
    </w:p>
    <w:sectPr w:rsidR="00FC693F" w:rsidRPr="0006063C" w:rsidSect="00034616">
      <w:headerReference w:type="default" r:id="rId9"/>
      <w:footerReference w:type="default" r:id="rId10"/>
      <w:pgSz w:w="11906" w:h="16838"/>
      <w:pgMar w:top="1020" w:right="1077" w:bottom="964" w:left="107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876"/>
      <w:gridCol w:w="4876"/>
    </w:tblGrid>
    <w:tr>
      <w:tc>
        <w:tcPr>
          <w:tcW w:type="dxa" w:w="7483"/>
          <w:tcMar>
            <w:top w:w="0" w:type="dxa"/>
            <w:start w:w="0" w:type="dxa"/>
            <w:bottom w:w="0" w:type="dxa"/>
            <w:end w:w="0" w:type="dxa"/>
          </w:tcMar>
          <w:tcBorders>
            <w:top w:val="single" w:sz="4" w:color="D7DAE3"/>
          </w:tcBorders>
        </w:tcPr>
        <w:p>
          <w:pPr>
            <w:spacing w:before="0" w:after="0" w:line="240" w:lineRule="auto"/>
          </w:pPr>
          <w:r>
            <w:rPr>
              <w:rFonts w:ascii="NanumGothic" w:hAnsi="NanumGothic" w:eastAsia="NanumGothic"/>
              <w:color w:val="5B6475"/>
              <w:sz w:val="15"/>
            </w:rPr>
            <w:t>독립 제안 · 공식 Cosmos Hub 로드맵/거버넌스 결의가 아님</w:t>
          </w:r>
        </w:p>
      </w:tc>
      <w:tc>
        <w:tcPr>
          <w:tcW w:type="dxa" w:w="2268"/>
          <w:tcMar>
            <w:top w:w="0" w:type="dxa"/>
            <w:start w:w="0" w:type="dxa"/>
            <w:bottom w:w="0" w:type="dxa"/>
            <w:end w:w="0" w:type="dxa"/>
          </w:tcMar>
          <w:tcBorders>
            <w:top w:val="single" w:sz="4" w:color="D7DAE3"/>
          </w:tcBorders>
        </w:tcPr>
        <w:p>
          <w:pPr>
            <w:spacing w:before="0" w:after="0" w:line="240" w:lineRule="auto"/>
            <w:jc w:val="right"/>
          </w:pPr>
          <w:r>
            <w:rPr>
              <w:rFonts w:ascii="NanumGothic" w:hAnsi="NanumGothic" w:eastAsia="NanumGothic"/>
              <w:color w:val="5B6475"/>
              <w:sz w:val="17"/>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anumGothic" w:hAnsi="NanumGothic" w:eastAsia="NanumGothic"/>
        <w:b/>
        <w:color w:val="5B6475"/>
        <w:sz w:val="16"/>
      </w:rPr>
      <w:t>COSMOS HUB BM IMPROVEMENT PROPOSAL  |  v1.1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NanumGothic" w:hAnsi="NanumGothic" w:eastAsia="NanumGothic"/>
      <w:color w:val="1F26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E24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E24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1E24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 Box"/>
    <w:pPr>
      <w:spacing w:before="100" w:after="160"/>
      <w:ind w:left="454" w:right="454"/>
    </w:pPr>
    <w:rPr>
      <w:rFonts w:ascii="NanumGothic" w:hAnsi="NanumGothic" w:eastAsia="NanumGothic"/>
      <w:i/>
      <w:color w:val="1E244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orum.cosmos.network/t/hub-weekly-update-12-august-13-2026/17241" TargetMode="External"/><Relationship Id="rId12" Type="http://schemas.openxmlformats.org/officeDocument/2006/relationships/hyperlink" Target="https://forum.cosmos.network/t/hub-weekly-update-13-august-21-2026/17255" TargetMode="External"/><Relationship Id="rId13" Type="http://schemas.openxmlformats.org/officeDocument/2006/relationships/hyperlink" Target="https://ibcprotocol.dev/how-ibc-works" TargetMode="External"/><Relationship Id="rId14" Type="http://schemas.openxmlformats.org/officeDocument/2006/relationships/hyperlink" Target="https://ibcprotocol.dev/blog/12-ibc-myths" TargetMode="External"/><Relationship Id="rId15" Type="http://schemas.openxmlformats.org/officeDocument/2006/relationships/hyperlink" Target="https://docs.cosmos.network/skip-go/eureka/eureka-overview" TargetMode="External"/><Relationship Id="rId16" Type="http://schemas.openxmlformats.org/officeDocument/2006/relationships/hyperlink" Target="https://docs.cosmos.network/skip-go/advanced-transfer/ibc-routing-algorithm" TargetMode="External"/><Relationship Id="rId17" Type="http://schemas.openxmlformats.org/officeDocument/2006/relationships/hyperlink" Target="https://docs.cosmos.network/hub/latest" TargetMode="External"/><Relationship Id="rId18" Type="http://schemas.openxmlformats.org/officeDocument/2006/relationships/hyperlink" Target="https://forum.cosmos.network/t/hub-weekly-update-1-may-14-2026/16960" TargetMode="External"/><Relationship Id="rId19" Type="http://schemas.openxmlformats.org/officeDocument/2006/relationships/hyperlink" Target="https://docs.cosmos.network/skip-go/support-requirements/chain-support-requirements" TargetMode="External"/><Relationship Id="rId20" Type="http://schemas.openxmlformats.org/officeDocument/2006/relationships/hyperlink" Target="https://docs.cosmos.network/skip-go/eureka/eureka-tech-overview" TargetMode="External"/><Relationship Id="rId21" Type="http://schemas.openxmlformats.org/officeDocument/2006/relationships/hyperlink" Target="https://docs.cosmos.network/skip-go/general/getting-started" TargetMode="External"/><Relationship Id="rId22" Type="http://schemas.openxmlformats.org/officeDocument/2006/relationships/hyperlink" Target="https://github.com/cosmos/gaia/releases/tag/v28.0.0" TargetMode="External"/><Relationship Id="rId23" Type="http://schemas.openxmlformats.org/officeDocument/2006/relationships/hyperlink" Target="https://forum.cosmos.network/t/cosmos-quarterly-1-q2-26-three-pillars-three-teams/17200" TargetMode="External"/><Relationship Id="rId24" Type="http://schemas.openxmlformats.org/officeDocument/2006/relationships/hyperlink" Target="https://www.swift.com/financial-messaging" TargetMode="External"/><Relationship Id="rId25" Type="http://schemas.openxmlformats.org/officeDocument/2006/relationships/hyperlink" Target="https://corporate.visa.com/en/about-visa/visanet.html" TargetMode="External"/><Relationship Id="rId26" Type="http://schemas.openxmlformats.org/officeDocument/2006/relationships/hyperlink" Target="https://www.cls-group.com/publications/clssettlement/" TargetMode="External"/><Relationship Id="rId27" Type="http://schemas.openxmlformats.org/officeDocument/2006/relationships/hyperlink" Target="https://www.euro-ix.net/en/forixps/" TargetMode="External"/><Relationship Id="rId28" Type="http://schemas.openxmlformats.org/officeDocument/2006/relationships/image" Target="media/image1.png"/><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hyperlink" Target="https://forum.cosmos.network/t/atom-tokenomics-phase-1-outcomes/17146" TargetMode="External"/><Relationship Id="rId32" Type="http://schemas.openxmlformats.org/officeDocument/2006/relationships/hyperlink" Target="https://forum.cosmos.network/t/from-chaos-to-stability-to-growth-the-plan-to-build-the-cosmos-hub-roadmap-in-public/16937" TargetMode="External"/><Relationship Id="rId33" Type="http://schemas.openxmlformats.org/officeDocument/2006/relationships/hyperlink" Target="https://docs.cosmos.network/skip-go/general/affiliate-fees" TargetMode="External"/><Relationship Id="rId34" Type="http://schemas.openxmlformats.org/officeDocument/2006/relationships/hyperlink" Target="https://docs.cosmos.network/skip-go/advanced-transfer/handling-cross-chain-failure-c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COSMOS HUB BM 개선 제안서 - Neutral Interchain Coordination Market</dc:title>
  <dc:subject>v1.1 Candidate - 교차검증 보정판</dc:subject>
  <dc:creator/>
  <cp:keywords>Cosmos Hub, ATOM, IBC, Eureka, Skip Go, RWA, business model, interchain</cp:keywords>
  <dc:description>Bounded revision: evidence strength, legal-technical boundary, revenue and risk design hardened.</dc:description>
  <cp:lastModifiedBy/>
  <cp:revision>1</cp:revision>
  <dcterms:created xsi:type="dcterms:W3CDTF">2013-12-23T23:15:00Z</dcterms:created>
  <dcterms:modified xsi:type="dcterms:W3CDTF">2013-12-23T23:15:00Z</dcterms:modified>
  <cp:category/>
  <cp:version>1.1</cp:version>
</cp:coreProperties>
</file>