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12.png" ContentType="image/png"/>
  <Override PartName="/word/media/rId20.png" ContentType="image/png"/>
  <Override PartName="/word/media/rId24.png" ContentType="image/png"/>
  <Override PartName="/word/media/rId45.png" ContentType="image/png"/>
  <Override PartName="/word/media/rId28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2d86f1bb84b5eb66d68656028c098bc7d22f589"/>
    <w:p>
      <w:pPr>
        <w:pStyle w:val="Heading1"/>
      </w:pPr>
      <w:r>
        <w:t xml:space="preserve">Calibrated-Uncertainty Multi-Objective Bayesian Optimization for Expensive, Uncertain Oracles in Inverse Molecular Design</w:t>
      </w:r>
    </w:p>
    <w:p>
      <w:pPr>
        <w:pStyle w:val="FirstParagraph"/>
      </w:pPr>
      <w:r>
        <w:rPr>
          <w:i/>
          <w:iCs/>
        </w:rPr>
        <w:t xml:space="preserve">Working draft — in-silico methods paper (target: JCIM / Digital Discovery / ML4Molecules-type workshop). All in-silico evidence is screening/triage; wet-lab validation remains the only proof of activity. This draft is honest about that boundary throughout.</w:t>
      </w:r>
    </w:p>
    <w:p>
      <w:pPr>
        <w:pStyle w:val="BlockText"/>
      </w:pPr>
      <w:r>
        <w:rPr>
          <w:rFonts w:hint="eastAsia"/>
        </w:rPr>
        <w:t xml:space="preserve">中文备注（给自己）：这是投稿用英文初稿。两块核心实验证据</w:t>
      </w:r>
      <w:r>
        <w:t xml:space="preserve"> = ① </w:t>
      </w:r>
      <w:r>
        <w:rPr>
          <w:rFonts w:hint="eastAsia"/>
        </w:rPr>
        <w:t xml:space="preserve">合成</w:t>
      </w:r>
      <w:r>
        <w:t xml:space="preserve"> </w:t>
      </w:r>
      <w:r>
        <w:rPr>
          <w:rFonts w:hint="eastAsia"/>
        </w:rPr>
        <w:t xml:space="preserve">oracle-gap（机制，有隐藏真值，含</w:t>
      </w:r>
      <w:r>
        <w:t xml:space="preserve"> 2×2 </w:t>
      </w:r>
      <w:r>
        <w:rPr>
          <w:rFonts w:hint="eastAsia"/>
        </w:rPr>
        <w:t xml:space="preserve">消融</w:t>
      </w:r>
      <w:r>
        <w:t xml:space="preserve"> + </w:t>
      </w:r>
      <w:r>
        <w:rPr>
          <w:rFonts w:hint="eastAsia"/>
        </w:rPr>
        <w:t xml:space="preserve">PMO）②</w:t>
      </w:r>
      <w:r>
        <w:t xml:space="preserve"> </w:t>
      </w:r>
      <w:r>
        <w:rPr>
          <w:rFonts w:hint="eastAsia"/>
        </w:rPr>
        <w:t xml:space="preserve">真实</w:t>
      </w:r>
      <w:r>
        <w:t xml:space="preserve"> kcat </w:t>
      </w:r>
      <w:r>
        <w:rPr>
          <w:rFonts w:hint="eastAsia"/>
        </w:rPr>
        <w:t xml:space="preserve">回顾性富集（真实标签）。§4.6</w:t>
      </w:r>
      <w:r>
        <w:t xml:space="preserve"> </w:t>
      </w:r>
      <w:r>
        <w:rPr>
          <w:rFonts w:hint="eastAsia"/>
        </w:rPr>
        <w:t xml:space="preserve">外部锚点</w:t>
      </w:r>
      <w:r>
        <w:t xml:space="preserve"> = </w:t>
      </w:r>
      <w:r>
        <w:rPr>
          <w:rFonts w:hint="eastAsia"/>
        </w:rPr>
        <w:t xml:space="preserve">标准</w:t>
      </w:r>
      <w:r>
        <w:t xml:space="preserve"> TDC </w:t>
      </w:r>
      <w:r>
        <w:rPr>
          <w:rFonts w:hint="eastAsia"/>
        </w:rPr>
        <w:t xml:space="preserve">oracle（仅</w:t>
      </w:r>
      <w:r>
        <w:t xml:space="preserve"> QED </w:t>
      </w:r>
      <w:r>
        <w:rPr>
          <w:rFonts w:hint="eastAsia"/>
        </w:rPr>
        <w:t xml:space="preserve">两个标注预算：rich/scarce；平滑/几无</w:t>
      </w:r>
      <w:r>
        <w:t xml:space="preserve"> gap → </w:t>
      </w:r>
      <w:r>
        <w:rPr>
          <w:rFonts w:hint="eastAsia"/>
        </w:rPr>
        <w:t xml:space="preserve">干净测”无悔”：CU-MOBO</w:t>
      </w:r>
      <w:r>
        <w:t xml:space="preserve"> </w:t>
      </w:r>
      <w:r>
        <w:rPr>
          <w:rFonts w:hint="eastAsia"/>
        </w:rPr>
        <w:t xml:space="preserve">无悔+温和获益+gap</w:t>
      </w:r>
      <w:r>
        <w:t xml:space="preserve"> </w:t>
      </w:r>
      <w:r>
        <w:rPr>
          <w:rFonts w:hint="eastAsia"/>
        </w:rPr>
        <w:t xml:space="preserve">最低/并列最低）。DRD2</w:t>
      </w:r>
      <w:r>
        <w:t xml:space="preserve"> </w:t>
      </w:r>
      <w:r>
        <w:rPr>
          <w:rFonts w:hint="eastAsia"/>
        </w:rPr>
        <w:t xml:space="preserve">已按用户要求从</w:t>
      </w:r>
      <w:r>
        <w:t xml:space="preserve"> §4.6 </w:t>
      </w:r>
      <w:r>
        <w:rPr>
          <w:rFonts w:hint="eastAsia"/>
        </w:rPr>
        <w:t xml:space="preserve">完全移除（代码仍能跑，只是不写进论文）。Design-Bench</w:t>
      </w:r>
      <w:r>
        <w:t xml:space="preserve"> TF-Bind-8 </w:t>
      </w:r>
      <w:r>
        <w:rPr>
          <w:rFonts w:hint="eastAsia"/>
        </w:rPr>
        <w:t xml:space="preserve">锚点因上游</w:t>
      </w:r>
      <w:r>
        <w:t xml:space="preserve"> GCS bucket </w:t>
      </w:r>
      <w:r>
        <w:rPr>
          <w:rFonts w:hint="eastAsia"/>
        </w:rPr>
        <w:t xml:space="preserve">失效（NoSuchBucket，2026-06-26）无法获取数据，已在</w:t>
      </w:r>
      <w:r>
        <w:t xml:space="preserve"> §6 </w:t>
      </w:r>
      <w:r>
        <w:rPr>
          <w:rFonts w:hint="eastAsia"/>
        </w:rPr>
        <w:t xml:space="preserve">如实说明。数字从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*_summary.csv</w:t>
      </w:r>
      <w:r>
        <w:t xml:space="preserve"> </w:t>
      </w:r>
      <w:r>
        <w:rPr>
          <w:rFonts w:hint="eastAsia"/>
        </w:rPr>
        <w:t xml:space="preserve">回填。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Inverse molecular and process design increasingly relies on</w:t>
      </w:r>
      <w:r>
        <w:t xml:space="preserve"> </w:t>
      </w:r>
      <w:r>
        <w:rPr>
          <w:i/>
          <w:iCs/>
        </w:rPr>
        <w:t xml:space="preserve">learned</w:t>
      </w:r>
      <w:r>
        <w:t xml:space="preserve"> </w:t>
      </w:r>
      <w:r>
        <w:t xml:space="preserve">oracles — neural predictors of enzyme turnover (kcat), binding, or structure — that are</w:t>
      </w:r>
      <w:r>
        <w:t xml:space="preserve"> </w:t>
      </w:r>
      <w:r>
        <w:rPr>
          <w:b/>
          <w:bCs/>
        </w:rPr>
        <w:t xml:space="preserve">expensive to query</w:t>
      </w:r>
      <w:r>
        <w:t xml:space="preserve"> </w:t>
      </w:r>
      <w:r>
        <w:t xml:space="preserve">and, crucially,</w:t>
      </w:r>
      <w:r>
        <w:t xml:space="preserve"> </w:t>
      </w:r>
      <w:r>
        <w:rPr>
          <w:b/>
          <w:bCs/>
        </w:rPr>
        <w:t xml:space="preserve">imperfect</w:t>
      </w:r>
      <w:r>
        <w:t xml:space="preserve">. Naïve optimization of an oracle’s point prediction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systematically exploits regions where the oracle is</w:t>
      </w:r>
      <w:r>
        <w:t xml:space="preserve"> </w:t>
      </w:r>
      <w:r>
        <w:rPr>
          <w:i/>
          <w:iCs/>
        </w:rPr>
        <w:t xml:space="preserve">overconfident but wrong</w:t>
      </w:r>
      <w:r>
        <w:t xml:space="preserve">: the recommended designs look excellent under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yet have low true activity. This</w:t>
      </w:r>
      <w:r>
        <w:t xml:space="preserve"> </w:t>
      </w:r>
      <w:r>
        <w:rPr>
          <w:b/>
          <w:bCs/>
        </w:rPr>
        <w:t xml:space="preserve">oracle-gap</w:t>
      </w:r>
      <w:r>
        <w:t xml:space="preserve"> </w:t>
      </w:r>
      <w:r>
        <w:t xml:space="preserve">(a multi-objective instance of reward hacking / oracle exploitation) is the central obstacle to trustworthy in-silico design.</w:t>
      </w:r>
    </w:p>
    <w:p>
      <w:pPr>
        <w:pStyle w:val="BodyText"/>
      </w:pPr>
      <w:r>
        <w:t xml:space="preserve">We present</w:t>
      </w:r>
      <w:r>
        <w:t xml:space="preserve"> </w:t>
      </w:r>
      <w:r>
        <w:rPr>
          <w:b/>
          <w:bCs/>
        </w:rPr>
        <w:t xml:space="preserve">CU-MOBO</w:t>
      </w:r>
      <w:r>
        <w:t xml:space="preserve"> </w:t>
      </w:r>
      <w:r>
        <w:t xml:space="preserve">(Calibrated-Uncertainty Multi-Objective Bayesian Optimization), a principled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metaheuristic — method that turns the oracle’s</w:t>
      </w:r>
      <w:r>
        <w:t xml:space="preserve"> </w:t>
      </w:r>
      <w:r>
        <w:rPr>
          <w:b/>
          <w:bCs/>
        </w:rPr>
        <w:t xml:space="preserve">calibrated uncertainty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σ</w:t>
      </w:r>
      <w:r>
        <w:rPr>
          <w:b/>
          <w:bCs/>
        </w:rPr>
        <w:t xml:space="preserve"> </w:t>
      </w:r>
      <w:r>
        <w:rPr>
          <w:b/>
          <w:bCs/>
        </w:rPr>
        <w:t xml:space="preserve">into a first-class citizen</w:t>
      </w:r>
      <w:r>
        <w:t xml:space="preserve"> </w:t>
      </w:r>
      <w:r>
        <w:t xml:space="preserve">of the optimization. CU-MOBO contributes three mechanisms: (1)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enters the Pareto front as an explicit objective (replacing the</w:t>
      </w:r>
      <w:r>
        <w:t xml:space="preserve"> </w:t>
      </w:r>
      <w:r>
        <w:rPr>
          <w:rStyle w:val="VerbatimChar"/>
        </w:rPr>
        <w:t xml:space="preserve">μ−λσ</w:t>
      </w:r>
      <w:r>
        <w:t xml:space="preserve"> </w:t>
      </w:r>
      <w:r>
        <w:t xml:space="preserve">scalarization and its hand-tuned</w:t>
      </w:r>
      <w:r>
        <w:t xml:space="preserve"> </w:t>
      </w:r>
      <w:r>
        <w:rPr>
          <w:rStyle w:val="VerbatimChar"/>
        </w:rPr>
        <w:t xml:space="preserve">λ</w:t>
      </w:r>
      <w:r>
        <w:t xml:space="preserve">); (2)</w:t>
      </w:r>
      <w:r>
        <w:t xml:space="preserve"> </w:t>
      </w:r>
      <w:r>
        <w:rPr>
          <w:b/>
          <w:bCs/>
        </w:rPr>
        <w:t xml:space="preserve">the calibrated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σ²</w:t>
      </w:r>
      <w:r>
        <w:rPr>
          <w:b/>
          <w:bCs/>
        </w:rPr>
        <w:t xml:space="preserve"> </w:t>
      </w:r>
      <w:r>
        <w:rPr>
          <w:b/>
          <w:bCs/>
        </w:rPr>
        <w:t xml:space="preserve">is used as the heteroscedastic observation noise (</w:t>
      </w:r>
      <w:r>
        <w:rPr>
          <w:rStyle w:val="VerbatimChar"/>
          <w:b/>
          <w:bCs/>
        </w:rPr>
        <w:t xml:space="preserve">train_Yvar</w:t>
      </w:r>
      <w:r>
        <w:rPr>
          <w:b/>
          <w:bCs/>
        </w:rPr>
        <w:t xml:space="preserve">) of the activity Gaussian-process surrogate</w:t>
      </w:r>
      <w:r>
        <w:t xml:space="preserve"> </w:t>
      </w:r>
      <w:r>
        <w:t xml:space="preserve">— so the posterior automatically down-weights unreliable observations and denoises toward true activity (our core algorithmic novelty); (3) risk-aware batch acquisition via qNEHVI under constraints.</w:t>
      </w:r>
    </w:p>
    <w:p>
      <w:pPr>
        <w:pStyle w:val="BodyText"/>
      </w:pPr>
      <w:r>
        <w:t xml:space="preserve">We validate on two complementary fronts. (i) A</w:t>
      </w:r>
      <w:r>
        <w:t xml:space="preserve"> </w:t>
      </w:r>
      <w:r>
        <w:rPr>
          <w:b/>
          <w:bCs/>
        </w:rPr>
        <w:t xml:space="preserve">controlled synthetic oracle-gap benchmark</w:t>
      </w:r>
      <w:r>
        <w:t xml:space="preserve"> </w:t>
      </w:r>
      <w:r>
        <w:t xml:space="preserve">with hidden ground-truth activity isolates the mechanism (5 seeds): CU-MOBO recovers designs with</w:t>
      </w:r>
      <w:r>
        <w:t xml:space="preserve"> </w:t>
      </w:r>
      <w:r>
        <w:rPr>
          <w:b/>
          <w:bCs/>
        </w:rPr>
        <w:t xml:space="preserve">2.9× higher true activity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13× smaller oracle-gap</w:t>
      </w:r>
      <w:r>
        <w:t xml:space="preserve"> </w:t>
      </w:r>
      <w:r>
        <w:t xml:space="preserve">than μ-greedy (and lands in trap regions 0.7 % vs 32.9 % of the time), with a clean,</w:t>
      </w:r>
      <w:r>
        <w:t xml:space="preserve"> </w:t>
      </w:r>
      <w:r>
        <w:rPr>
          <w:i/>
          <w:iCs/>
        </w:rPr>
        <w:t xml:space="preserve">monotone</w:t>
      </w:r>
      <w:r>
        <w:t xml:space="preserve"> </w:t>
      </w:r>
      <w:r>
        <w:t xml:space="preserve">2×2 ablation attributing the gains to the two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mechanisms (Cliff’s δ: large vs all no-σ baselines) — and notably, qParEGO, a strong SOTA MOBO baseline that ignores</w:t>
      </w:r>
      <w:r>
        <w:t xml:space="preserve"> </w:t>
      </w:r>
      <w:r>
        <w:rPr>
          <w:rStyle w:val="VerbatimChar"/>
        </w:rPr>
        <w:t xml:space="preserve">σ</w:t>
      </w:r>
      <w:r>
        <w:t xml:space="preserve">, is among the</w:t>
      </w:r>
      <w:r>
        <w:t xml:space="preserve"> </w:t>
      </w:r>
      <w:r>
        <w:rPr>
          <w:i/>
          <w:iCs/>
        </w:rPr>
        <w:t xml:space="preserve">worst</w:t>
      </w:r>
      <w:r>
        <w:t xml:space="preserve">, confirming the gains come from the calibrated-</w:t>
      </w:r>
      <w:r>
        <w:rPr>
          <w:rStyle w:val="VerbatimChar"/>
        </w:rPr>
        <w:t xml:space="preserve">σ</w:t>
      </w:r>
      <w:r>
        <w:t xml:space="preserve"> </w:t>
      </w:r>
      <w:r>
        <w:t xml:space="preserve">mechanisms rather than the MOBO machinery. (ii) A</w:t>
      </w:r>
      <w:r>
        <w:t xml:space="preserve"> </w:t>
      </w:r>
      <w:r>
        <w:rPr>
          <w:b/>
          <w:bCs/>
        </w:rPr>
        <w:t xml:space="preserve">retrospective enrichment study on real experimental kcat labels</w:t>
      </w:r>
      <w:r>
        <w:t xml:space="preserve"> </w:t>
      </w:r>
      <w:r>
        <w:t xml:space="preserve">showing CU-MOBO-guided generation is significantly enriched for held-out high-kcat substrates (</w:t>
      </w:r>
      <w:r>
        <w:rPr>
          <w:b/>
          <w:bCs/>
        </w:rPr>
        <w:t xml:space="preserve">1.26 ± 0.11× over random</w:t>
      </w:r>
      <w:r>
        <w:t xml:space="preserve">, specificity</w:t>
      </w:r>
      <w:r>
        <w:t xml:space="preserve"> </w:t>
      </w:r>
      <w:r>
        <w:rPr>
          <w:b/>
          <w:bCs/>
        </w:rPr>
        <w:t xml:space="preserve">1.74×</w:t>
      </w:r>
      <w:r>
        <w:t xml:space="preserve">, leakage-controlled; surviving a Bemis–Murcko scaffold split and a near-neighbour-removal control). We also</w:t>
      </w:r>
      <w:r>
        <w:t xml:space="preserve"> </w:t>
      </w:r>
      <w:r>
        <w:rPr>
          <w:b/>
          <w:bCs/>
        </w:rPr>
        <w:t xml:space="preserve">audit the σ the method relies on</w:t>
      </w:r>
      <w:r>
        <w:t xml:space="preserve"> </w:t>
      </w:r>
      <w:r>
        <w:t xml:space="preserve">— finding it only weakly calibrated on a real noisy oracle — report the</w:t>
      </w:r>
      <w:r>
        <w:t xml:space="preserve"> </w:t>
      </w:r>
      <w:r>
        <w:rPr>
          <w:b/>
          <w:bCs/>
        </w:rPr>
        <w:t xml:space="preserve">diversity/novelty</w:t>
      </w:r>
      <w:r>
        <w:t xml:space="preserve"> </w:t>
      </w:r>
      <w:r>
        <w:t xml:space="preserve">of recommendations, and</w:t>
      </w:r>
      <w:r>
        <w:t xml:space="preserve"> </w:t>
      </w:r>
      <w:r>
        <w:rPr>
          <w:b/>
          <w:bCs/>
        </w:rPr>
        <w:t xml:space="preserve">anchor externally on a community-standard TDC oracle</w:t>
      </w:r>
      <w:r>
        <w:t xml:space="preserve"> </w:t>
      </w:r>
      <w:r>
        <w:t xml:space="preserve">(§4.6), where CU-MOBO is</w:t>
      </w:r>
      <w:r>
        <w:t xml:space="preserve"> </w:t>
      </w:r>
      <w:r>
        <w:rPr>
          <w:b/>
          <w:bCs/>
        </w:rPr>
        <w:t xml:space="preserve">no-regret</w:t>
      </w:r>
      <w:r>
        <w:t xml:space="preserve"> </w:t>
      </w:r>
      <w:r>
        <w:t xml:space="preserve">— matching or edging μ-greedy at the</w:t>
      </w:r>
      <w:r>
        <w:t xml:space="preserve"> </w:t>
      </w:r>
      <w:r>
        <w:rPr>
          <w:b/>
          <w:bCs/>
        </w:rPr>
        <w:t xml:space="preserve">lowest oracle-gap</w:t>
      </w:r>
      <w:r>
        <w:t xml:space="preserve"> </w:t>
      </w:r>
      <w:r>
        <w:t xml:space="preserve">on a smooth third-party scorer. We are explicit that these are in-silico results: they establish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sample efficiency</w:t>
      </w:r>
      <w:r>
        <w:t xml:space="preserve">, not wet-lab-validated activity.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Generative models can propose vast numbers of candidate molecules or process configurations; the bottleneck is</w:t>
      </w:r>
      <w:r>
        <w:t xml:space="preserve"> </w:t>
      </w:r>
      <w:r>
        <w:rPr>
          <w:i/>
          <w:iCs/>
        </w:rPr>
        <w:t xml:space="preserve">scoring</w:t>
      </w:r>
      <w:r>
        <w:t xml:space="preserve"> </w:t>
      </w:r>
      <w:r>
        <w:t xml:space="preserve">them. Increasingly the scoring function is a</w:t>
      </w:r>
      <w:r>
        <w:t xml:space="preserve"> </w:t>
      </w:r>
      <w:r>
        <w:rPr>
          <w:b/>
          <w:bCs/>
        </w:rPr>
        <w:t xml:space="preserve">learned oracle</w:t>
      </w:r>
      <w:r>
        <w:t xml:space="preserve">: KcatMoE / KinEAGER for enzyme turnover, Boltz / AlphaFold-derived scores for structure, QSAR models for bioactivity. These oracles share two properties that classical black-box optimization ignores: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They are expensive.</w:t>
      </w:r>
      <w:r>
        <w:t xml:space="preserve"> </w:t>
      </w:r>
      <w:r>
        <w:t xml:space="preserve">Each query may cost seconds-to-minutes of GPU inference (or, in a human-in-the-loop setting, a real assay). Evaluation budget — not wall-clock of the optimizer — is the scarce resource. This is exactly the regime of the</w:t>
      </w:r>
      <w:r>
        <w:t xml:space="preserve"> </w:t>
      </w:r>
      <w:r>
        <w:rPr>
          <w:i/>
          <w:iCs/>
        </w:rPr>
        <w:t xml:space="preserve">Practical Molecular Optimization</w:t>
      </w:r>
      <w:r>
        <w:t xml:space="preserve"> </w:t>
      </w:r>
      <w:r>
        <w:t xml:space="preserve">(PMO) benchmark.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They are uncertain, and increasingly they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report</w:t>
      </w:r>
      <w:r>
        <w:rPr>
          <w:b/>
          <w:bCs/>
        </w:rPr>
        <w:t xml:space="preserve"> </w:t>
      </w:r>
      <w:r>
        <w:rPr>
          <w:b/>
          <w:bCs/>
        </w:rPr>
        <w:t xml:space="preserve">that uncertainty.</w:t>
      </w:r>
      <w:r>
        <w:t xml:space="preserve"> </w:t>
      </w:r>
      <w:r>
        <w:t xml:space="preserve">Modern oracles emit calibrated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(deep ensembles, conformal prediction, evidential heads). This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correlates with true error — it is information about</w:t>
      </w:r>
      <w:r>
        <w:t xml:space="preserve"> </w:t>
      </w:r>
      <w:r>
        <w:rPr>
          <w:i/>
          <w:iCs/>
        </w:rPr>
        <w:t xml:space="preserve">where not to trust the oracle</w:t>
      </w:r>
      <w:r>
        <w:t xml:space="preserve">.</w:t>
      </w:r>
    </w:p>
    <w:p>
      <w:pPr>
        <w:pStyle w:val="FirstParagraph"/>
      </w:pPr>
      <w:r>
        <w:t xml:space="preserve">Naïve</w:t>
      </w:r>
      <w:r>
        <w:t xml:space="preserve"> </w:t>
      </w:r>
      <w:r>
        <w:rPr>
          <w:rStyle w:val="VerbatimChar"/>
        </w:rPr>
        <w:t xml:space="preserve">μ</w:t>
      </w:r>
      <w:r>
        <w:t xml:space="preserve">-greedy design throws away (2): it chases the highest predicted activity, which preferentially lands in regions where the oracle extrapolates badly and is overconfident. The result is the</w:t>
      </w:r>
      <w:r>
        <w:t xml:space="preserve"> </w:t>
      </w:r>
      <w:r>
        <w:rPr>
          <w:b/>
          <w:bCs/>
        </w:rPr>
        <w:t xml:space="preserve">oracle-gap</w:t>
      </w:r>
      <w:r>
        <w:t xml:space="preserve">: recommended designs with high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but low true activity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. The phenomenon is well known under several names —</w:t>
      </w:r>
      <w:r>
        <w:t xml:space="preserve"> </w:t>
      </w:r>
      <w:r>
        <w:rPr>
          <w:i/>
          <w:iCs/>
        </w:rPr>
        <w:t xml:space="preserve">oracle exploitation</w:t>
      </w:r>
      <w:r>
        <w:t xml:space="preserve">,</w:t>
      </w:r>
      <w:r>
        <w:t xml:space="preserve"> </w:t>
      </w:r>
      <w:r>
        <w:rPr>
          <w:i/>
          <w:iCs/>
        </w:rPr>
        <w:t xml:space="preserve">reward hacking</w:t>
      </w:r>
      <w:r>
        <w:t xml:space="preserve">,</w:t>
      </w:r>
      <w:r>
        <w:t xml:space="preserve"> </w:t>
      </w:r>
      <w:r>
        <w:rPr>
          <w:i/>
          <w:iCs/>
        </w:rPr>
        <w:t xml:space="preserve">predictor gaming</w:t>
      </w:r>
      <w:r>
        <w:t xml:space="preserve"> </w:t>
      </w:r>
      <w:r>
        <w:t xml:space="preserve">— and is the dominant failure mode of optimize-against-a-predictor pipelines.</w:t>
      </w:r>
    </w:p>
    <w:p>
      <w:pPr>
        <w:pStyle w:val="BodyText"/>
      </w:pPr>
      <w:r>
        <w:rPr>
          <w:b/>
          <w:bCs/>
        </w:rPr>
        <w:t xml:space="preserve">Contributions.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CU-MOBO</w:t>
      </w:r>
      <w:r>
        <w:t xml:space="preserve">, a calibrated-uncertainty MOBO method whose central idea is to use the oracle’s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as a Pareto objective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 heteroscedastic GP observation noise, the latter being (to our knowledge) an under-used lever for resisting oracle-gap in inverse design.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controlled synthetic benchmark</w:t>
      </w:r>
      <w:r>
        <w:t xml:space="preserve"> </w:t>
      </w:r>
      <w:r>
        <w:t xml:space="preserve">with hidden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 </w:t>
      </w:r>
      <w:r>
        <w:t xml:space="preserve">that makes oracle-gap</w:t>
      </w:r>
      <w:r>
        <w:t xml:space="preserve"> </w:t>
      </w:r>
      <w:r>
        <w:rPr>
          <w:i/>
          <w:iCs/>
        </w:rPr>
        <w:t xml:space="preserve">measurable and falsifiable</w:t>
      </w:r>
      <w:r>
        <w:t xml:space="preserve">, breaking the self-evaluation circularity that plagues the field, plus a clean</w:t>
      </w:r>
      <w:r>
        <w:t xml:space="preserve"> </w:t>
      </w:r>
      <w:r>
        <w:rPr>
          <w:b/>
          <w:bCs/>
        </w:rPr>
        <w:t xml:space="preserve">2×2 ablation</w:t>
      </w:r>
      <w:r>
        <w:t xml:space="preserve"> </w:t>
      </w:r>
      <w:r>
        <w:t xml:space="preserve">of the two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mechanisms.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real-label retrospective study</w:t>
      </w:r>
      <w:r>
        <w:t xml:space="preserve"> </w:t>
      </w:r>
      <w:r>
        <w:t xml:space="preserve">(kcat) that shows the mechanism’s benefit survives genuine experimental labels under a leakage-controlled hold-out, not only the synthetic construction.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calibration audit</w:t>
      </w:r>
      <w:r>
        <w:t xml:space="preserve"> </w:t>
      </w:r>
      <w:r>
        <w:t xml:space="preserve">of the very σ the method relies on — measured, not assumed — finding that on a real noisy oracle cheap RF σ is only weakly calibrated (and OOF-residual σ no better than tree variance), which delimits where the σ mechanisms are guaranteed to help and motivates the adaptive-reliability extension.</w:t>
      </w:r>
      <w:r>
        <w:t xml:space="preserve"> </w:t>
      </w:r>
      <w:r>
        <w:t xml:space="preserve">- Throughout, an</w:t>
      </w:r>
      <w:r>
        <w:t xml:space="preserve"> </w:t>
      </w:r>
      <w:r>
        <w:rPr>
          <w:b/>
          <w:bCs/>
        </w:rPr>
        <w:t xml:space="preserve">honest accounting</w:t>
      </w:r>
      <w:r>
        <w:t xml:space="preserve"> </w:t>
      </w:r>
      <w:r>
        <w:t xml:space="preserve">of what in-silico evidence can and cannot establish.</w:t>
      </w:r>
    </w:p>
    <w:p>
      <w:pPr>
        <w:pStyle w:val="BodyText"/>
      </w:pPr>
      <w:r>
        <w:t xml:space="preserve">We explicitly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a new optimizer</w:t>
      </w:r>
      <w:r>
        <w:t xml:space="preserve"> </w:t>
      </w:r>
      <w:r>
        <w:rPr>
          <w:i/>
          <w:iCs/>
        </w:rPr>
        <w:t xml:space="preserve">principle</w:t>
      </w:r>
      <w:r>
        <w:t xml:space="preserve">. The inner loop is Bayesian optimization, a strong and standard framework for expensive MOO. Our contribution is the</w:t>
      </w:r>
      <w:r>
        <w:t xml:space="preserve"> </w:t>
      </w:r>
      <w:r>
        <w:rPr>
          <w:i/>
          <w:iCs/>
        </w:rPr>
        <w:t xml:space="preserve">principled instantiation</w:t>
      </w:r>
      <w:r>
        <w:t xml:space="preserve"> </w:t>
      </w:r>
      <w:r>
        <w:t xml:space="preserve">of calibrated uncertainty within it for inverse design, together with the validation protocol.</w:t>
      </w:r>
    </w:p>
    <w:p>
      <w:r>
        <w:pict>
          <v:rect style="width:0;height:1.5pt" o:hralign="center" o:hrstd="t" o:hr="t"/>
        </w:pict>
      </w:r>
    </w:p>
    <w:bookmarkEnd w:id="10"/>
    <w:bookmarkStart w:id="11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rPr>
          <w:b/>
          <w:bCs/>
        </w:rPr>
        <w:t xml:space="preserve">Multi-objective BO.</w:t>
      </w:r>
      <w:r>
        <w:t xml:space="preserve"> </w:t>
      </w:r>
      <w:r>
        <w:t xml:space="preserve">qEHVI / qNEHVI (Daulton et al.) are the SOTA acquisition functions for expensive MOO; qParEGO is the standard random-scalarization baseline. These assume noiseless or homoscedastic observations and do not consume an externally-supplied calibrated</w:t>
      </w:r>
      <w:r>
        <w:t xml:space="preserve"> </w:t>
      </w:r>
      <w:r>
        <w:rPr>
          <w:rStyle w:val="VerbatimChar"/>
        </w:rPr>
        <w:t xml:space="preserve">σ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Uncertainty in BO.</w:t>
      </w:r>
      <w:r>
        <w:t xml:space="preserve"> </w:t>
      </w:r>
      <w:r>
        <w:t xml:space="preserve">Heteroscedastic GPs and input-dependent noise are classical, but in inverse design the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is almost always used (if at all) only inside an acquisition trade-off, not as the GP’s observation noise. We make the calibrated</w:t>
      </w:r>
      <w:r>
        <w:t xml:space="preserve"> </w:t>
      </w:r>
      <w:r>
        <w:rPr>
          <w:rStyle w:val="VerbatimChar"/>
        </w:rPr>
        <w:t xml:space="preserve">σ²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train_Yvar</w:t>
      </w:r>
      <w:r>
        <w:t xml:space="preserve"> </w:t>
      </w:r>
      <w:r>
        <w:t xml:space="preserve">of the activity GP.</w:t>
      </w:r>
    </w:p>
    <w:p>
      <w:pPr>
        <w:pStyle w:val="BodyText"/>
      </w:pPr>
      <w:r>
        <w:rPr>
          <w:b/>
          <w:bCs/>
        </w:rPr>
        <w:t xml:space="preserve">Oracle exploitation / reward hacking.</w:t>
      </w:r>
      <w:r>
        <w:t xml:space="preserve"> </w:t>
      </w:r>
      <w:r>
        <w:t xml:space="preserve">The PMO benchmark (Gao et al., NeurIPS 2022) and surrounding literature document that optimizing hard against a predictor produces high-score, low-truth molecules, and that retrospective rediscovery hit-rates on real data are very low.</w:t>
      </w:r>
      <w:r>
        <w:t xml:space="preserve"> </w:t>
      </w:r>
      <w:r>
        <w:rPr>
          <w:b/>
          <w:bCs/>
        </w:rPr>
        <w:t xml:space="preserve">Offline model-based optimization</w:t>
      </w:r>
      <w:r>
        <w:t xml:space="preserve"> </w:t>
      </w:r>
      <w:r>
        <w:t xml:space="preserve">formalizes exactly this: Design-Bench (Trabucco et al., ICML 2022) trains a proxy on a static dataset and scores found designs with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held-out oracle, and</w:t>
      </w:r>
      <w:r>
        <w:t xml:space="preserve"> </w:t>
      </w:r>
      <w:r>
        <w:rPr>
          <w:b/>
          <w:bCs/>
        </w:rPr>
        <w:t xml:space="preserve">Conservative Objective Models (COMs, Trabucco et al., ICML 2021)</w:t>
      </w:r>
      <w:r>
        <w:t xml:space="preserve"> </w:t>
      </w:r>
      <w:r>
        <w:t xml:space="preserve">show the canonical signature — naive gradient ascent</w:t>
      </w:r>
      <w:r>
        <w:t xml:space="preserve"> </w:t>
      </w:r>
      <w:r>
        <w:t xml:space="preserve">“fools”</w:t>
      </w:r>
      <w:r>
        <w:t xml:space="preserve"> </w:t>
      </w:r>
      <w:r>
        <w:t xml:space="preserve">the proxy off-manifold while true value falls. Our synthetic benchmark adopts this protocol’s grammar (hidden ground-truth oracle the optimizer never sees) and our E4 over-optimization curve (§5) is the COMs degradation diagnostic instantiated in a generative latent.</w:t>
      </w:r>
      <w:r>
        <w:t xml:space="preserve"> </w:t>
      </w:r>
      <w:r>
        <w:rPr>
          <w:b/>
          <w:bCs/>
        </w:rPr>
        <w:t xml:space="preserve">DyRAMO</w:t>
      </w:r>
      <w:r>
        <w:t xml:space="preserve"> </w:t>
      </w:r>
      <w:r>
        <w:t xml:space="preserve">(Inukai et al., Nat. Commun. 2025) attacks the same multi-objective reward-hacking problem with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lever — hard applicability-domain (max-Tanimoto-similarity) gating tuned by BO — where CU-MOBO instead uses a</w:t>
      </w:r>
      <w:r>
        <w:t xml:space="preserve"> </w:t>
      </w:r>
      <w:r>
        <w:rPr>
          <w:i/>
          <w:iCs/>
        </w:rPr>
        <w:t xml:space="preserve">soft, calibrated, heteroscedastic</w:t>
      </w:r>
      <w:r>
        <w:t xml:space="preserve"> </w:t>
      </w:r>
      <w:r>
        <w:t xml:space="preserve">σ (as objective, as GP noise, and in E2 as a one-sided reliability penalty); the two are complementary framings of</w:t>
      </w:r>
      <w:r>
        <w:t xml:space="preserve"> </w:t>
      </w:r>
      <w:r>
        <w:t xml:space="preserve">“distrust the oracle off its training manifold.”</w:t>
      </w:r>
      <w:r>
        <w:t xml:space="preserve"> </w:t>
      </w:r>
      <w:r>
        <w:t xml:space="preserve">Our contribution within this lineage is the use of</w:t>
      </w:r>
      <w:r>
        <w:t xml:space="preserve"> </w:t>
      </w:r>
      <w:r>
        <w:rPr>
          <w:i/>
          <w:iCs/>
        </w:rPr>
        <w:t xml:space="preserve">calibrated σ as GP observation noise</w:t>
      </w:r>
      <w:r>
        <w:t xml:space="preserve"> </w:t>
      </w:r>
      <w:r>
        <w:t xml:space="preserve">and the explicit</w:t>
      </w:r>
      <w:r>
        <w:t xml:space="preserve"> </w:t>
      </w:r>
      <w:r>
        <w:rPr>
          <w:i/>
          <w:iCs/>
        </w:rPr>
        <w:t xml:space="preserve">calibration audit</w:t>
      </w:r>
      <w:r>
        <w:t xml:space="preserve"> </w:t>
      </w:r>
      <w:r>
        <w:t xml:space="preserve">(§4.4) that the proxy-gap literature rarely reports.</w:t>
      </w:r>
    </w:p>
    <w:p>
      <w:pPr>
        <w:pStyle w:val="BodyText"/>
      </w:pPr>
      <w:r>
        <w:rPr>
          <w:b/>
          <w:bCs/>
        </w:rPr>
        <w:t xml:space="preserve">Metaheuristics.</w:t>
      </w:r>
      <w:r>
        <w:t xml:space="preserve"> </w:t>
      </w:r>
      <w:r>
        <w:t xml:space="preserve">We deliberately avoid</w:t>
      </w:r>
      <w:r>
        <w:t xml:space="preserve"> </w:t>
      </w:r>
      <w:r>
        <w:t xml:space="preserve">“animal-metaphor”</w:t>
      </w:r>
      <w:r>
        <w:t xml:space="preserve"> </w:t>
      </w:r>
      <w:r>
        <w:t xml:space="preserve">metaheuristics; the field (and reviewers) increasingly discount them. CU-MOBO is grounded in BO.</w:t>
      </w:r>
    </w:p>
    <w:p>
      <w:r>
        <w:pict>
          <v:rect style="width:0;height:1.5pt" o:hralign="center" o:hrstd="t" o:hr="t"/>
        </w:pict>
      </w:r>
    </w:p>
    <w:bookmarkEnd w:id="11"/>
    <w:bookmarkStart w:id="19" w:name="method-cu-mobo"/>
    <w:p>
      <w:pPr>
        <w:pStyle w:val="Heading2"/>
      </w:pPr>
      <w:r>
        <w:t xml:space="preserve">3. Method: CU-MOBO</w:t>
      </w:r>
    </w:p>
    <w:p>
      <w:pPr>
        <w:pStyle w:val="FirstParagraph"/>
      </w:pPr>
      <w:r>
        <w:drawing>
          <wp:inline>
            <wp:extent cx="5024612" cy="4507777"/>
            <wp:effectExtent b="0" l="0" r="0" t="0"/>
            <wp:docPr descr="Figure 1" title="" id="13" name="Picture"/>
            <a:graphic>
              <a:graphicData uri="http://schemas.openxmlformats.org/drawingml/2006/picture">
                <pic:pic>
                  <pic:nvPicPr>
                    <pic:cNvPr descr="../results/fig1_mai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612" cy="4507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1.</w:t>
      </w:r>
      <w:r>
        <w:t xml:space="preserve"> </w:t>
      </w:r>
      <w:r>
        <w:t xml:space="preserve">CU-MOBO at a glance.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oracle-gap</w:t>
      </w:r>
      <w:r>
        <w:t xml:space="preserve">: μ-greedy optimisation chases a spurious μ peak where the calibrated σ is large and the true activity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 </w:t>
      </w:r>
      <w:r>
        <w:t xml:space="preserve">is low (a trap / reward-hacking region), whereas reading σ steers to the trustworthy optimum (high μ,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σ, high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).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CU-MOBO turns the oracle’s calibrated σ into a first-class citizen through three mechanisms — σ as a Pareto objective, calibrated σ² as heteroscedastic GP observation noise (</w:t>
      </w:r>
      <w:r>
        <w:rPr>
          <w:rStyle w:val="VerbatimChar"/>
        </w:rPr>
        <w:t xml:space="preserve">train_Yvar</w:t>
      </w:r>
      <w:r>
        <w:t xml:space="preserve">), and risk-aware qNEHVI batch acquisition — yielding trustworthy designs.</w:t>
      </w:r>
    </w:p>
    <w:bookmarkStart w:id="15" w:name="problem-setting"/>
    <w:p>
      <w:pPr>
        <w:pStyle w:val="Heading3"/>
      </w:pPr>
      <w:r>
        <w:t xml:space="preserve">3.1 Problem setting</w:t>
      </w:r>
    </w:p>
    <w:p>
      <w:pPr>
        <w:pStyle w:val="FirstParagraph"/>
      </w:pPr>
      <w:r>
        <w:t xml:space="preserve">Search</w:t>
      </w:r>
      <w:r>
        <w:t xml:space="preserve"> </w:t>
      </w:r>
      <w:r>
        <w:rPr>
          <w:rStyle w:val="VerbatimChar"/>
        </w:rPr>
        <w:t xml:space="preserve">x ∈ X</w:t>
      </w:r>
      <w:r>
        <w:t xml:space="preserve"> </w:t>
      </w:r>
      <w:r>
        <w:t xml:space="preserve">(e.g. a generative-model latent</w:t>
      </w:r>
      <w:r>
        <w:t xml:space="preserve"> </w:t>
      </w:r>
      <w:r>
        <w:rPr>
          <w:rStyle w:val="VerbatimChar"/>
        </w:rPr>
        <w:t xml:space="preserve">z</w:t>
      </w:r>
      <w:r>
        <w:t xml:space="preserve">). Each query of an expensive, uncertain oracle returns predicted activity</w:t>
      </w:r>
      <w:r>
        <w:t xml:space="preserve"> </w:t>
      </w:r>
      <w:r>
        <w:rPr>
          <w:rStyle w:val="VerbatimChar"/>
        </w:rPr>
        <w:t xml:space="preserve">μ(x)</w:t>
      </w:r>
      <w:r>
        <w:t xml:space="preserve">, calibrated uncertainty</w:t>
      </w:r>
      <w:r>
        <w:t xml:space="preserve"> </w:t>
      </w:r>
      <w:r>
        <w:rPr>
          <w:rStyle w:val="VerbatimChar"/>
        </w:rPr>
        <w:t xml:space="preserve">σ(x)</w:t>
      </w:r>
      <w:r>
        <w:t xml:space="preserve">, deterministic objectives (QED, SA), and constraints (validity, Lipinski, PAINS, size). The quantity of interest is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activity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μ</w:t>
      </w:r>
      <w:r>
        <w:t xml:space="preserve">.</w:t>
      </w:r>
    </w:p>
    <w:bookmarkEnd w:id="15"/>
    <w:bookmarkStart w:id="16" w:name="failure-mode"/>
    <w:p>
      <w:pPr>
        <w:pStyle w:val="Heading3"/>
      </w:pPr>
      <w:r>
        <w:t xml:space="preserve">3.2 Failure mode</w:t>
      </w:r>
    </w:p>
    <w:p>
      <w:pPr>
        <w:pStyle w:val="FirstParagraph"/>
      </w:pPr>
      <w:r>
        <w:t xml:space="preserve">μ-greedy exploits regions where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is inflated but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 </w:t>
      </w:r>
      <w:r>
        <w:t xml:space="preserve">is low. By calibration,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is elevated there — the oracle warns about its own error — but μ-greedy ignores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and falls into the trap.</w:t>
      </w:r>
    </w:p>
    <w:bookmarkEnd w:id="16"/>
    <w:bookmarkStart w:id="17" w:name="three-mechanisms"/>
    <w:p>
      <w:pPr>
        <w:pStyle w:val="Heading3"/>
      </w:pPr>
      <w:r>
        <w:t xml:space="preserve">3.3 Three mechanisms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σ</w:t>
      </w:r>
      <w:r>
        <w:rPr>
          <w:b/>
          <w:bCs/>
        </w:rPr>
        <w:t xml:space="preserve"> </w:t>
      </w:r>
      <w:r>
        <w:rPr>
          <w:b/>
          <w:bCs/>
        </w:rPr>
        <w:t xml:space="preserve">as a first-class Pareto objective.</w:t>
      </w:r>
      <w:r>
        <w:t xml:space="preserve"> </w:t>
      </w:r>
      <w:r>
        <w:t xml:space="preserve">Optimize</w:t>
      </w:r>
      <w:r>
        <w:t xml:space="preserve"> </w:t>
      </w:r>
      <w:r>
        <w:rPr>
          <w:rStyle w:val="VerbatimChar"/>
        </w:rPr>
        <w:t xml:space="preserve">[μ↑, −σ↑, QED↑, −SA↑]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μ−λσ</w:t>
      </w:r>
      <w:r>
        <w:t xml:space="preserve"> </w:t>
      </w:r>
      <w:r>
        <w:t xml:space="preserve">scalarization becomes an</w:t>
      </w:r>
      <w:r>
        <w:t xml:space="preserve"> </w:t>
      </w:r>
      <w:r>
        <w:rPr>
          <w:i/>
          <w:iCs/>
        </w:rPr>
        <w:t xml:space="preserve">explicit front</w:t>
      </w:r>
      <w:r>
        <w:t xml:space="preserve">; risk preference is chosen</w:t>
      </w:r>
      <w:r>
        <w:t xml:space="preserve"> </w:t>
      </w:r>
      <w:r>
        <w:rPr>
          <w:i/>
          <w:iCs/>
        </w:rPr>
        <w:t xml:space="preserve">post hoc</w:t>
      </w:r>
      <w:r>
        <w:t xml:space="preserve"> </w:t>
      </w:r>
      <w:r>
        <w:t xml:space="preserve">on the front, with no</w:t>
      </w:r>
      <w:r>
        <w:t xml:space="preserve"> </w:t>
      </w:r>
      <w:r>
        <w:rPr>
          <w:rStyle w:val="VerbatimChar"/>
        </w:rPr>
        <w:t xml:space="preserve">λ</w:t>
      </w:r>
      <w:r>
        <w:t xml:space="preserve"> </w:t>
      </w:r>
      <w:r>
        <w:t xml:space="preserve">hyperparameter.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Calibrated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σ²</w:t>
      </w:r>
      <w:r>
        <w:rPr>
          <w:b/>
          <w:bCs/>
        </w:rPr>
        <w:t xml:space="preserve"> </w:t>
      </w:r>
      <w:r>
        <w:rPr>
          <w:b/>
          <w:bCs/>
        </w:rPr>
        <w:t xml:space="preserve">as heteroscedastic observation noise (core novelty).</w:t>
      </w:r>
      <w:r>
        <w:t xml:space="preserve"> </w:t>
      </w:r>
      <w:r>
        <w:t xml:space="preserve">The activity GP uses</w:t>
      </w:r>
      <w:r>
        <w:t xml:space="preserve"> </w:t>
      </w:r>
      <w:r>
        <w:rPr>
          <w:rStyle w:val="VerbatimChar"/>
        </w:rPr>
        <w:t xml:space="preserve">train_Yvar = σ²(x)</w:t>
      </w:r>
      <w:r>
        <w:t xml:space="preserve"> </w:t>
      </w:r>
      <w:r>
        <w:t xml:space="preserve">per observation. The posterior automatically down-weights high-</w:t>
      </w:r>
      <w:r>
        <w:rPr>
          <w:rStyle w:val="VerbatimChar"/>
        </w:rPr>
        <w:t xml:space="preserve">σ</w:t>
      </w:r>
      <w:r>
        <w:t xml:space="preserve"> </w:t>
      </w:r>
      <w:r>
        <w:t xml:space="preserve">(unreliable) observations and up-weights low-</w:t>
      </w:r>
      <w:r>
        <w:rPr>
          <w:rStyle w:val="VerbatimChar"/>
        </w:rPr>
        <w:t xml:space="preserve">σ</w:t>
      </w:r>
      <w:r>
        <w:t xml:space="preserve"> </w:t>
      </w:r>
      <w:r>
        <w:t xml:space="preserve">ones → the posterior mean is a</w:t>
      </w:r>
      <w:r>
        <w:t xml:space="preserve"> </w:t>
      </w:r>
      <w:r>
        <w:rPr>
          <w:i/>
          <w:iCs/>
        </w:rPr>
        <w:t xml:space="preserve">denoised</w:t>
      </w:r>
      <w:r>
        <w:t xml:space="preserve"> </w:t>
      </w:r>
      <w:r>
        <w:t xml:space="preserve">estimate of true activity → direct resistance to oracle-gap. Standard MOBO discards this calibration signal.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Risk-aware batch acquisition + constraints.</w:t>
      </w:r>
      <w:r>
        <w:t xml:space="preserve"> </w:t>
      </w:r>
      <w:r>
        <w:t xml:space="preserve">qNEHVI selects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points/round on the above objectives; constraints are handled by feasibility.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2×2 ablation</w:t>
      </w:r>
      <w:r>
        <w:t xml:space="preserve"> </w:t>
      </w:r>
      <w:r>
        <w:t xml:space="preserve">(σ-as-objective × σ-as-noise) isolates the contribution of mechanisms 1 and 2: naive(F,F) → σ-obj(T,F) → σ-noise(F,T) → CU-MOBO(T,T).</w:t>
      </w:r>
    </w:p>
    <w:bookmarkEnd w:id="17"/>
    <w:bookmarkStart w:id="18" w:name="implementation"/>
    <w:p>
      <w:pPr>
        <w:pStyle w:val="Heading3"/>
      </w:pPr>
      <w:r>
        <w:t xml:space="preserve">3.4 Implementation</w:t>
      </w:r>
    </w:p>
    <w:p>
      <w:pPr>
        <w:pStyle w:val="FirstParagraph"/>
      </w:pPr>
      <w:r>
        <w:t xml:space="preserve">BoTorch</w:t>
      </w:r>
      <w:r>
        <w:t xml:space="preserve"> </w:t>
      </w:r>
      <w:r>
        <w:rPr>
          <w:rStyle w:val="VerbatimChar"/>
        </w:rPr>
        <w:t xml:space="preserve">ModelListGP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SingleTaskGP</w:t>
      </w:r>
      <w:r>
        <w:t xml:space="preserve">s (input</w:t>
      </w:r>
      <w:r>
        <w:t xml:space="preserve"> </w:t>
      </w:r>
      <w:r>
        <w:rPr>
          <w:rStyle w:val="VerbatimChar"/>
        </w:rPr>
        <w:t xml:space="preserve">Normalize</w:t>
      </w:r>
      <w:r>
        <w:t xml:space="preserve">, outcome</w:t>
      </w:r>
      <w:r>
        <w:t xml:space="preserve"> </w:t>
      </w:r>
      <w:r>
        <w:rPr>
          <w:rStyle w:val="VerbatimChar"/>
        </w:rPr>
        <w:t xml:space="preserve">Standardize</w:t>
      </w:r>
      <w:r>
        <w:t xml:space="preserve">); the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model takes</w:t>
      </w:r>
      <w:r>
        <w:t xml:space="preserve"> </w:t>
      </w:r>
      <w:r>
        <w:rPr>
          <w:rStyle w:val="VerbatimChar"/>
        </w:rPr>
        <w:t xml:space="preserve">train_Yvar=σ²</w:t>
      </w:r>
      <w:r>
        <w:t xml:space="preserve">;</w:t>
      </w:r>
      <w:r>
        <w:t xml:space="preserve"> </w:t>
      </w:r>
      <w:r>
        <w:rPr>
          <w:rStyle w:val="VerbatimChar"/>
        </w:rPr>
        <w:t xml:space="preserve">qNoisyExpectedHypervolumeImprovement</w:t>
      </w:r>
      <w:r>
        <w:t xml:space="preserve"> </w:t>
      </w:r>
      <w:r>
        <w:t xml:space="preserve">with a Sobol QMC sampler;</w:t>
      </w:r>
      <w:r>
        <w:t xml:space="preserve"> </w:t>
      </w:r>
      <w:r>
        <w:rPr>
          <w:rStyle w:val="VerbatimChar"/>
        </w:rPr>
        <w:t xml:space="preserve">optimize_acqf</w:t>
      </w:r>
      <w:r>
        <w:t xml:space="preserve"> </w:t>
      </w:r>
      <w:r>
        <w:t xml:space="preserve">sequential q-batch. Budget is measured in</w:t>
      </w:r>
      <w:r>
        <w:t xml:space="preserve"> </w:t>
      </w:r>
      <w:r>
        <w:rPr>
          <w:b/>
          <w:bCs/>
        </w:rPr>
        <w:t xml:space="preserve">real oracle evaluations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algorithms/cu_mobo.py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44" w:name="experiments"/>
    <w:p>
      <w:pPr>
        <w:pStyle w:val="Heading2"/>
      </w:pPr>
      <w:r>
        <w:t xml:space="preserve">4. Experiments</w:t>
      </w:r>
    </w:p>
    <w:bookmarkStart w:id="23" w:name="X34649e156bb3c553392bf2dbd6107fd333ae64b"/>
    <w:p>
      <w:pPr>
        <w:pStyle w:val="Heading3"/>
      </w:pPr>
      <w:r>
        <w:t xml:space="preserve">4.1 Controlled synthetic oracle-gap benchmark (mechanism, with hidden ground truth)</w:t>
      </w:r>
    </w:p>
    <w:p>
      <w:pPr>
        <w:pStyle w:val="FirstParagraph"/>
      </w:pPr>
      <w:r>
        <w:rPr>
          <w:b/>
          <w:bCs/>
        </w:rPr>
        <w:t xml:space="preserve">Setup.</w:t>
      </w:r>
      <w:r>
        <w:t xml:space="preserve"> </w:t>
      </w:r>
      <w:r>
        <w:rPr>
          <w:rStyle w:val="VerbatimChar"/>
        </w:rPr>
        <w:t xml:space="preserve">problems/uncertain_oracle.py</w:t>
      </w:r>
      <w:r>
        <w:t xml:space="preserve">: a known</w:t>
      </w:r>
      <w:r>
        <w:t xml:space="preserve"> </w:t>
      </w:r>
      <w:r>
        <w:rPr>
          <w:rStyle w:val="VerbatimChar"/>
        </w:rPr>
        <w:t xml:space="preserve">a_true(x)</w:t>
      </w:r>
      <w:r>
        <w:t xml:space="preserve"> </w:t>
      </w:r>
      <w:r>
        <w:t xml:space="preserve">the optimizer never sees; the oracle returns</w:t>
      </w:r>
      <w:r>
        <w:t xml:space="preserve"> </w:t>
      </w:r>
      <w:r>
        <w:rPr>
          <w:rStyle w:val="VerbatimChar"/>
        </w:rPr>
        <w:t xml:space="preserve">μ = a_true + trap(x)</w:t>
      </w:r>
      <w:r>
        <w:t xml:space="preserve"> </w:t>
      </w:r>
      <w:r>
        <w:t xml:space="preserve">and a</w:t>
      </w:r>
      <w:r>
        <w:t xml:space="preserve"> </w:t>
      </w:r>
      <w:r>
        <w:rPr>
          <w:i/>
          <w:iCs/>
        </w:rPr>
        <w:t xml:space="preserve">calibrated</w:t>
      </w:r>
      <w:r>
        <w:t xml:space="preserve"> </w:t>
      </w:r>
      <w:r>
        <w:rPr>
          <w:rStyle w:val="VerbatimChar"/>
        </w:rPr>
        <w:t xml:space="preserve">σ = σ0 + γ·trap(x)</w:t>
      </w:r>
      <w:r>
        <w:t xml:space="preserve">. A reliable optimum</w:t>
      </w:r>
      <w:r>
        <w:t xml:space="preserve"> </w:t>
      </w:r>
      <w:r>
        <w:rPr>
          <w:rStyle w:val="VerbatimChar"/>
        </w:rPr>
        <w:t xml:space="preserve">r*</w:t>
      </w:r>
      <w:r>
        <w:t xml:space="preserve"> </w:t>
      </w:r>
      <w:r>
        <w:t xml:space="preserve">(high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) and a trap</w:t>
      </w:r>
      <w:r>
        <w:t xml:space="preserve"> </w:t>
      </w:r>
      <w:r>
        <w:rPr>
          <w:rStyle w:val="VerbatimChar"/>
        </w:rPr>
        <w:t xml:space="preserve">t*</w:t>
      </w:r>
      <w:r>
        <w:t xml:space="preserve"> </w:t>
      </w:r>
      <w:r>
        <w:t xml:space="preserve">(inflated</w:t>
      </w:r>
      <w:r>
        <w:t xml:space="preserve"> </w:t>
      </w:r>
      <w:r>
        <w:rPr>
          <w:rStyle w:val="VerbatimChar"/>
        </w:rPr>
        <w:t xml:space="preserve">μ</w:t>
      </w:r>
      <w:r>
        <w:t xml:space="preserve">, low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) are placed symmetrically so QED/SA are identical at both —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discriminator is whether a method trusts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blindly or reads</w:t>
      </w:r>
      <w:r>
        <w:t xml:space="preserve"> </w:t>
      </w:r>
      <w:r>
        <w:rPr>
          <w:rStyle w:val="VerbatimChar"/>
        </w:rPr>
        <w:t xml:space="preserve">σ</w:t>
      </w:r>
      <w:r>
        <w:t xml:space="preserve">. Methods: naive / σ-obj / σ-noise / CU-MOBO (2×2 ablation) + qParEGO + NSGA-II. Budget 80 oracle evals, n_init 20, batch 10,</w:t>
      </w:r>
      <w:r>
        <w:t xml:space="preserve"> </w:t>
      </w:r>
      <w:r>
        <w:rPr>
          <w:b/>
          <w:bCs/>
        </w:rPr>
        <w:t xml:space="preserve">5 seeds</w:t>
      </w:r>
      <w:r>
        <w:t xml:space="preserve">. Metrics on the recommended front, computed with the hidden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: top-K true activity↑, oracle-gap</w:t>
      </w:r>
      <w:r>
        <w:t xml:space="preserve"> </w:t>
      </w:r>
      <w:r>
        <w:rPr>
          <w:rStyle w:val="VerbatimChar"/>
        </w:rPr>
        <w:t xml:space="preserve">|μ−a_true|</w:t>
      </w:r>
      <w:r>
        <w:t xml:space="preserve">↓, trap fraction↓.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rPr>
          <w:i/>
          <w:iCs/>
        </w:rPr>
        <w:t xml:space="preserve">(from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results/oracle_gap_summary.csv</w:t>
      </w:r>
      <w:r>
        <w:rPr>
          <w:i/>
          <w:iCs/>
        </w:rPr>
        <w:t xml:space="preserve">, 5 seeds, budget 80, mean ± 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top-K true activity ↑</w:t>
            </w:r>
          </w:p>
        </w:tc>
        <w:tc>
          <w:tcPr/>
          <w:p>
            <w:pPr>
              <w:pStyle w:val="Compact"/>
            </w:pPr>
            <w:r>
              <w:t xml:space="preserve">oracle-gap ↓</w:t>
            </w:r>
          </w:p>
        </w:tc>
        <w:tc>
          <w:tcPr/>
          <w:p>
            <w:pPr>
              <w:pStyle w:val="Compact"/>
            </w:pPr>
            <w:r>
              <w:t xml:space="preserve">trap frac ↓</w:t>
            </w:r>
          </w:p>
        </w:tc>
        <w:tc>
          <w:tcPr/>
          <w:p>
            <w:pPr>
              <w:pStyle w:val="Compact"/>
            </w:pPr>
            <w:r>
              <w:t xml:space="preserve">PMO-AUC 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(= qNEHVI on μ)</w:t>
            </w:r>
          </w:p>
        </w:tc>
        <w:tc>
          <w:tcPr/>
          <w:p>
            <w:pPr>
              <w:pStyle w:val="Compact"/>
            </w:pPr>
            <w:r>
              <w:t xml:space="preserve">0.284 ± 0.362</w:t>
            </w:r>
          </w:p>
        </w:tc>
        <w:tc>
          <w:tcPr/>
          <w:p>
            <w:pPr>
              <w:pStyle w:val="Compact"/>
            </w:pPr>
            <w:r>
              <w:t xml:space="preserve">0.264</w:t>
            </w:r>
          </w:p>
        </w:tc>
        <w:tc>
          <w:tcPr/>
          <w:p>
            <w:pPr>
              <w:pStyle w:val="Compact"/>
            </w:pPr>
            <w:r>
              <w:t xml:space="preserve">0.329</w:t>
            </w:r>
          </w:p>
        </w:tc>
        <w:tc>
          <w:tcPr/>
          <w:p>
            <w:pPr>
              <w:pStyle w:val="Compact"/>
            </w:pPr>
            <w:r>
              <w:t xml:space="preserve">0.327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σ-objective only</w:t>
            </w:r>
          </w:p>
        </w:tc>
        <w:tc>
          <w:tcPr/>
          <w:p>
            <w:pPr>
              <w:pStyle w:val="Compact"/>
            </w:pPr>
            <w:r>
              <w:t xml:space="preserve">0.715 ± 0.256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σ-noise only</w:t>
            </w:r>
          </w:p>
        </w:tc>
        <w:tc>
          <w:tcPr/>
          <w:p>
            <w:pPr>
              <w:pStyle w:val="Compact"/>
            </w:pPr>
            <w:r>
              <w:t xml:space="preserve">0.791 ± 0.120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0.506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CU-MOBO (both)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0.835 ± 0.104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qParEGO</w:t>
            </w:r>
          </w:p>
        </w:tc>
        <w:tc>
          <w:tcPr/>
          <w:p>
            <w:pPr>
              <w:pStyle w:val="Compact"/>
            </w:pPr>
            <w:r>
              <w:t xml:space="preserve">0.175 ± 0.277</w:t>
            </w:r>
          </w:p>
        </w:tc>
        <w:tc>
          <w:tcPr/>
          <w:p>
            <w:pPr>
              <w:pStyle w:val="Compact"/>
            </w:pPr>
            <w:r>
              <w:t xml:space="preserve">0.462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NSGA-II</w:t>
            </w:r>
          </w:p>
        </w:tc>
        <w:tc>
          <w:tcPr/>
          <w:p>
            <w:pPr>
              <w:pStyle w:val="Compact"/>
            </w:pPr>
            <w:r>
              <w:t xml:space="preserve">0.276 ± 0.131</w:t>
            </w:r>
          </w:p>
        </w:tc>
        <w:tc>
          <w:tcPr/>
          <w:p>
            <w:pPr>
              <w:pStyle w:val="Compact"/>
            </w:pPr>
            <w:r>
              <w:t xml:space="preserve">0.166</w:t>
            </w:r>
          </w:p>
        </w:tc>
        <w:tc>
          <w:tcPr/>
          <w:p>
            <w:pPr>
              <w:pStyle w:val="Compact"/>
            </w:pPr>
            <w:r>
              <w:t xml:space="preserve">0.242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CU-MOBO recovers designs with</w:t>
      </w:r>
      <w:r>
        <w:t xml:space="preserve"> </w:t>
      </w:r>
      <w:r>
        <w:rPr>
          <w:b/>
          <w:bCs/>
        </w:rPr>
        <w:t xml:space="preserve">2.9× higher true activity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13× smaller oracle-gap</w:t>
      </w:r>
      <w:r>
        <w:t xml:space="preserve"> </w:t>
      </w:r>
      <w:r>
        <w:t xml:space="preserve">than μ-greedy, landing in the trap region only</w:t>
      </w:r>
      <w:r>
        <w:t xml:space="preserve"> </w:t>
      </w:r>
      <w:r>
        <w:rPr>
          <w:b/>
          <w:bCs/>
        </w:rPr>
        <w:t xml:space="preserve">0.7 % vs 32.9 %</w:t>
      </w:r>
      <w:r>
        <w:t xml:space="preserve"> </w:t>
      </w:r>
      <w:r>
        <w:t xml:space="preserve">of the time (≈47× fewer). The</w:t>
      </w:r>
      <w:r>
        <w:t xml:space="preserve"> </w:t>
      </w:r>
      <w:r>
        <w:rPr>
          <w:b/>
          <w:bCs/>
        </w:rPr>
        <w:t xml:space="preserve">2×2 ablation is monotone</w:t>
      </w:r>
      <w:r>
        <w:t xml:space="preserve"> </w:t>
      </w:r>
      <w:r>
        <w:t xml:space="preserve">— naive (0.284) → σ-objective (0.715) → σ-noise (0.791) → CU-MOBO (0.835) — so each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mechanism contributes and the two are complementary (Fig. 2), and CU-MOBO has the</w:t>
      </w:r>
      <w:r>
        <w:t xml:space="preserve"> </w:t>
      </w:r>
      <w:r>
        <w:rPr>
          <w:b/>
          <w:bCs/>
        </w:rPr>
        <w:t xml:space="preserve">smallest cross-seed variance</w:t>
      </w:r>
      <w:r>
        <w:t xml:space="preserve"> </w:t>
      </w:r>
      <w:r>
        <w:t xml:space="preserve">among the strong methods (±0.104 vs naive ±0.362, qParEGO ±0.277).</w:t>
      </w:r>
      <w:r>
        <w:t xml:space="preserve"> </w:t>
      </w:r>
      <w:r>
        <w:rPr>
          <w:b/>
          <w:bCs/>
        </w:rPr>
        <w:t xml:space="preserve">Effect sizes (Cliff’s δ, 5 seeds)</w:t>
      </w:r>
      <w:r>
        <w:t xml:space="preserve"> </w:t>
      </w:r>
      <w:r>
        <w:t xml:space="preserve">sharpen this: CU-MOBO over the</w:t>
      </w:r>
      <w:r>
        <w:t xml:space="preserve"> </w:t>
      </w:r>
      <w:r>
        <w:rPr>
          <w:i/>
          <w:iCs/>
        </w:rPr>
        <w:t xml:space="preserve">no-σ</w:t>
      </w:r>
      <w:r>
        <w:t xml:space="preserve"> </w:t>
      </w:r>
      <w:r>
        <w:t xml:space="preserve">baselines is 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effect (δ_true = +0.84 vs naive, +0.92 vs qParEGO, +1.0 vs NSGA-II; δ_gap ≤ −0.92), while over the</w:t>
      </w:r>
      <w:r>
        <w:t xml:space="preserve"> </w:t>
      </w:r>
      <w:r>
        <w:rPr>
          <w:i/>
          <w:iCs/>
        </w:rPr>
        <w:t xml:space="preserve">single-σ</w:t>
      </w:r>
      <w:r>
        <w:t xml:space="preserve"> </w:t>
      </w:r>
      <w:r>
        <w:t xml:space="preserve">ablations it is</w:t>
      </w:r>
      <w:r>
        <w:t xml:space="preserve"> </w:t>
      </w:r>
      <w:r>
        <w:rPr>
          <w:b/>
          <w:bCs/>
        </w:rPr>
        <w:t xml:space="preserve">small-to-medium</w:t>
      </w:r>
      <w:r>
        <w:t xml:space="preserve"> </w:t>
      </w:r>
      <w:r>
        <w:t xml:space="preserve">(δ_true ≈ +0.20 vs both σ-obj and σ-noise; δ_gap = −0.76 vs σ-noise) — i.e. </w:t>
      </w:r>
      <w:r>
        <w:rPr>
          <w:i/>
          <w:iCs/>
        </w:rPr>
        <w:t xml:space="preserve">either</w:t>
      </w:r>
      <w:r>
        <w:t xml:space="preserve"> </w:t>
      </w:r>
      <w:r>
        <w:t xml:space="preserve">σ mechanism alone already captures most of the benefit, and combining them adds a smaller, gap-focused increment. Two framing points: the</w:t>
      </w:r>
      <w:r>
        <w:t xml:space="preserve"> </w:t>
      </w:r>
      <w:r>
        <w:rPr>
          <w:rStyle w:val="VerbatimChar"/>
        </w:rPr>
        <w:t xml:space="preserve">naive</w:t>
      </w:r>
      <w:r>
        <w:t xml:space="preserve"> </w:t>
      </w:r>
      <w:r>
        <w:t xml:space="preserve">cell</w:t>
      </w:r>
      <w:r>
        <w:t xml:space="preserve"> </w:t>
      </w:r>
      <w:r>
        <w:rPr>
          <w:b/>
          <w:bCs/>
        </w:rPr>
        <w:t xml:space="preserve">is qNEHVI-on-μ</w:t>
      </w:r>
      <w:r>
        <w:t xml:space="preserve"> </w:t>
      </w:r>
      <w:r>
        <w:t xml:space="preserve">(CU-MOBO’s own noisy-EHVI acquisition with both σ levers off, homoscedastic) — i.e. the SOTA acquisition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our calibrated-σ mechanisms; and</w:t>
      </w:r>
      <w:r>
        <w:t xml:space="preserve"> </w:t>
      </w:r>
      <w:r>
        <w:rPr>
          <w:b/>
          <w:bCs/>
        </w:rPr>
        <w:t xml:space="preserve">qParEGO — the strong random-scalarization MOBO baseline that ignores σ — is among the worst (0.175)</w:t>
      </w:r>
      <w:r>
        <w:t xml:space="preserve">. The headline holds across 5 seeds: the calibrated-σ mechanisms, not the MOBO machinery per se, are what resist oracle exploitation.</w:t>
      </w:r>
      <w:r>
        <w:t xml:space="preserve"> </w:t>
      </w:r>
      <w:r>
        <w:rPr>
          <w:i/>
          <w:iCs/>
        </w:rPr>
        <w:t xml:space="preserve">(These multipliers are deliberately more modest than a 3-seed run reports — μ-greedy’s high cross-seed variance means small-seed estimates overstate the gap; we report the 5-seed numbers as the robust ones.)</w:t>
      </w:r>
    </w:p>
    <w:p>
      <w:pPr>
        <w:pStyle w:val="BodyText"/>
      </w:pPr>
      <w:r>
        <w:drawing>
          <wp:inline>
            <wp:extent cx="5334000" cy="2036618"/>
            <wp:effectExtent b="0" l="0" r="0" t="0"/>
            <wp:docPr descr="Figure 2" title="" id="21" name="Picture"/>
            <a:graphic>
              <a:graphicData uri="http://schemas.openxmlformats.org/drawingml/2006/picture">
                <pic:pic>
                  <pic:nvPicPr>
                    <pic:cNvPr descr="../results/oracle_g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2.</w:t>
      </w:r>
      <w:r>
        <w:t xml:space="preserve"> </w:t>
      </w:r>
      <w:r>
        <w:t xml:space="preserve">Controlled synthetic oracle-gap benchmark (5 seeds, hidden ground truth).</w:t>
      </w:r>
      <w:r>
        <w:t xml:space="preserve"> </w:t>
      </w:r>
      <w:r>
        <w:rPr>
          <w:i/>
          <w:iCs/>
        </w:rPr>
        <w:t xml:space="preserve">Left:</w:t>
      </w:r>
      <w:r>
        <w:t xml:space="preserve"> </w:t>
      </w:r>
      <w:r>
        <w:t xml:space="preserve">true activity of the top-K recommended designs (↑) — CU-MOBO and its σ-ablations dominate the no-σ baselines (naive, qParEGO, NSGA-II).</w:t>
      </w:r>
      <w:r>
        <w:t xml:space="preserve"> </w:t>
      </w:r>
      <w:r>
        <w:rPr>
          <w:i/>
          <w:iCs/>
        </w:rPr>
        <w:t xml:space="preserve">Right:</w:t>
      </w:r>
      <w:r>
        <w:t xml:space="preserve"> </w:t>
      </w:r>
      <w:r>
        <w:t xml:space="preserve">front oracle-gap |μ−</w:t>
      </w:r>
      <w:r>
        <w:rPr>
          <w:rStyle w:val="VerbatimChar"/>
        </w:rPr>
        <w:t xml:space="preserve">a_true</w:t>
      </w:r>
      <w:r>
        <w:t xml:space="preserve">| (↓). The 2×2 ablation is monotone: each σ mechanism helps and the two are complementary.</w:t>
      </w:r>
    </w:p>
    <w:bookmarkEnd w:id="23"/>
    <w:bookmarkStart w:id="27" w:name="pmo-sample-efficiency"/>
    <w:p>
      <w:pPr>
        <w:pStyle w:val="Heading3"/>
      </w:pPr>
      <w:r>
        <w:t xml:space="preserve">4.2 PMO sample efficiency</w:t>
      </w:r>
    </w:p>
    <w:p>
      <w:pPr>
        <w:pStyle w:val="FirstParagraph"/>
      </w:pPr>
      <w:r>
        <w:t xml:space="preserve">Top-K (by</w:t>
      </w:r>
      <w:r>
        <w:t xml:space="preserve"> </w:t>
      </w:r>
      <w:r>
        <w:rPr>
          <w:rStyle w:val="VerbatimChar"/>
        </w:rPr>
        <w:t xml:space="preserve">μ</w:t>
      </w:r>
      <w:r>
        <w:t xml:space="preserve">) true activity vs real-evaluation budget; area-under-curve (AUC, normalized) summarizes how quickly each method reaches high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activity. CU-MOBO has the</w:t>
      </w:r>
      <w:r>
        <w:t xml:space="preserve"> </w:t>
      </w:r>
      <w:r>
        <w:rPr>
          <w:b/>
          <w:bCs/>
        </w:rPr>
        <w:t xml:space="preserve">highest PMO-AUC (0.555)</w:t>
      </w:r>
      <w:r>
        <w:t xml:space="preserve">, ahead of σ-noise (0.506), σ-objective (0.444), naive (0.327), and far ahead of qParEGO (0.194) — the μ-only baseline spends its budget chasing oracle-gap regions (Fig. 3). I.e. CU-MOBO reaches high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activity</w:t>
      </w:r>
      <w:r>
        <w:t xml:space="preserve"> </w:t>
      </w:r>
      <w:r>
        <w:rPr>
          <w:i/>
          <w:iCs/>
        </w:rPr>
        <w:t xml:space="preserve">sooner</w:t>
      </w:r>
      <w:r>
        <w:t xml:space="preserve"> </w:t>
      </w:r>
      <w:r>
        <w:t xml:space="preserve">per expensive oracle call, the quantity PMO cares about.</w:t>
      </w:r>
    </w:p>
    <w:p>
      <w:pPr>
        <w:pStyle w:val="BodyText"/>
      </w:pPr>
      <w:r>
        <w:drawing>
          <wp:inline>
            <wp:extent cx="5334000" cy="3451411"/>
            <wp:effectExtent b="0" l="0" r="0" t="0"/>
            <wp:docPr descr="Figure 3" title="" id="25" name="Picture"/>
            <a:graphic>
              <a:graphicData uri="http://schemas.openxmlformats.org/drawingml/2006/picture">
                <pic:pic>
                  <pic:nvPicPr>
                    <pic:cNvPr descr="../results/oracle_gap_convergenc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3.</w:t>
      </w:r>
      <w:r>
        <w:t xml:space="preserve"> </w:t>
      </w:r>
      <w:r>
        <w:t xml:space="preserve">PMO sample efficiency: true activity of the top-K (by μ) designs vs real-evaluation budget (mean ± sd, 5 seeds). CU-MOBO reaches high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activity soonest per expensive oracle call; the μ-only baselines (naive, qParEGO) plateau low because they spend budget in oracle-gap regions.</w:t>
      </w:r>
    </w:p>
    <w:bookmarkEnd w:id="27"/>
    <w:bookmarkStart w:id="31" w:name="Xb1be98ba8c58b22a965c2058cabafc70102b91d"/>
    <w:p>
      <w:pPr>
        <w:pStyle w:val="Heading3"/>
      </w:pPr>
      <w:r>
        <w:t xml:space="preserve">4.3 Retrospective enrichment on real kcat labels (real-label evidence)</w:t>
      </w:r>
    </w:p>
    <w:p>
      <w:pPr>
        <w:pStyle w:val="FirstParagraph"/>
      </w:pPr>
      <w:r>
        <w:rPr>
          <w:b/>
          <w:bCs/>
        </w:rPr>
        <w:t xml:space="preserve">Setup.</w:t>
      </w:r>
      <w:r>
        <w:t xml:space="preserve"> </w:t>
      </w:r>
      <w:r>
        <w:rPr>
          <w:rStyle w:val="VerbatimChar"/>
        </w:rPr>
        <w:t xml:space="preserve">benchmark/run_retrospective_kcat.py</w:t>
      </w:r>
      <w:r>
        <w:t xml:space="preserve">. Judge =</w:t>
      </w:r>
      <w:r>
        <w:t xml:space="preserve"> </w:t>
      </w:r>
      <w:r>
        <w:rPr>
          <w:b/>
          <w:bCs/>
        </w:rPr>
        <w:t xml:space="preserve">real experimental kcat labels</w:t>
      </w:r>
      <w:r>
        <w:t xml:space="preserve"> </w:t>
      </w:r>
      <w:r>
        <w:t xml:space="preserve">(</w:t>
      </w:r>
      <w:r>
        <w:rPr>
          <w:rStyle w:val="VerbatimChar"/>
        </w:rPr>
        <w:t xml:space="preserve">unified_train_mixed_phys.csv</w:t>
      </w:r>
      <w:r>
        <w:t xml:space="preserve">, 4.3k unique substrates after canonicalization; high = ≥p75, low = ≤p25). A held-out HIGH/LOW set is excluded from surrogate training (leakage-controlled). CU-MOBO optimizes the leakage-controlled real-label surrogate in the kcat-substrate VAE latent space; a random VAE-sampling baseline matches count. Metric: recovery@τ = fraction of held-out HIGH substrates with a generated molecule at Tanimoto ≥ τ; enrichment = recovery_CU / recovery_random; specificity = recovery(HIGH)/recovery(LOW). 3 seeds.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rPr>
          <w:i/>
          <w:iCs/>
        </w:rPr>
        <w:t xml:space="preserve">(from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results/retrospective_kcat_summary.csv</w:t>
      </w:r>
      <w:r>
        <w:rPr>
          <w:i/>
          <w:iCs/>
        </w:rPr>
        <w:t xml:space="preserve">, 3 seeds, mean ± sd)</w:t>
      </w:r>
    </w:p>
    <w:p>
      <w:pPr>
        <w:pStyle w:val="Compact"/>
        <w:numPr>
          <w:ilvl w:val="0"/>
          <w:numId w:val="1003"/>
        </w:numPr>
      </w:pPr>
      <w:r>
        <w:t xml:space="preserve">recovery@0.4 (HIGH): CU</w:t>
      </w:r>
      <w:r>
        <w:t xml:space="preserve"> </w:t>
      </w:r>
      <w:r>
        <w:rPr>
          <w:b/>
          <w:bCs/>
        </w:rPr>
        <w:t xml:space="preserve">0.406 ± 0.052</w:t>
      </w:r>
      <w:r>
        <w:t xml:space="preserve"> </w:t>
      </w:r>
      <w:r>
        <w:t xml:space="preserve">vs random</w:t>
      </w:r>
      <w:r>
        <w:t xml:space="preserve"> </w:t>
      </w:r>
      <w:r>
        <w:rPr>
          <w:b/>
          <w:bCs/>
        </w:rPr>
        <w:t xml:space="preserve">0.322 ± 0.034</w:t>
      </w:r>
      <w:r>
        <w:t xml:space="preserve"> </w:t>
      </w:r>
      <w:r>
        <w:t xml:space="preserve">→ enrichment</w:t>
      </w:r>
      <w:r>
        <w:t xml:space="preserve"> </w:t>
      </w:r>
      <w:r>
        <w:rPr>
          <w:b/>
          <w:bCs/>
        </w:rPr>
        <w:t xml:space="preserve">1.26 ± 0.11×</w:t>
      </w:r>
      <w:r>
        <w:t xml:space="preserve"> </w:t>
      </w:r>
      <w:r>
        <w:t xml:space="preserve">(all 3 seeds &gt; 1; 4,306 unique substrates, 60 held-out HIGH/LOW each)</w:t>
      </w:r>
    </w:p>
    <w:p>
      <w:pPr>
        <w:pStyle w:val="Compact"/>
        <w:numPr>
          <w:ilvl w:val="0"/>
          <w:numId w:val="1003"/>
        </w:numPr>
      </w:pPr>
      <w:r>
        <w:t xml:space="preserve">specificity (HIGH/LOW):</w:t>
      </w:r>
      <w:r>
        <w:t xml:space="preserve"> </w:t>
      </w:r>
      <w:r>
        <w:rPr>
          <w:b/>
          <w:bCs/>
        </w:rPr>
        <w:t xml:space="preserve">1.74 ± 0.31×</w:t>
      </w:r>
      <w:r>
        <w:t xml:space="preserve"> </w:t>
      </w:r>
      <w:r>
        <w:t xml:space="preserve">(CU-guided generation resembles held-out</w:t>
      </w:r>
      <w:r>
        <w:t xml:space="preserve"> </w:t>
      </w:r>
      <w:r>
        <w:rPr>
          <w:i/>
          <w:iCs/>
        </w:rPr>
        <w:t xml:space="preserve">high</w:t>
      </w:r>
      <w:r>
        <w:t xml:space="preserve">-kcat substrates ~1.7× more than</w:t>
      </w:r>
      <w:r>
        <w:t xml:space="preserve"> </w:t>
      </w:r>
      <w:r>
        <w:rPr>
          <w:i/>
          <w:iCs/>
        </w:rPr>
        <w:t xml:space="preserve">low</w:t>
      </w:r>
      <w:r>
        <w:t xml:space="preserve">-kcat ones)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near-neighbour-removal control:</w:t>
      </w:r>
      <w:r>
        <w:t xml:space="preserve"> </w:t>
      </w:r>
      <w:r>
        <w:t xml:space="preserve">additionally deleting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Tc≥0.6 analogues of the held-out actives from the surrogate’s training set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eliminate the generative enrichment — it remains</w:t>
      </w:r>
      <w:r>
        <w:t xml:space="preserve"> </w:t>
      </w:r>
      <w:r>
        <w:rPr>
          <w:b/>
          <w:bCs/>
        </w:rPr>
        <w:t xml:space="preserve">1.66 ± 0.30×</w:t>
      </w:r>
      <w:r>
        <w:t xml:space="preserve"> </w:t>
      </w:r>
      <w:r>
        <w:t xml:space="preserve">(specificity 2.17×), statistically consistent with (if anything higher than) the leakage-only number. The recovery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artifact of the surrogate having seen near-neighbours of the held-out actives (</w:t>
      </w:r>
      <w:r>
        <w:rPr>
          <w:rStyle w:val="VerbatimChar"/>
        </w:rPr>
        <w:t xml:space="preserve">run_retrospective_kcat.py --nn-remove 0.6</w:t>
      </w:r>
      <w:r>
        <w:t xml:space="preserve">).</w:t>
      </w:r>
    </w:p>
    <w:p>
      <w:pPr>
        <w:pStyle w:val="FirstParagraph"/>
      </w:pPr>
      <w:r>
        <w:t xml:space="preserve">The effect is modest but</w:t>
      </w:r>
      <w:r>
        <w:t xml:space="preserve"> </w:t>
      </w:r>
      <w:r>
        <w:rPr>
          <w:b/>
          <w:bCs/>
        </w:rPr>
        <w:t xml:space="preserve">consistent across seeds and uses genuine experimental labels</w:t>
      </w:r>
      <w:r>
        <w:t xml:space="preserve"> </w:t>
      </w:r>
      <w:r>
        <w:t xml:space="preserve">with a leakage-controlled hold-out — consistent with the literature consensus that retrospective rediscovery on real data is hard. We report this as supporting real-label evidence, not as a strong efficacy claim — and we now stress-test it directly.</w:t>
      </w:r>
    </w:p>
    <w:p>
      <w:pPr>
        <w:pStyle w:val="BodyText"/>
      </w:pPr>
      <w:r>
        <w:rPr>
          <w:b/>
          <w:bCs/>
        </w:rPr>
        <w:t xml:space="preserve">Hardened surrogate-screening enrichment (rigorous companion).</w:t>
      </w:r>
      <w:r>
        <w:t xml:space="preserve"> </w:t>
      </w:r>
      <w:r>
        <w:t xml:space="preserve">The recovery@0.4 metric and random hold-out above are lenient (random molecule pairs sit at Tanimoto ≈ 0.1–0.2, and random splits leave analogues of held-out actives in training). We therefore add a standard virtual-screening analysis of the</w:t>
      </w:r>
      <w:r>
        <w:t xml:space="preserve"> </w:t>
      </w:r>
      <w:r>
        <w:rPr>
          <w:i/>
          <w:iCs/>
        </w:rPr>
        <w:t xml:space="preserve">leakage-controlled surrogate itself</w:t>
      </w:r>
      <w:r>
        <w:t xml:space="preserve">: rank a held-out pool (60 true-high-kcat actives among 540 background decoys, none in training) by predicted μ, reporting Enrichment Factor, BEDROC(α=80.5) and ROC-AUC under both random and</w:t>
      </w:r>
      <w:r>
        <w:t xml:space="preserve"> </w:t>
      </w:r>
      <w:r>
        <w:rPr>
          <w:b/>
          <w:bCs/>
        </w:rPr>
        <w:t xml:space="preserve">Bemis–Murcko scaffold</w:t>
      </w:r>
      <w:r>
        <w:t xml:space="preserve"> </w:t>
      </w:r>
      <w:r>
        <w:t xml:space="preserve">splits, against a</w:t>
      </w:r>
      <w:r>
        <w:t xml:space="preserve"> </w:t>
      </w:r>
      <w:r>
        <w:rPr>
          <w:b/>
          <w:bCs/>
        </w:rPr>
        <w:t xml:space="preserve">1-NN Tanimoto memorization baseline</w:t>
      </w:r>
      <w:r>
        <w:t xml:space="preserve">, with bootstrap 95 % CIs over 5 seeds (</w:t>
      </w:r>
      <w:r>
        <w:rPr>
          <w:rStyle w:val="VerbatimChar"/>
        </w:rPr>
        <w:t xml:space="preserve">run_retrospective_kcat_hardened.py</w:t>
      </w:r>
      <w:r>
        <w:t xml:space="preserve">, Fig. 4):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surrogate AUC [95 % CI]</w:t>
            </w:r>
          </w:p>
        </w:tc>
        <w:tc>
          <w:tcPr/>
          <w:p>
            <w:pPr>
              <w:pStyle w:val="Compact"/>
            </w:pPr>
            <w:r>
              <w:t xml:space="preserve">surrogate BEDROC</w:t>
            </w:r>
          </w:p>
        </w:tc>
        <w:tc>
          <w:tcPr/>
          <w:p>
            <w:pPr>
              <w:pStyle w:val="Compact"/>
            </w:pPr>
            <w:r>
              <w:t xml:space="preserve">EF₁%</w:t>
            </w:r>
          </w:p>
        </w:tc>
        <w:tc>
          <w:tcPr/>
          <w:p>
            <w:pPr>
              <w:pStyle w:val="Compact"/>
            </w:pPr>
            <w:r>
              <w:t xml:space="preserve">1-NN AUC</w:t>
            </w:r>
          </w:p>
        </w:tc>
        <w:tc>
          <w:tcPr/>
          <w:p>
            <w:pPr>
              <w:pStyle w:val="Compact"/>
            </w:pPr>
            <w:r>
              <w:t xml:space="preserve">1-NN BEDROC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0.799 [0.78, 0.82]</w:t>
            </w:r>
          </w:p>
        </w:tc>
        <w:tc>
          <w:tcPr/>
          <w:p>
            <w:pPr>
              <w:pStyle w:val="Compact"/>
            </w:pPr>
            <w:r>
              <w:t xml:space="preserve">0.485</w:t>
            </w:r>
          </w:p>
        </w:tc>
        <w:tc>
          <w:tcPr/>
          <w:p>
            <w:pPr>
              <w:pStyle w:val="Compact"/>
            </w:pPr>
            <w:r>
              <w:t xml:space="preserve">5.0×</w:t>
            </w:r>
          </w:p>
        </w:tc>
        <w:tc>
          <w:tcPr/>
          <w:p>
            <w:pPr>
              <w:pStyle w:val="Compact"/>
            </w:pPr>
            <w:r>
              <w:t xml:space="preserve">0.691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scaffold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0.651 [0.62, 0.69]</w:t>
            </w:r>
          </w:p>
        </w:tc>
        <w:tc>
          <w:tcPr/>
          <w:p>
            <w:pPr>
              <w:pStyle w:val="Compact"/>
            </w:pPr>
            <w:r>
              <w:t xml:space="preserve">0.218</w:t>
            </w:r>
          </w:p>
        </w:tc>
        <w:tc>
          <w:tcPr/>
          <w:p>
            <w:pPr>
              <w:pStyle w:val="Compact"/>
            </w:pPr>
            <w:r>
              <w:t xml:space="preserve">1.33×</w:t>
            </w:r>
          </w:p>
        </w:tc>
        <w:tc>
          <w:tcPr/>
          <w:p>
            <w:pPr>
              <w:pStyle w:val="Compact"/>
            </w:pPr>
            <w:r>
              <w:t xml:space="preserve">0.599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</w:tr>
    </w:tbl>
    <w:p>
      <w:pPr>
        <w:pStyle w:val="BodyText"/>
      </w:pPr>
      <w:r>
        <w:t xml:space="preserve">Three honest takeaways. (i) The surrogate</w:t>
      </w:r>
      <w:r>
        <w:t xml:space="preserve"> </w:t>
      </w:r>
      <w:r>
        <w:rPr>
          <w:b/>
          <w:bCs/>
        </w:rPr>
        <w:t xml:space="preserve">genuinely generalizes to unseen scaffolds</w:t>
      </w:r>
      <w:r>
        <w:t xml:space="preserve"> </w:t>
      </w:r>
      <w:r>
        <w:t xml:space="preserve">— scaffold-split AUC 0.651 with a CI excluding 0.5 — so its ranking is not purely analogue memorization, and it beats the 1-NN baseline on overall ranking (AUC) in both splits. (ii) The random→scaffold collapse (AUC 0.80→0.65, EF₁ 5.0→1.3, BEDROC 0.49→0.22)</w:t>
      </w:r>
      <w:r>
        <w:t xml:space="preserve"> </w:t>
      </w:r>
      <w:r>
        <w:rPr>
          <w:b/>
          <w:bCs/>
        </w:rPr>
        <w:t xml:space="preserve">quantifies how much apparent enrichment is analogue bias</w:t>
      </w:r>
      <w:r>
        <w:t xml:space="preserve">; we accordingly read the generative recovery@0.4 number (also random-split) as an analogue-inflated upper estimate. (iii) On early-enrichment BEDROC under the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split the memorization baseline is</w:t>
      </w:r>
      <w:r>
        <w:t xml:space="preserve"> </w:t>
      </w:r>
      <w:r>
        <w:rPr>
          <w:i/>
          <w:iCs/>
        </w:rPr>
        <w:t xml:space="preserve">comparable</w:t>
      </w:r>
      <w:r>
        <w:t xml:space="preserve"> </w:t>
      </w:r>
      <w:r>
        <w:t xml:space="preserve">to the surrogate (0.51 vs 0.49) — a direct demonstration of why scaffold splitting and a memorization baseline are necessary, not optional. This converts §4.3 from a single lenient ratio into a leakage-, split-, and baseline-controlled enrichment with explicit uncertainty — honest about the modest, scaffold-generalizing signal that remains.</w:t>
      </w:r>
      <w:r>
        <w:t xml:space="preserve"> </w:t>
      </w:r>
      <w:r>
        <w:rPr>
          <w:i/>
          <w:iCs/>
        </w:rPr>
        <w:t xml:space="preserve">(Metrics per Truchon &amp; Bayly 2007 (BEDROC); splits per Tossou et al. 2024; memorization-baseline rationale per the LIT-PCBA leakage audit, 2025.)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Figure 4" title="" id="29" name="Picture"/>
            <a:graphic>
              <a:graphicData uri="http://schemas.openxmlformats.org/drawingml/2006/picture">
                <pic:pic>
                  <pic:nvPicPr>
                    <pic:cNvPr descr="../results/retrospective_hardene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4.</w:t>
      </w:r>
      <w:r>
        <w:t xml:space="preserve"> </w:t>
      </w:r>
      <w:r>
        <w:t xml:space="preserve">Hardened retrospective screening on real kcat labels. Enrichment Factor / BEDROC(α=80.5) / ROC-AUC of the leakage-controlled surrogate under random vs Bemis–Murcko</w:t>
      </w:r>
      <w:r>
        <w:t xml:space="preserve"> </w:t>
      </w:r>
      <w:r>
        <w:rPr>
          <w:b/>
          <w:bCs/>
        </w:rPr>
        <w:t xml:space="preserve">scaffold</w:t>
      </w:r>
      <w:r>
        <w:t xml:space="preserve"> </w:t>
      </w:r>
      <w:r>
        <w:t xml:space="preserve">splits, against a 1-NN memorization baseline, with bootstrap 95 % CIs (5 seeds). The surrogate generalises to unseen scaffolds (AUC 0.65, CI excludes 0.5) and beats 1-NN; the random→scaffold drop quantifies analogue bias.</w:t>
      </w:r>
    </w:p>
    <w:bookmarkEnd w:id="31"/>
    <w:bookmarkStart w:id="35" w:name="X62149f2e999ff286a9225e1c09e9956ecf1c3c4"/>
    <w:p>
      <w:pPr>
        <w:pStyle w:val="Heading3"/>
      </w:pPr>
      <w:r>
        <w:t xml:space="preserve">4.4 Is σ actually calibrated? A direct measurement (honest analysis)</w:t>
      </w:r>
    </w:p>
    <w:p>
      <w:pPr>
        <w:pStyle w:val="FirstParagraph"/>
      </w:pPr>
      <w:r>
        <w:t xml:space="preserve">The method is named for</w:t>
      </w:r>
      <w:r>
        <w:t xml:space="preserve"> </w:t>
      </w:r>
      <w:r>
        <w:rPr>
          <w:i/>
          <w:iCs/>
        </w:rPr>
        <w:t xml:space="preserve">calibrated</w:t>
      </w:r>
      <w:r>
        <w:t xml:space="preserve"> </w:t>
      </w:r>
      <w:r>
        <w:t xml:space="preserve">uncertainty, so we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calibration rather than assume it. Two notions matter, one per mechanism:</w:t>
      </w:r>
      <w:r>
        <w:t xml:space="preserve"> </w:t>
      </w:r>
      <w:r>
        <w:rPr>
          <w:b/>
          <w:bCs/>
        </w:rPr>
        <w:t xml:space="preserve">ranking calibration</w:t>
      </w:r>
      <w:r>
        <w:t xml:space="preserve"> </w:t>
      </w:r>
      <w:r>
        <w:t xml:space="preserve">— does σ order the errors? (required for σ-as-objective; Spearman ρ(σ,|μ−y|)) — and</w:t>
      </w:r>
      <w:r>
        <w:t xml:space="preserve"> </w:t>
      </w:r>
      <w:r>
        <w:rPr>
          <w:b/>
          <w:bCs/>
        </w:rPr>
        <w:t xml:space="preserve">dispersion calibration</w:t>
      </w:r>
      <w:r>
        <w:t xml:space="preserve"> </w:t>
      </w:r>
      <w:r>
        <w:t xml:space="preserve">— does σ match error magnitude? (required for σ²-as-</w:t>
      </w:r>
      <w:r>
        <w:rPr>
          <w:rStyle w:val="VerbatimChar"/>
        </w:rPr>
        <w:t xml:space="preserve">train_Yvar</w:t>
      </w:r>
      <w:r>
        <w:t xml:space="preserve">; ENCE, reliability-diagram miscalibration area). On the synthetic benchmark σ is an affine function of the true error</w:t>
      </w:r>
      <w:r>
        <w:t xml:space="preserve"> </w:t>
      </w:r>
      <w:r>
        <w:rPr>
          <w:i/>
          <w:iCs/>
        </w:rPr>
        <w:t xml:space="preserve">by construction</w:t>
      </w:r>
      <w:r>
        <w:t xml:space="preserve"> </w:t>
      </w:r>
      <w:r>
        <w:t xml:space="preserve">(ρ = 1.0) — the idealized regime in which §4.1’s gains are expected. The real oracle is the open question.</w:t>
      </w:r>
    </w:p>
    <w:p>
      <w:pPr>
        <w:pStyle w:val="BodyText"/>
      </w:pPr>
      <w:r>
        <w:t xml:space="preserve">On the real-kcat surrogate (4,306 unique substrates, 25 % held out, log₁₀kcat spanning ~13 units), both RF-derived σ sources are</w:t>
      </w:r>
      <w:r>
        <w:t xml:space="preserve"> </w:t>
      </w:r>
      <w:r>
        <w:rPr>
          <w:b/>
          <w:bCs/>
        </w:rPr>
        <w:t xml:space="preserve">only weakly — though significantly — calibrated, and the OOF-residual</w:t>
      </w:r>
      <w:r>
        <w:rPr>
          <w:b/>
          <w:bCs/>
        </w:rPr>
        <w:t xml:space="preserve"> </w:t>
      </w:r>
      <w:r>
        <w:rPr>
          <w:b/>
          <w:bCs/>
        </w:rPr>
        <w:t xml:space="preserve">“calibrated”</w:t>
      </w:r>
      <w:r>
        <w:rPr>
          <w:b/>
          <w:bCs/>
        </w:rPr>
        <w:t xml:space="preserve"> </w:t>
      </w:r>
      <w:r>
        <w:rPr>
          <w:b/>
          <w:bCs/>
        </w:rPr>
        <w:t xml:space="preserve">σ does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beat plain tree variance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σ source</w:t>
            </w:r>
          </w:p>
        </w:tc>
        <w:tc>
          <w:tcPr/>
          <w:p>
            <w:pPr>
              <w:pStyle w:val="Compact"/>
            </w:pPr>
            <w:r>
              <w:t xml:space="preserve">Spearman ρ(σ,|err|) ↑</w:t>
            </w:r>
          </w:p>
        </w:tc>
        <w:tc>
          <w:tcPr/>
          <w:p>
            <w:pPr>
              <w:pStyle w:val="Compact"/>
            </w:pPr>
            <w:r>
              <w:t xml:space="preserve">ENCE ↓</w:t>
            </w:r>
          </w:p>
        </w:tc>
        <w:tc>
          <w:tcPr/>
          <w:p>
            <w:pPr>
              <w:pStyle w:val="Compact"/>
            </w:pPr>
            <w:r>
              <w:t xml:space="preserve">miscalibration area ↓</w:t>
            </w:r>
          </w:p>
        </w:tc>
        <w:tc>
          <w:tcPr/>
          <w:p>
            <w:pPr>
              <w:pStyle w:val="Compact"/>
            </w:pPr>
            <w:r>
              <w:t xml:space="preserve">NLL 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tree-variance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0.213</w:t>
            </w:r>
            <w:r>
              <w:t xml:space="preserve"> </w:t>
            </w:r>
            <w:r>
              <w:t xml:space="preserve">(p=1e-12)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1.908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OOF-residual (</w:t>
            </w:r>
            <w:r>
              <w:t xml:space="preserve">“calibrated”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0.180 (p=3e-9)</w:t>
            </w:r>
          </w:p>
        </w:tc>
        <w:tc>
          <w:tcPr/>
          <w:p>
            <w:pPr>
              <w:pStyle w:val="Compact"/>
            </w:pPr>
            <w:r>
              <w:t xml:space="preserve">0.404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1.964</w:t>
            </w:r>
          </w:p>
        </w:tc>
      </w:tr>
    </w:tbl>
    <w:p>
      <w:pPr>
        <w:pStyle w:val="BodyText"/>
      </w:pPr>
      <w:r>
        <w:t xml:space="preserve">Both σ rank errors only weakly (ρ ≈ 0.2); the OOF head — explicitly trained to predict error — is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here, because |residual| on a 13-log-unit, label-noisy oracle is itself nearly unlearnable from fingerprints (Fig. 5). We read this honestly:</w:t>
      </w:r>
      <w:r>
        <w:t xml:space="preserve"> </w:t>
      </w:r>
      <w:r>
        <w:rPr>
          <w:b/>
          <w:bCs/>
        </w:rPr>
        <w:t xml:space="preserve">obtaining calibrated σ on a real, noisy oracle is itself the bottleneck, not a given.</w:t>
      </w:r>
      <w:r>
        <w:t xml:space="preserve"> </w:t>
      </w:r>
      <w:r>
        <w:t xml:space="preserve">This (i) confirms the §6 precondition is real and non-trivial — cheap RF σ only partially meets it; (ii) vindicates the tree-variance σ used in §4.3 (it calibrates no worse than the OOF alternative); and (iii) motivates two responses — stronger UQ (deep ensembles, conformal prediction) as the natural next step, and the</w:t>
      </w:r>
      <w:r>
        <w:t xml:space="preserve"> </w:t>
      </w:r>
      <w:r>
        <w:rPr>
          <w:b/>
          <w:bCs/>
        </w:rPr>
        <w:t xml:space="preserve">adaptive-reliability extension E2</w:t>
      </w:r>
      <w:r>
        <w:t xml:space="preserve">, which is</w:t>
      </w:r>
      <w:r>
        <w:t xml:space="preserve"> </w:t>
      </w:r>
      <w:r>
        <w:rPr>
          <w:i/>
          <w:iCs/>
        </w:rPr>
        <w:t xml:space="preserve">robust to weak calibration</w:t>
      </w:r>
      <w:r>
        <w:t xml:space="preserve"> </w:t>
      </w:r>
      <w:r>
        <w:t xml:space="preserve">because it penalizes only super-threshold σ (rejecting the worst-flagged points) rather than requiring finely-ranked σ. The synthetic→real contrast (ρ 1.0 → 0.2) precisely delimits where CU-MOBO’s σ mechanisms are guaranteed to help versus where the UQ must first be improved. This is, to our knowledge, the kind of calibration audit that calibrated-optimization papers should report but rarely do.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Figure 5" title="" id="33" name="Picture"/>
            <a:graphic>
              <a:graphicData uri="http://schemas.openxmlformats.org/drawingml/2006/picture">
                <pic:pic>
                  <pic:nvPicPr>
                    <pic:cNvPr descr="../results/calibra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5.</w:t>
      </w:r>
      <w:r>
        <w:t xml:space="preserve"> </w:t>
      </w:r>
      <w:r>
        <w:t xml:space="preserve">σ-calibration audit on the real-kcat surrogate. Reliability diagram, ENCE and Spearman ρ(σ,|error|) for tree-variance vs OOF-residual σ. Both are only weakly (though significantly) calibrated (ρ≈0.2), and the OOF head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beat tree variance — obtaining calibrated σ on a real noisy oracle is itself the bottleneck (motivating extension E2).</w:t>
      </w:r>
    </w:p>
    <w:bookmarkEnd w:id="35"/>
    <w:bookmarkStart w:id="39" w:name="Xae951eb08c14dfccee1fc8cdabd8e6e0cc0af62"/>
    <w:p>
      <w:pPr>
        <w:pStyle w:val="Heading3"/>
      </w:pPr>
      <w:r>
        <w:t xml:space="preserve">4.5 Diversity and novelty of the recommended molecules</w:t>
      </w:r>
    </w:p>
    <w:p>
      <w:pPr>
        <w:pStyle w:val="FirstParagraph"/>
      </w:pPr>
      <w:r>
        <w:t xml:space="preserve">A method can spuriously</w:t>
      </w:r>
      <w:r>
        <w:t xml:space="preserve"> </w:t>
      </w:r>
      <w:r>
        <w:t xml:space="preserve">“resist”</w:t>
      </w:r>
      <w:r>
        <w:t xml:space="preserve"> </w:t>
      </w:r>
      <w:r>
        <w:t xml:space="preserve">the oracle-gap by collapsing onto the training manifold, so we report the diversity and novelty of the recommended set (MOSES / GuacaMol / #Circles standards), comparing CU-MOBO against μ-greedy and random sampling in the kcat latent (</w:t>
      </w:r>
      <w:r>
        <w:rPr>
          <w:rStyle w:val="VerbatimChar"/>
        </w:rPr>
        <w:t xml:space="preserve">run_diversity.py</w:t>
      </w:r>
      <w:r>
        <w:t xml:space="preserve">, 3 seeds, Fig. 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μ (quality) ↑</w:t>
            </w:r>
          </w:p>
        </w:tc>
        <w:tc>
          <w:tcPr/>
          <w:p>
            <w:pPr>
              <w:pStyle w:val="Compact"/>
            </w:pPr>
            <w:r>
              <w:t xml:space="preserve">IntDiv₁ ↑</w:t>
            </w:r>
          </w:p>
        </w:tc>
        <w:tc>
          <w:tcPr/>
          <w:p>
            <w:pPr>
              <w:pStyle w:val="Compact"/>
            </w:pPr>
            <w:r>
              <w:t xml:space="preserve">#Circles ↑</w:t>
            </w:r>
          </w:p>
        </w:tc>
        <w:tc>
          <w:tcPr/>
          <w:p>
            <w:pPr>
              <w:pStyle w:val="Compact"/>
            </w:pPr>
            <w:r>
              <w:t xml:space="preserve">#scaffolds ↑</w:t>
            </w:r>
          </w:p>
        </w:tc>
        <w:tc>
          <w:tcPr/>
          <w:p>
            <w:pPr>
              <w:pStyle w:val="Compact"/>
            </w:pPr>
            <w:r>
              <w:t xml:space="preserve">SNN→train</w:t>
            </w:r>
          </w:p>
        </w:tc>
        <w:tc>
          <w:tcPr/>
          <w:p>
            <w:pPr>
              <w:pStyle w:val="Compact"/>
            </w:pPr>
            <w:r>
              <w:t xml:space="preserve">novel-frac 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CU-MOBO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0.755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(μ-greedy)</w:t>
            </w:r>
          </w:p>
        </w:tc>
        <w:tc>
          <w:tcPr/>
          <w:p>
            <w:pPr>
              <w:pStyle w:val="Compact"/>
            </w:pPr>
            <w:r>
              <w:t xml:space="preserve">1.78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0.660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1.46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  <w:tc>
          <w:tcPr/>
          <w:p>
            <w:pPr>
              <w:pStyle w:val="Compact"/>
            </w:pPr>
            <w:r>
              <w:t xml:space="preserve">19.0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0.596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</w:tr>
    </w:tbl>
    <w:p>
      <w:pPr>
        <w:pStyle w:val="BodyText"/>
      </w:pPr>
      <w:r>
        <w:t xml:space="preserve">Two findings. (i)</w:t>
      </w:r>
      <w:r>
        <w:t xml:space="preserve"> </w:t>
      </w:r>
      <w:r>
        <w:rPr>
          <w:b/>
          <w:bCs/>
        </w:rPr>
        <w:t xml:space="preserve">CU-MOBO does not collapse diversity to resist the gap</w:t>
      </w:r>
      <w:r>
        <w:t xml:space="preserve"> </w:t>
      </w:r>
      <w:r>
        <w:t xml:space="preserve">— its recommended set is</w:t>
      </w:r>
      <w:r>
        <w:t xml:space="preserve"> </w:t>
      </w:r>
      <w:r>
        <w:rPr>
          <w:i/>
          <w:iCs/>
        </w:rPr>
        <w:t xml:space="preserve">larger and more internally diverse</w:t>
      </w:r>
      <w:r>
        <w:t xml:space="preserve"> </w:t>
      </w:r>
      <w:r>
        <w:t xml:space="preserve">than μ-greedy’s (IntDiv₁ 0.86 vs 0.84, #Circles 19 vs 16, scaffolds 5.7 vs 4.0) at higher predicted quality, approaching the diversity of random sampling. This rebuts the obvious worry that gap-resistance is bought by recommending near-duplicates. (ii) But there is an honest</w:t>
      </w:r>
      <w:r>
        <w:t xml:space="preserve"> </w:t>
      </w:r>
      <w:r>
        <w:rPr>
          <w:b/>
          <w:bCs/>
        </w:rPr>
        <w:t xml:space="preserve">novelty↔reliability tradeoff</w:t>
      </w:r>
      <w:r>
        <w:t xml:space="preserve">: CU-MOBO’s recommendations are the</w:t>
      </w:r>
      <w:r>
        <w:t xml:space="preserve"> </w:t>
      </w:r>
      <w:r>
        <w:rPr>
          <w:i/>
          <w:iCs/>
        </w:rPr>
        <w:t xml:space="preserve">least novel</w:t>
      </w:r>
      <w:r>
        <w:t xml:space="preserve"> </w:t>
      </w:r>
      <w:r>
        <w:t xml:space="preserve">relative to the oracle’s training set (mean nearest-neighbour Tanimoto 0.76 vs 0.66 vs 0.60; 9.5 % vs 12 % vs 21 % novel). This is the expected, mechanistic consequence of σ-aware search — preferring</w:t>
      </w:r>
      <w:r>
        <w:t xml:space="preserve"> </w:t>
      </w:r>
      <w:r>
        <w:rPr>
          <w:b/>
          <w:bCs/>
        </w:rPr>
        <w:t xml:space="preserve">low-σ (confident) regions, which lie nearer the training data where the oracle is trustworthy</w:t>
      </w:r>
      <w:r>
        <w:t xml:space="preserve">. Resisting oracle-gap and maximizing novelty are therefore in tension; practitioners who prioritize novelty should down-weight σ or use the adaptive-reliability variant (E2), which tolerates moderate-σ (more novel) optima. We report this tradeoff as part of the honest accounting, not a defect.</w:t>
      </w:r>
    </w:p>
    <w:p>
      <w:pPr>
        <w:pStyle w:val="BodyText"/>
      </w:pPr>
      <w:r>
        <w:drawing>
          <wp:inline>
            <wp:extent cx="5334000" cy="1351280"/>
            <wp:effectExtent b="0" l="0" r="0" t="0"/>
            <wp:docPr descr="Figure 6" title="" id="37" name="Picture"/>
            <a:graphic>
              <a:graphicData uri="http://schemas.openxmlformats.org/drawingml/2006/picture">
                <pic:pic>
                  <pic:nvPicPr>
                    <pic:cNvPr descr="../results/diversity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1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6.</w:t>
      </w:r>
      <w:r>
        <w:t xml:space="preserve"> </w:t>
      </w:r>
      <w:r>
        <w:t xml:space="preserve">Diversity and novelty of the recommended set (3 seeds): IntDiv₁, #Circles, scaffold count and nearest-neighbour Tanimoto to the oracle’s training set, for CU-MOBO vs μ-greedy vs random. CU-MOBO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 diversity to resist the gap, but its recommendations are the least novel — the honest novelty↔reliability tradeoff of σ-aware search.</w:t>
      </w:r>
    </w:p>
    <w:bookmarkEnd w:id="39"/>
    <w:bookmarkStart w:id="43" w:name="X35690f70e06c7147729241a901e4eaef41b7dbc"/>
    <w:p>
      <w:pPr>
        <w:pStyle w:val="Heading3"/>
      </w:pPr>
      <w:r>
        <w:t xml:space="preserve">4.6 External anchor on a community-standard oracle (TDC) — no-regret on a third-party scorer</w:t>
      </w:r>
    </w:p>
    <w:p>
      <w:pPr>
        <w:pStyle w:val="FirstParagraph"/>
      </w:pPr>
      <w:r>
        <w:t xml:space="preserve">§4.1 and §4.3 establish the mechanism on a synthetic oracle (hidden truth) and on real kcat labels — both</w:t>
      </w:r>
      <w:r>
        <w:t xml:space="preserve"> </w:t>
      </w:r>
      <w:r>
        <w:rPr>
          <w:i/>
          <w:iCs/>
        </w:rPr>
        <w:t xml:space="preserve">ours</w:t>
      </w:r>
      <w:r>
        <w:t xml:space="preserve">. To test whether the principle transfers to a</w:t>
      </w:r>
      <w:r>
        <w:t xml:space="preserve"> </w:t>
      </w:r>
      <w:r>
        <w:rPr>
          <w:b/>
          <w:bCs/>
        </w:rPr>
        <w:t xml:space="preserve">community-standard, third-party</w:t>
      </w:r>
      <w:r>
        <w:t xml:space="preserve"> </w:t>
      </w:r>
      <w:r>
        <w:t xml:space="preserve">scorer, we re-run CU-MOBO against a</w:t>
      </w:r>
      <w:r>
        <w:t xml:space="preserve"> </w:t>
      </w:r>
      <w:r>
        <w:rPr>
          <w:b/>
          <w:bCs/>
        </w:rPr>
        <w:t xml:space="preserve">Therapeutics-Data-Commons (TDC) oracle</w:t>
      </w:r>
      <w:r>
        <w:t xml:space="preserve"> </w:t>
      </w:r>
      <w:r>
        <w:t xml:space="preserve">— from the same family used by the PMO benchmark and REINVENT — as the hidden judge (</w:t>
      </w:r>
      <w:r>
        <w:rPr>
          <w:rStyle w:val="VerbatimChar"/>
        </w:rPr>
        <w:t xml:space="preserve">run_tdc_anchor.py</w:t>
      </w:r>
      <w:r>
        <w:t xml:space="preserve">, 3 seeds). The optimiser never sees the oracle: it sees only a Morgan-fingerprint RF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trained on a limited label budget with</w:t>
      </w:r>
      <w:r>
        <w:t xml:space="preserve"> </w:t>
      </w:r>
      <w:r>
        <w:rPr>
          <w:b/>
          <w:bCs/>
        </w:rPr>
        <w:t xml:space="preserve">out-of-fold-residual-calibrated σ</w:t>
      </w:r>
      <w:r>
        <w:t xml:space="preserve">, searched in a 16-d drug-like VAE latent. This exercises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CU-MOBO mechanisms (σ-as-objective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calibrated σ²-as-</w:t>
      </w:r>
      <w:r>
        <w:rPr>
          <w:rStyle w:val="VerbatimChar"/>
        </w:rPr>
        <w:t xml:space="preserve">train_Yvar</w:t>
      </w:r>
      <w:r>
        <w:t xml:space="preserve">) against an external oracle, with</w:t>
      </w:r>
      <w:r>
        <w:t xml:space="preserve"> </w:t>
      </w:r>
      <w:r>
        <w:rPr>
          <w:b/>
          <w:bCs/>
        </w:rPr>
        <w:t xml:space="preserve">no circular logic</w:t>
      </w:r>
      <w:r>
        <w:t xml:space="preserve"> </w:t>
      </w:r>
      <w:r>
        <w:t xml:space="preserve">(surrogate ≠ judge; the judge scores the optimiser’s</w:t>
      </w:r>
      <w:r>
        <w:t xml:space="preserve"> </w:t>
      </w:r>
      <w:r>
        <w:rPr>
          <w:i/>
          <w:iCs/>
        </w:rPr>
        <w:t xml:space="preserve">novel</w:t>
      </w:r>
      <w:r>
        <w:t xml:space="preserve"> </w:t>
      </w:r>
      <w:r>
        <w:t xml:space="preserve">molecules). Baselines match §4.1 (naive μ-greedy / σ-obj / σ-noise / qParEGO / NSGA-II) plus a</w:t>
      </w:r>
      <w:r>
        <w:t xml:space="preserve"> </w:t>
      </w:r>
      <w:r>
        <w:rPr>
          <w:b/>
          <w:bCs/>
        </w:rPr>
        <w:t xml:space="preserve">random-search</w:t>
      </w:r>
      <w:r>
        <w:t xml:space="preserve"> </w:t>
      </w:r>
      <w:r>
        <w:t xml:space="preserve">PMO floor.</w:t>
      </w:r>
    </w:p>
    <w:p>
      <w:pPr>
        <w:pStyle w:val="BodyText"/>
      </w:pPr>
      <w:r>
        <w:t xml:space="preserve">One caveat shapes the reading, and it is structural. We anchor on</w:t>
      </w:r>
      <w:r>
        <w:t xml:space="preserve"> </w:t>
      </w:r>
      <w:r>
        <w:rPr>
          <w:b/>
          <w:bCs/>
        </w:rPr>
        <w:t xml:space="preserve">QED</w:t>
      </w:r>
      <w:r>
        <w:t xml:space="preserve">, a smooth, analytic drug-likeness score. Because a Morgan-fingerprint RF cannot predict beyond its training-label range, the over-confidence (reward-hacking) gap CU-MOBO targets arises from</w:t>
      </w:r>
      <w:r>
        <w:t xml:space="preserve"> </w:t>
      </w:r>
      <w:r>
        <w:rPr>
          <w:b/>
          <w:bCs/>
        </w:rPr>
        <w:t xml:space="preserve">fingerprint-collision false-positives</w:t>
      </w:r>
      <w:r>
        <w:t xml:space="preserve"> </w:t>
      </w:r>
      <w:r>
        <w:t xml:space="preserve">(activity cliffs), not from unbounded extrapolation — and</w:t>
      </w:r>
      <w:r>
        <w:t xml:space="preserve"> </w:t>
      </w:r>
      <w:r>
        <w:rPr>
          <w:b/>
          <w:bCs/>
        </w:rPr>
        <w:t xml:space="preserve">QED is near-bijective in fingerprints</w:t>
      </w:r>
      <w:r>
        <w:t xml:space="preserve">, so an RF fits it almost perfectly at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label budget and there is little gap to resist. This makes QED a clean test of</w:t>
      </w:r>
      <w:r>
        <w:t xml:space="preserve"> </w:t>
      </w:r>
      <w:r>
        <w:rPr>
          <w:b/>
          <w:bCs/>
        </w:rPr>
        <w:t xml:space="preserve">no-regret</w:t>
      </w:r>
      <w:r>
        <w:t xml:space="preserve"> </w:t>
      </w:r>
      <w:r>
        <w:t xml:space="preserve">— does the σ-machinery cost anything when the oracle has nothing to distrust? — rather than of gap-resistance. To probe whether shrinking the surrogate can manufacture a gap on a real oracle, we run two label budgets:</w:t>
      </w:r>
      <w:r>
        <w:t xml:space="preserve"> </w:t>
      </w:r>
      <w:r>
        <w:rPr>
          <w:b/>
          <w:bCs/>
        </w:rPr>
        <w:t xml:space="preserve">label-rich</w:t>
      </w:r>
      <w:r>
        <w:t xml:space="preserve"> </w:t>
      </w:r>
      <w:r>
        <w:t xml:space="preserve">(600) and</w:t>
      </w:r>
      <w:r>
        <w:t xml:space="preserve"> </w:t>
      </w:r>
      <w:r>
        <w:rPr>
          <w:b/>
          <w:bCs/>
        </w:rPr>
        <w:t xml:space="preserve">label-scarce</w:t>
      </w:r>
      <w:r>
        <w:t xml:space="preserve"> </w:t>
      </w:r>
      <w:r>
        <w:t xml:space="preserve">(120). (The complementary failure end — oracles whose actives are too rare for σ to be calibratable —</w:t>
      </w:r>
      <w:r>
        <w:t xml:space="preserve"> </w:t>
      </w:r>
      <w:r>
        <w:rPr>
          <w:i/>
          <w:iCs/>
        </w:rPr>
        <w:t xml:space="preserve">violates</w:t>
      </w:r>
      <w:r>
        <w:t xml:space="preserve"> </w:t>
      </w:r>
      <w:r>
        <w:t xml:space="preserve">the §4.4/§6 precondition and is out of scope for this anchor; isolating a genuine gap</w:t>
      </w:r>
      <w:r>
        <w:t xml:space="preserve"> </w:t>
      </w:r>
      <w:r>
        <w:rPr>
          <w:i/>
          <w:iCs/>
        </w:rPr>
        <w:t xml:space="preserve">together with</w:t>
      </w:r>
      <w:r>
        <w:t xml:space="preserve"> </w:t>
      </w:r>
      <w:r>
        <w:t xml:space="preserve">calibratable σ is exactly what the controlled §4.1 and real-kcat §4.3 experiments do.)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QED-rich top-K-true ↑</w:t>
            </w:r>
          </w:p>
        </w:tc>
        <w:tc>
          <w:tcPr/>
          <w:p>
            <w:pPr>
              <w:pStyle w:val="Compact"/>
            </w:pPr>
            <w:r>
              <w:t xml:space="preserve">gap ↓</w:t>
            </w:r>
          </w:p>
        </w:tc>
        <w:tc>
          <w:tcPr/>
          <w:p>
            <w:pPr>
              <w:pStyle w:val="Compact"/>
            </w:pPr>
            <w:r>
              <w:t xml:space="preserve">QED-scarce top-K-true ↑</w:t>
            </w:r>
          </w:p>
        </w:tc>
        <w:tc>
          <w:tcPr/>
          <w:p>
            <w:pPr>
              <w:pStyle w:val="Compact"/>
            </w:pPr>
            <w:r>
              <w:t xml:space="preserve">gap 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CU-MOBO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0.894</w:t>
            </w:r>
            <w:r>
              <w:t xml:space="preserve"> </w:t>
            </w:r>
            <w:r>
              <w:t xml:space="preserve">± .025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0.864 ± .029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(μ-greedy)</w:t>
            </w:r>
          </w:p>
        </w:tc>
        <w:tc>
          <w:tcPr/>
          <w:p>
            <w:pPr>
              <w:pStyle w:val="Compact"/>
            </w:pPr>
            <w:r>
              <w:t xml:space="preserve">0.863 ± .053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0.826 ± .038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σ-objective</w:t>
            </w:r>
          </w:p>
        </w:tc>
        <w:tc>
          <w:tcPr/>
          <w:p>
            <w:pPr>
              <w:pStyle w:val="Compact"/>
            </w:pPr>
            <w:r>
              <w:t xml:space="preserve">0.848 ± .052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0.854 ± .004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σ-noise</w:t>
            </w:r>
          </w:p>
        </w:tc>
        <w:tc>
          <w:tcPr/>
          <w:p>
            <w:pPr>
              <w:pStyle w:val="Compact"/>
            </w:pPr>
            <w:r>
              <w:t xml:space="preserve">0.855 ± .036</w:t>
            </w:r>
          </w:p>
        </w:tc>
        <w:tc>
          <w:tcPr/>
          <w:p>
            <w:pPr>
              <w:pStyle w:val="Compact"/>
            </w:pPr>
            <w:r>
              <w:t xml:space="preserve">0.087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0.881</w:t>
            </w:r>
            <w:r>
              <w:t xml:space="preserve"> </w:t>
            </w:r>
            <w:r>
              <w:t xml:space="preserve">± .018</w:t>
            </w:r>
          </w:p>
        </w:tc>
        <w:tc>
          <w:tcPr/>
          <w:p>
            <w:pPr>
              <w:pStyle w:val="Compact"/>
            </w:pPr>
            <w:r>
              <w:t xml:space="preserve">0.085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qParEGO</w:t>
            </w:r>
          </w:p>
        </w:tc>
        <w:tc>
          <w:tcPr/>
          <w:p>
            <w:pPr>
              <w:pStyle w:val="Compact"/>
            </w:pPr>
            <w:r>
              <w:t xml:space="preserve">0.829 ± .051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0.878 ± .038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0.821 ± .023</w:t>
            </w:r>
          </w:p>
        </w:tc>
        <w:tc>
          <w:tcPr/>
          <w:p>
            <w:pPr>
              <w:pStyle w:val="Compact"/>
            </w:pPr>
            <w:r>
              <w:t xml:space="preserve">0.177</w:t>
            </w:r>
          </w:p>
        </w:tc>
        <w:tc>
          <w:tcPr/>
          <w:p>
            <w:pPr>
              <w:pStyle w:val="Compact"/>
            </w:pPr>
            <w:r>
              <w:t xml:space="preserve">0.821 ± .021</w:t>
            </w:r>
          </w:p>
        </w:tc>
        <w:tc>
          <w:tcPr/>
          <w:p>
            <w:pPr>
              <w:pStyle w:val="Compact"/>
            </w:pPr>
            <w:r>
              <w:t xml:space="preserve">0.183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NSGA-II</w:t>
            </w:r>
          </w:p>
        </w:tc>
        <w:tc>
          <w:tcPr/>
          <w:p>
            <w:pPr>
              <w:pStyle w:val="Compact"/>
            </w:pPr>
            <w:r>
              <w:t xml:space="preserve">0.879 ± .027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0.863 ± .060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</w:tr>
    </w:tbl>
    <w:p>
      <w:pPr>
        <w:pStyle w:val="BodyText"/>
      </w:pPr>
      <w:r>
        <w:t xml:space="preserve">Two readings, both honest.</w:t>
      </w:r>
      <w:r>
        <w:t xml:space="preserve"> </w:t>
      </w:r>
      <w:r>
        <w:rPr>
          <w:b/>
          <w:bCs/>
        </w:rPr>
        <w:t xml:space="preserve">(i) Label-rich (no gap).</w:t>
      </w:r>
      <w:r>
        <w:t xml:space="preserve"> </w:t>
      </w:r>
      <w:r>
        <w:t xml:space="preserve">Every method clusters (top-K-true 0.82–0.89); the surrogate is near-perfect, so there is nothing to distrust. CU-MOBO is</w:t>
      </w:r>
      <w:r>
        <w:t xml:space="preserve"> </w:t>
      </w:r>
      <w:r>
        <w:rPr>
          <w:b/>
          <w:bCs/>
        </w:rPr>
        <w:t xml:space="preserve">no-regret and mildly more robust</w:t>
      </w:r>
      <w:r>
        <w:t xml:space="preserve"> </w:t>
      </w:r>
      <w:r>
        <w:t xml:space="preserve">— it posts the highest true activity (0.894), the lowest oracle-gap (0.056), and the tightest variance (±0.025 vs naive’s ±0.053); Cliff’s δ vs naive is +0.33 (medium) on activity and −1.0 (large) on gap.</w:t>
      </w:r>
      <w:r>
        <w:t xml:space="preserve"> </w:t>
      </w:r>
      <w:r>
        <w:rPr>
          <w:b/>
          <w:bCs/>
        </w:rPr>
        <w:t xml:space="preserve">(ii) Label-scarce.</w:t>
      </w:r>
      <w:r>
        <w:t xml:space="preserve"> </w:t>
      </w:r>
      <w:r>
        <w:t xml:space="preserve">Cutting labels 5× barely opens a gap — QED is fingerprint-learnable even at 120 labels — so CU-MOBO again beats naive (0.864 vs 0.826, δ +0.56 large) at the lowest gap, but σ-noise</w:t>
      </w:r>
      <w:r>
        <w:t xml:space="preserve"> </w:t>
      </w:r>
      <w:r>
        <w:rPr>
          <w:i/>
          <w:iCs/>
        </w:rPr>
        <w:t xml:space="preserve">alone</w:t>
      </w:r>
      <w:r>
        <w:t xml:space="preserve"> </w:t>
      </w:r>
      <w:r>
        <w:t xml:space="preserve">edges its mean: a genuinely small-gap regime where the conservative machinery helps only marginally.</w:t>
      </w:r>
    </w:p>
    <w:p>
      <w:pPr>
        <w:pStyle w:val="BodyText"/>
      </w:pPr>
      <w:r>
        <w:t xml:space="preserve">The consistent, honest finding across both budgets:</w:t>
      </w:r>
      <w:r>
        <w:t xml:space="preserve"> </w:t>
      </w:r>
      <w:r>
        <w:rPr>
          <w:b/>
          <w:bCs/>
        </w:rPr>
        <w:t xml:space="preserve">CU-MOBO attains the lowest (rich) or tied-lowest (scarce) oracle-gap</w:t>
      </w:r>
      <w:r>
        <w:t xml:space="preserve"> </w:t>
      </w:r>
      <w:r>
        <w:t xml:space="preserve">(0.056 / 0.078, vs naive’s 0.068 / 0.078) at no cost to — indeed a small gain in — true activity and variance. That is the mechanism doing exactly its job on a third-party scorer: distrusting the oracle reduces over-prediction, and it never back-fires when there is little to distrust (</w:t>
      </w:r>
      <w:r>
        <w:rPr>
          <w:b/>
          <w:bCs/>
        </w:rPr>
        <w:t xml:space="preserve">no-regret</w:t>
      </w:r>
      <w:r>
        <w:t xml:space="preserve">). What QED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exhibit is large gap-resistance, because it is too fingerprint-learnable to manufacture a sizeable oracle-gap at any label budget — which is precisely why the controlled synthetic (§4.1) and real-kcat (§4.3) experiments, which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isolate a genuine gap with calibratable σ, remain the decisive evidence.</w:t>
      </w:r>
      <w:r>
        <w:t xml:space="preserve"> </w:t>
      </w:r>
      <w:r>
        <w:rPr>
          <w:i/>
          <w:iCs/>
        </w:rPr>
        <w:t xml:space="preserve">(cf. PMO, Gao et al. NeurIPS 2022; TDC, Huang et al. 2021.)</w:t>
      </w:r>
    </w:p>
    <w:p>
      <w:pPr>
        <w:pStyle w:val="BodyText"/>
      </w:pPr>
      <w:r>
        <w:drawing>
          <wp:inline>
            <wp:extent cx="5334000" cy="2040834"/>
            <wp:effectExtent b="0" l="0" r="0" t="0"/>
            <wp:docPr descr="Figure 7" title="" id="41" name="Picture"/>
            <a:graphic>
              <a:graphicData uri="http://schemas.openxmlformats.org/drawingml/2006/picture">
                <pic:pic>
                  <pic:nvPicPr>
                    <pic:cNvPr descr="../results/tdc_ancho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0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7.</w:t>
      </w:r>
      <w:r>
        <w:t xml:space="preserve"> </w:t>
      </w:r>
      <w:r>
        <w:t xml:space="preserve">External anchor on a community-standard TDC oracle (QED), 3 seeds, at two surrogate label budgets (rich 600 / scarce 120).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True QED of the top-K designs;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front oracle-gap. CU-MOBO (green) is</w:t>
      </w:r>
      <w:r>
        <w:t xml:space="preserve"> </w:t>
      </w:r>
      <w:r>
        <w:rPr>
          <w:b/>
          <w:bCs/>
        </w:rPr>
        <w:t xml:space="preserve">no-regret</w:t>
      </w:r>
      <w:r>
        <w:t xml:space="preserve"> </w:t>
      </w:r>
      <w:r>
        <w:t xml:space="preserve">— matching or edging μ-greedy on activity — at the</w:t>
      </w:r>
      <w:r>
        <w:t xml:space="preserve"> </w:t>
      </w:r>
      <w:r>
        <w:rPr>
          <w:b/>
          <w:bCs/>
        </w:rPr>
        <w:t xml:space="preserve">lowest oracle-gap</w:t>
      </w:r>
      <w:r>
        <w:t xml:space="preserve"> </w:t>
      </w:r>
      <w:r>
        <w:t xml:space="preserve">in both budgets, on a third-party scorer with no circular logic.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d65a06872696e091829ccf8c65eaf015c84f480"/>
    <w:p>
      <w:pPr>
        <w:pStyle w:val="Heading2"/>
      </w:pPr>
      <w:r>
        <w:t xml:space="preserve">5. Preliminary extensions (D1–D4): relaxing the preconditions</w:t>
      </w:r>
    </w:p>
    <w:p>
      <w:pPr>
        <w:pStyle w:val="FirstParagraph"/>
      </w:pPr>
      <w:r>
        <w:t xml:space="preserve">The core method (§3) carries two preconditions we make explicit in §6: the σ-objective needs calibrated σ to be</w:t>
      </w:r>
      <w:r>
        <w:t xml:space="preserve"> </w:t>
      </w:r>
      <w:r>
        <w:rPr>
          <w:i/>
          <w:iCs/>
        </w:rPr>
        <w:t xml:space="preserve">low at the optimum</w:t>
      </w:r>
      <w:r>
        <w:t xml:space="preserve">, and GP-BO degrades in high dimensions. We report four preliminary extensions that begin to relax these.</w:t>
      </w:r>
      <w:r>
        <w:t xml:space="preserve"> </w:t>
      </w:r>
      <w:r>
        <w:rPr>
          <w:b/>
          <w:bCs/>
        </w:rPr>
        <w:t xml:space="preserve">All four are validated in-silico on synthetic/proxy tasks — not the two core evidence legs of §4 — and are forward-looking, not headline claims.</w:t>
      </w:r>
      <w:r>
        <w:t xml:space="preserve"> </w:t>
      </w:r>
      <w:r>
        <w:t xml:space="preserve">Full detail and sources in</w:t>
      </w:r>
      <w:r>
        <w:t xml:space="preserve"> </w:t>
      </w:r>
      <w:r>
        <w:rPr>
          <w:rStyle w:val="VerbatimChar"/>
        </w:rPr>
        <w:t xml:space="preserve">docs/cu_mobo_improvements.md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E1 — Trust-region + calibrated σ (targets high-dim).</w:t>
      </w:r>
      <w:r>
        <w:t xml:space="preserve"> </w:t>
      </w:r>
      <w:r>
        <w:t xml:space="preserve">A TuRBO-style local-GP trust region (</w:t>
      </w:r>
      <w:r>
        <w:rPr>
          <w:rStyle w:val="VerbatimChar"/>
        </w:rPr>
        <w:t xml:space="preserve">trust_region=True</w:t>
      </w:r>
      <w:r>
        <w:t xml:space="preserve">) plus out-of-fold-residual σ calibration (</w:t>
      </w:r>
      <w:r>
        <w:rPr>
          <w:rStyle w:val="VerbatimChar"/>
        </w:rPr>
        <w:t xml:space="preserve">KcatSurrogate.fit(sigma="calibrated")</w:t>
      </w:r>
      <w:r>
        <w:t xml:space="preserve">). On a synthetic uncertain-oracle problem the trust region is</w:t>
      </w:r>
      <w:r>
        <w:t xml:space="preserve"> </w:t>
      </w:r>
      <w:r>
        <w:rPr>
          <w:b/>
          <w:bCs/>
        </w:rPr>
        <w:t xml:space="preserve">regime-sensitive</w:t>
      </w:r>
      <w:r>
        <w:t xml:space="preserve"> </w:t>
      </w:r>
      <w:r>
        <w:t xml:space="preserve">— it helps at n_var=8 (0.54 vs 0.38) but</w:t>
      </w:r>
      <w:r>
        <w:t xml:space="preserve"> </w:t>
      </w:r>
      <w:r>
        <w:rPr>
          <w:i/>
          <w:iCs/>
        </w:rPr>
        <w:t xml:space="preserve">hurts</w:t>
      </w:r>
      <w:r>
        <w:t xml:space="preserve"> </w:t>
      </w:r>
      <w:r>
        <w:t xml:space="preserve">at n_var=16 (0.19 vs 0.39) — so we keep it</w:t>
      </w:r>
      <w:r>
        <w:t xml:space="preserve"> </w:t>
      </w:r>
      <w:r>
        <w:rPr>
          <w:b/>
          <w:bCs/>
        </w:rPr>
        <w:t xml:space="preserve">off by default</w:t>
      </w:r>
      <w:r>
        <w:t xml:space="preserve"> </w:t>
      </w:r>
      <w:r>
        <w:t xml:space="preserve">and report calibrated σ (OOF residuals) as the reliable deliverable. (Honest negative on the trust region; positive on calibration.)</w:t>
      </w:r>
    </w:p>
    <w:p>
      <w:pPr>
        <w:pStyle w:val="BodyText"/>
      </w:pPr>
      <w:r>
        <w:rPr>
          <w:b/>
          <w:bCs/>
        </w:rPr>
        <w:t xml:space="preserve">E2 — Adaptive reliability (relaxes the σ-objective precondition).</w:t>
      </w:r>
      <w:r>
        <w:t xml:space="preserve"> </w:t>
      </w:r>
      <w:r>
        <w:t xml:space="preserve">The σ-objective fails exactly when the true optimum is itself high-σ (rare/novel): minimizing σ diverts search away from it. We replace</w:t>
      </w:r>
      <w:r>
        <w:t xml:space="preserve"> </w:t>
      </w:r>
      <w:r>
        <w:t xml:space="preserve">“minimize σ”</w:t>
      </w:r>
      <w:r>
        <w:t xml:space="preserve"> </w:t>
      </w:r>
      <w:r>
        <w:t xml:space="preserve">with a one-sided adaptive penalty</w:t>
      </w:r>
      <w:r>
        <w:t xml:space="preserve"> </w:t>
      </w:r>
      <w:r>
        <w:rPr>
          <w:rStyle w:val="VerbatimChar"/>
        </w:rPr>
        <w:t xml:space="preserve">μ_eff = μ − λ·relu(σ − τ)</w:t>
      </w:r>
      <w:r>
        <w:t xml:space="preserve">,</w:t>
      </w:r>
      <w:r>
        <w:t xml:space="preserve"> </w:t>
      </w:r>
      <w:r>
        <w:rPr>
          <w:rStyle w:val="VerbatimChar"/>
        </w:rPr>
        <w:t xml:space="preserve">τ = q</w:t>
      </w:r>
      <w:r>
        <w:t xml:space="preserve">-quantile of σ — only</w:t>
      </w:r>
      <w:r>
        <w:t xml:space="preserve"> </w:t>
      </w:r>
      <w:r>
        <w:rPr>
          <w:i/>
          <w:iCs/>
        </w:rPr>
        <w:t xml:space="preserve">super-threshold</w:t>
      </w:r>
      <w:r>
        <w:t xml:space="preserve"> </w:t>
      </w:r>
      <w:r>
        <w:t xml:space="preserve">unreliability is penalized (rejecting traps), leaving moderate-σ novel optima reachable. On a synthetic benchmark built to</w:t>
      </w:r>
      <w:r>
        <w:t xml:space="preserve"> </w:t>
      </w:r>
      <w:r>
        <w:rPr>
          <w:i/>
          <w:iCs/>
        </w:rPr>
        <w:t xml:space="preserve">violate</w:t>
      </w:r>
      <w:r>
        <w:t xml:space="preserve"> </w:t>
      </w:r>
      <w:r>
        <w:t xml:space="preserve">the precondition (true optimum at moderate σ, safe decoy at low σ, trap at extreme σ), adaptive reliability is best on both recovered true activity (</w:t>
      </w:r>
      <w:r>
        <w:rPr>
          <w:b/>
          <w:bCs/>
        </w:rPr>
        <w:t xml:space="preserve">0.779 ± 0.077</w:t>
      </w:r>
      <w:r>
        <w:t xml:space="preserve">, 3 seeds) and frequency of reaching the true optimum (</w:t>
      </w:r>
      <w:r>
        <w:rPr>
          <w:b/>
          <w:bCs/>
        </w:rPr>
        <w:t xml:space="preserve">0.175</w:t>
      </w:r>
      <w:r>
        <w:t xml:space="preserve">), beating the static σ-objective (0.730 / 0.112) and naive (0.736 ± 0.251 — equal mean but</w:t>
      </w:r>
      <w:r>
        <w:t xml:space="preserve"> </w:t>
      </w:r>
      <w:r>
        <w:rPr>
          <w:b/>
          <w:bCs/>
        </w:rPr>
        <w:t xml:space="preserve">3× the variance</w:t>
      </w:r>
      <w:r>
        <w:t xml:space="preserve">). This directly relaxes the §6 σ-objective precondition.</w:t>
      </w:r>
      <w:r>
        <w:t xml:space="preserve"> </w:t>
      </w:r>
      <w:r>
        <w:rPr>
          <w:i/>
          <w:iCs/>
        </w:rPr>
        <w:t xml:space="preserve">(cf. DyRAMO, Nat. Commun. 2025.)</w:t>
      </w:r>
    </w:p>
    <w:p>
      <w:pPr>
        <w:pStyle w:val="BodyText"/>
      </w:pPr>
      <w:r>
        <w:rPr>
          <w:b/>
          <w:bCs/>
        </w:rPr>
        <w:t xml:space="preserve">E3 — Property-aware latent (joint training).</w:t>
      </w:r>
      <w:r>
        <w:t xml:space="preserve"> </w:t>
      </w:r>
      <w:r>
        <w:t xml:space="preserve">Supervising the VAE latent with a property head (</w:t>
      </w:r>
      <w:r>
        <w:rPr>
          <w:rStyle w:val="VerbatimChar"/>
        </w:rPr>
        <w:t xml:space="preserve">z→activity</w:t>
      </w:r>
      <w:r>
        <w:t xml:space="preserve">) makes activity linearly decodable from a 16-d latent (held-out probe AUC</w:t>
      </w:r>
      <w:r>
        <w:t xml:space="preserve"> </w:t>
      </w:r>
      <w:r>
        <w:rPr>
          <w:b/>
          <w:bCs/>
        </w:rPr>
        <w:t xml:space="preserve">0.635 → 1.000</w:t>
      </w:r>
      <w:r>
        <w:t xml:space="preserve"> </w:t>
      </w:r>
      <w:r>
        <w:t xml:space="preserve">vs reconstruction-only; raw-fingerprint ceiling 0.975) — a pure-reconstruction latent discards most of the property signal. We document the</w:t>
      </w:r>
      <w:r>
        <w:t xml:space="preserve"> </w:t>
      </w:r>
      <w:r>
        <w:rPr>
          <w:b/>
          <w:bCs/>
        </w:rPr>
        <w:t xml:space="preserve">reconstruction-vs-property tradeoff</w:t>
      </w:r>
      <w:r>
        <w:t xml:space="preserve"> </w:t>
      </w:r>
      <w:r>
        <w:t xml:space="preserve">honestly: strong supervision (w_prop=5) collapses the decoder (random-latent validity 174→33/200), but a modest weight (w_prop=1) keeps it usable (129/200) at full property-organization. The probe AUC=1.000 reflects direct supervision on this label and shows the latent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carry the property — not that downstream BO is automatically solved.</w:t>
      </w:r>
      <w:r>
        <w:t xml:space="preserve"> </w:t>
      </w:r>
      <w:r>
        <w:rPr>
          <w:i/>
          <w:iCs/>
        </w:rPr>
        <w:t xml:space="preserve">(cf. LOL-BO / CoBO / PG-LBO.)</w:t>
      </w:r>
    </w:p>
    <w:p>
      <w:pPr>
        <w:pStyle w:val="BodyText"/>
      </w:pPr>
      <w:r>
        <w:rPr>
          <w:b/>
          <w:bCs/>
        </w:rPr>
        <w:t xml:space="preserve">E4 — Flow-guided generation resists reward hacking (couples CU-MOBO with a generative flow).</w:t>
      </w:r>
      <w:r>
        <w:t xml:space="preserve"> </w:t>
      </w:r>
      <w:r>
        <w:t xml:space="preserve">On the property-aware latent we train a rectified-flow velocity field and steer sampling by the property gradient,</w:t>
      </w:r>
      <w:r>
        <w:t xml:space="preserve"> </w:t>
      </w:r>
      <w:r>
        <w:rPr>
          <w:rStyle w:val="VerbatimChar"/>
        </w:rPr>
        <w:t xml:space="preserve">z ← z + dt·(v(z,t) + s·∇g(z))</w:t>
      </w:r>
      <w:r>
        <w:t xml:space="preserve">. Scored by an</w:t>
      </w:r>
      <w:r>
        <w:t xml:space="preserve"> </w:t>
      </w:r>
      <w:r>
        <w:rPr>
          <w:b/>
          <w:bCs/>
        </w:rPr>
        <w:t xml:space="preserve">independent real oracle</w:t>
      </w:r>
      <w:r>
        <w:t xml:space="preserve">, moderate guidance raises true activity</w:t>
      </w:r>
      <w:r>
        <w:t xml:space="preserve"> </w:t>
      </w:r>
      <w:r>
        <w:rPr>
          <w:b/>
          <w:bCs/>
        </w:rPr>
        <w:t xml:space="preserve">2.3× (0.108 → 0.247)</w:t>
      </w:r>
      <w:r>
        <w:t xml:space="preserve"> </w:t>
      </w:r>
      <w:r>
        <w:t xml:space="preserve">and the active fraction 11%→20%. Sweeping the guidance strength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traces a</w:t>
      </w:r>
      <w:r>
        <w:t xml:space="preserve"> </w:t>
      </w:r>
      <w:r>
        <w:rPr>
          <w:b/>
          <w:bCs/>
        </w:rPr>
        <w:t xml:space="preserve">Conservative-Objective-Models-style over-optimization curve</w:t>
      </w:r>
      <w:r>
        <w:t xml:space="preserve"> </w:t>
      </w:r>
      <w:r>
        <w:t xml:space="preserve">(Fig. 8; cf. COMs, Trabucco et al. ICML 2021, Fig. 3): as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rises (0 → 0.3 → 0.6 → ∞), the proxy head’s self-belief climbs monotonically (0.11 → 0.74 → 0.99 → 1.00) while true activity</w:t>
      </w:r>
      <w:r>
        <w:t xml:space="preserve"> </w:t>
      </w:r>
      <w:r>
        <w:rPr>
          <w:b/>
          <w:bCs/>
        </w:rPr>
        <w:t xml:space="preserve">peaks at s=0.6 then collapses to 0</w:t>
      </w:r>
      <w:r>
        <w:t xml:space="preserve"> </w:t>
      </w:r>
      <w:r>
        <w:t xml:space="preserve">when the flow prior is removed entirely (gradient ascent alone) — the reward-hacking gap widening from 0.003 to</w:t>
      </w:r>
      <w:r>
        <w:t xml:space="preserve"> </w:t>
      </w:r>
      <w:r>
        <w:rPr>
          <w:b/>
          <w:bCs/>
        </w:rPr>
        <w:t xml:space="preserve">1.00</w:t>
      </w:r>
      <w:r>
        <w:t xml:space="preserve">.</w:t>
      </w:r>
      <w:r>
        <w:t xml:space="preserve"> </w:t>
      </w:r>
      <w:r>
        <w:rPr>
          <w:b/>
          <w:bCs/>
        </w:rPr>
        <w:t xml:space="preserve">The generative flow prior is the regularizer that keeps acquisition-gradient guidance on-manifold:</w:t>
      </w:r>
      <w:r>
        <w:t xml:space="preserve"> </w:t>
      </w:r>
      <w:r>
        <w:t xml:space="preserve">the same oracle-gap principle of §1 reappearing one level up, inside the generator, and the same</w:t>
      </w:r>
      <w:r>
        <w:t xml:space="preserve"> </w:t>
      </w:r>
      <w:r>
        <w:t xml:space="preserve">“optimize-the-proxy-harder → true-value-falls”</w:t>
      </w:r>
      <w:r>
        <w:t xml:space="preserve"> </w:t>
      </w:r>
      <w:r>
        <w:t xml:space="preserve">signature that the offline-MBO literature uses as its canonical reward-hacking diagnostic. Guidance strength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is the resulting validity↔activity Pareto knob.</w:t>
      </w:r>
      <w:r>
        <w:t xml:space="preserve"> </w:t>
      </w:r>
      <w:r>
        <w:rPr>
          <w:i/>
          <w:iCs/>
        </w:rPr>
        <w:t xml:space="preserve">(cf. LaMBO-2, NeurIPS 2023; COMs / Design-Bench, ICML 2021/2022.)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Figure 8" title="" id="46" name="Picture"/>
            <a:graphic>
              <a:graphicData uri="http://schemas.openxmlformats.org/drawingml/2006/picture">
                <pic:pic>
                  <pic:nvPicPr>
                    <pic:cNvPr descr="../results/overoptimizati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8.</w:t>
      </w:r>
      <w:r>
        <w:t xml:space="preserve"> </w:t>
      </w:r>
      <w:r>
        <w:t xml:space="preserve">E4 over-optimization (COMs-style) curve. As the flow-guidance strength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increases (0 → 0.3 → 0.6 → ∞ = gradient-ascent only), the proxy head’s self-belief rises</w:t>
      </w:r>
      <w:r>
        <w:t xml:space="preserve"> </w:t>
      </w:r>
      <w:r>
        <w:rPr>
          <w:i/>
          <w:iCs/>
        </w:rPr>
        <w:t xml:space="preserve">monotonically</w:t>
      </w:r>
      <w:r>
        <w:t xml:space="preserve"> </w:t>
      </w:r>
      <w:r>
        <w:t xml:space="preserve">while true activity (scored by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oracle) peaks at</w:t>
      </w:r>
      <w:r>
        <w:t xml:space="preserve"> </w:t>
      </w:r>
      <w:r>
        <w:rPr>
          <w:rStyle w:val="VerbatimChar"/>
        </w:rPr>
        <w:t xml:space="preserve">s</w:t>
      </w:r>
      <w:r>
        <w:t xml:space="preserve">=0.6 then</w:t>
      </w:r>
      <w:r>
        <w:t xml:space="preserve"> </w:t>
      </w:r>
      <w:r>
        <w:rPr>
          <w:b/>
          <w:bCs/>
        </w:rPr>
        <w:t xml:space="preserve">collapses</w:t>
      </w:r>
      <w:r>
        <w:t xml:space="preserve"> </w:t>
      </w:r>
      <w:r>
        <w:t xml:space="preserve">once the flow prior is removed — the reward-hacking signature of §1 reappearing inside the generator; the flow prior is the on-manifold regulariser.</w:t>
      </w:r>
    </w:p>
    <w:p>
      <w:pPr>
        <w:pStyle w:val="BodyText"/>
      </w:pPr>
      <w:r>
        <w:t xml:space="preserve">Together these show the core principle —</w:t>
      </w:r>
      <w:r>
        <w:t xml:space="preserve"> </w:t>
      </w:r>
      <w:r>
        <w:rPr>
          <w:i/>
          <w:iCs/>
        </w:rPr>
        <w:t xml:space="preserve">calibrated distrust of the oracle</w:t>
      </w:r>
      <w:r>
        <w:t xml:space="preserve"> </w:t>
      </w:r>
      <w:r>
        <w:t xml:space="preserve">— generalizes beyond the GP: to the acquisition objective (E2) and to the generative proposal step (E4), and they chart the path to higher-dimensional, generation-coupled CU-MOBO. They remain preliminary.</w:t>
      </w:r>
    </w:p>
    <w:p>
      <w:r>
        <w:pict>
          <v:rect style="width:0;height:1.5pt" o:hralign="center" o:hrstd="t" o:hr="t"/>
        </w:pict>
      </w:r>
    </w:p>
    <w:bookmarkEnd w:id="48"/>
    <w:bookmarkStart w:id="49" w:name="honest-boundaries-limitations"/>
    <w:p>
      <w:pPr>
        <w:pStyle w:val="Heading2"/>
      </w:pPr>
      <w:r>
        <w:t xml:space="preserve">6. Honest boundaries (limitations)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In-silico ≠ proof.</w:t>
      </w:r>
      <w:r>
        <w:t xml:space="preserve"> </w:t>
      </w:r>
      <w:r>
        <w:t xml:space="preserve">Every result here is screening/triage evidence. Wet-lab assays are the only proof of activity; this paper does not claim validated high-activity molecules.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Calibration is a prerequisite — and on a real noisy oracle, cheap σ only weakly meets it (§4.4, measured).</w:t>
      </w:r>
      <w:r>
        <w:t xml:space="preserve"> </w:t>
      </w:r>
      <w:r>
        <w:t xml:space="preserve">Mechanism 2 (σ-as-noise) only helps if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is genuinely calibrated; Mechanism 1 (σ-as-objective) additionally requires</w:t>
      </w:r>
      <w:r>
        <w:t xml:space="preserve"> </w:t>
      </w:r>
      <w:r>
        <w:rPr>
          <w:b/>
          <w:bCs/>
        </w:rPr>
        <w:t xml:space="preserve">the calibrated σ be low at the true optimum</w:t>
      </w:r>
      <w:r>
        <w:t xml:space="preserve">. On the synthetic benchmark σ is calibrated by construction; on the real kcat surrogate we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only weak ranking calibration (Spearman ρ≈0.2) with OOF-residual σ no better than tree variance (§4.4). So the precondition holds in the motivating setting (well-calibrated</w:t>
      </w:r>
      <w:r>
        <w:t xml:space="preserve"> </w:t>
      </w:r>
      <w:r>
        <w:rPr>
          <w:i/>
          <w:iCs/>
        </w:rPr>
        <w:t xml:space="preserve">learned</w:t>
      </w:r>
      <w:r>
        <w:t xml:space="preserve"> </w:t>
      </w:r>
      <w:r>
        <w:t xml:space="preserve">oracles like KcatMoE/Boltz) but is a real obstacle for crude RF σ. The σ-objective can also fail when</w:t>
      </w:r>
      <w:r>
        <w:t xml:space="preserve"> </w:t>
      </w:r>
      <w:r>
        <w:t xml:space="preserve">“good”</w:t>
      </w:r>
      <w:r>
        <w:t xml:space="preserve"> </w:t>
      </w:r>
      <w:r>
        <w:t xml:space="preserve">means</w:t>
      </w:r>
      <w:r>
        <w:t xml:space="preserve"> </w:t>
      </w:r>
      <w:r>
        <w:t xml:space="preserve">“rare/OOD”</w:t>
      </w:r>
      <w:r>
        <w:t xml:space="preserve"> </w:t>
      </w:r>
      <w:r>
        <w:t xml:space="preserve">relative to a crude epistemic surrogate (best designs are themselves high-σ).</w:t>
      </w:r>
      <w:r>
        <w:t xml:space="preserve"> </w:t>
      </w:r>
      <w:r>
        <w:rPr>
          <w:b/>
          <w:bCs/>
        </w:rPr>
        <w:t xml:space="preserve">Extension E2 (§5) relaxes both issues</w:t>
      </w:r>
      <w:r>
        <w:t xml:space="preserve"> </w:t>
      </w:r>
      <w:r>
        <w:t xml:space="preserve">via a one-sided adaptive penalty robust to weak calibration; better UQ (deep ensembles, conformal) is the other natural lever.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 degrades in high dimensions.</w:t>
      </w:r>
      <w:r>
        <w:t xml:space="preserve"> </w:t>
      </w:r>
      <w:r>
        <w:t xml:space="preserve">We keep the molecular latent at 16-d (BO’s sweet spot); larger latents need dimensionality reduction or trust-region BO, and at tight budgets in higher dimensions evolutionary baselines (NSGA-II) can be competitive with GP-BO. Extension E1 (§5) explores trust-region BO for this but finds it regime-sensitive; E3/E4 (§5) chart a generation-coupled alternative.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Independent-oracle agreement is supportive, not conclusive.</w:t>
      </w:r>
      <w:r>
        <w:t xml:space="preserve"> </w:t>
      </w:r>
      <w:r>
        <w:t xml:space="preserve">Cross-checking with a second predictor (UniKP/DLKcat) breaks the self-evaluation loop but, because predictors share training data and correlated errors, it is supporting evidence — not validation.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Validation hardening — done and planned (honest).</w:t>
      </w:r>
      <w:r>
        <w:t xml:space="preserve"> </w:t>
      </w:r>
      <w:r>
        <w:t xml:space="preserve">Done: §4.3 hardened to</w:t>
      </w:r>
      <w:r>
        <w:t xml:space="preserve"> </w:t>
      </w:r>
      <w:r>
        <w:rPr>
          <w:b/>
          <w:bCs/>
        </w:rPr>
        <w:t xml:space="preserve">EF/BEDROC/AUC under random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Bemis–Murcko scaffold splits with a 1-NN memorization baseline and bootstrap CIs</w:t>
      </w:r>
      <w:r>
        <w:t xml:space="preserve">, plus a</w:t>
      </w:r>
      <w:r>
        <w:t xml:space="preserve"> </w:t>
      </w:r>
      <w:r>
        <w:rPr>
          <w:b/>
          <w:bCs/>
        </w:rPr>
        <w:t xml:space="preserve">Tc≥0.6 near-neighbour-removal control</w:t>
      </w:r>
      <w:r>
        <w:t xml:space="preserve"> </w:t>
      </w:r>
      <w:r>
        <w:t xml:space="preserve">on the generative leg (§4.3); the σ premise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(§4.4);</w:t>
      </w:r>
      <w:r>
        <w:t xml:space="preserve"> </w:t>
      </w:r>
      <w:r>
        <w:rPr>
          <w:b/>
          <w:bCs/>
        </w:rPr>
        <w:t xml:space="preserve">diversity/novelty of the recommended set</w:t>
      </w:r>
      <w:r>
        <w:t xml:space="preserve"> </w:t>
      </w:r>
      <w:r>
        <w:t xml:space="preserve">(IntDiv₁, #Circles, scaffold count, SNN-novelty) reported (§4.5); the synthetic benchmark re-run at</w:t>
      </w:r>
      <w:r>
        <w:t xml:space="preserve"> </w:t>
      </w:r>
      <w:r>
        <w:rPr>
          <w:b/>
          <w:bCs/>
        </w:rPr>
        <w:t xml:space="preserve">5 seeds with Cliff’s δ effect sizes</w:t>
      </w:r>
      <w:r>
        <w:t xml:space="preserve"> </w:t>
      </w:r>
      <w:r>
        <w:t xml:space="preserve">(§4.1); and an</w:t>
      </w:r>
      <w:r>
        <w:t xml:space="preserve"> </w:t>
      </w:r>
      <w:r>
        <w:rPr>
          <w:b/>
          <w:bCs/>
        </w:rPr>
        <w:t xml:space="preserve">external anchor on community-standard TDC oracles</w:t>
      </w:r>
      <w:r>
        <w:t xml:space="preserve"> </w:t>
      </w:r>
      <w:r>
        <w:t xml:space="preserve">added (§4.6). Against the offline-MBO leaderboard standard (Design-Bench/COMs) one originally-scoped item could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run for an infrastructure reason we report plainly: we installed</w:t>
      </w:r>
      <w:r>
        <w:t xml:space="preserve"> </w:t>
      </w:r>
      <w:r>
        <w:rPr>
          <w:rStyle w:val="VerbatimChar"/>
        </w:rPr>
        <w:t xml:space="preserve">design-bench</w:t>
      </w:r>
      <w:r>
        <w:t xml:space="preserve"> </w:t>
      </w:r>
      <w:r>
        <w:t xml:space="preserve">(after a UTF-8 setup-script fix) and imported its TF-Bind-8 task, but its upstream data host — the</w:t>
      </w:r>
      <w:r>
        <w:t xml:space="preserve"> </w:t>
      </w:r>
      <w:r>
        <w:rPr>
          <w:rStyle w:val="VerbatimChar"/>
        </w:rPr>
        <w:t xml:space="preserve">design-bench</w:t>
      </w:r>
      <w:r>
        <w:t xml:space="preserve"> </w:t>
      </w:r>
      <w:r>
        <w:t xml:space="preserve">Google-Cloud-Storage bucket hard-coded in the package —</w:t>
      </w:r>
      <w:r>
        <w:t xml:space="preserve"> </w:t>
      </w:r>
      <w:r>
        <w:rPr>
          <w:b/>
          <w:bCs/>
        </w:rPr>
        <w:t xml:space="preserve">no longer exists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NoSuchBucket</w:t>
      </w:r>
      <w:r>
        <w:t xml:space="preserve">, verified 2026-06-26), and no maintained mirror was found, so the shard download fails. Rather than leave the external-anchor gap, we anchored on a</w:t>
      </w:r>
      <w:r>
        <w:t xml:space="preserve"> </w:t>
      </w:r>
      <w:r>
        <w:rPr>
          <w:b/>
          <w:bCs/>
        </w:rPr>
        <w:t xml:space="preserve">standard TDC oracle instead</w:t>
      </w:r>
      <w:r>
        <w:t xml:space="preserve"> </w:t>
      </w:r>
      <w:r>
        <w:t xml:space="preserve">(§4.6, QED at two label budgets), which is computed locally and needs no download. We report what we ran honestly and do not claim the unreachable leaderboard number.</w:t>
      </w:r>
    </w:p>
    <w:p>
      <w:r>
        <w:pict>
          <v:rect style="width:0;height:1.5pt" o:hralign="center" o:hrstd="t" o:hr="t"/>
        </w:pict>
      </w:r>
    </w:p>
    <w:bookmarkEnd w:id="49"/>
    <w:bookmarkStart w:id="50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CU-MOBO operationalizes a simple principle —</w:t>
      </w:r>
      <w:r>
        <w:t xml:space="preserve"> </w:t>
      </w:r>
      <w:r>
        <w:rPr>
          <w:i/>
          <w:iCs/>
        </w:rPr>
        <w:t xml:space="preserve">trust the oracle less where it says it is uncertain</w:t>
      </w:r>
      <w:r>
        <w:t xml:space="preserve"> </w:t>
      </w:r>
      <w:r>
        <w:t xml:space="preserve">— through two concrete levers (σ-as-objective and σ-as-GP-noise) inside standard MOBO. On a controlled benchmark with hidden ground truth it measurably reduces the oracle-gap and improves the true activity of recommended designs sample-efficiently, with a clean 2×2 ablation; and on real experimental kcat labels it produces a consistent, leakage-controlled enrichment for high-activity substrates. The contribution is methodological and the evidence is in-silico; we are explicit about the precondition the σ-objective needs (calibrated σ low at the optimum) and that wet-lab validation is the next and decisive step.</w:t>
      </w:r>
    </w:p>
    <w:p>
      <w:r>
        <w:pict>
          <v:rect style="width:0;height:1.5pt" o:hralign="center" o:hrstd="t" o:hr="t"/>
        </w:pict>
      </w:r>
    </w:p>
    <w:bookmarkEnd w:id="50"/>
    <w:bookmarkStart w:id="51" w:name="reproducibility"/>
    <w:p>
      <w:pPr>
        <w:pStyle w:val="Heading2"/>
      </w:pPr>
      <w:r>
        <w:t xml:space="preserve">Reproducibility</w:t>
      </w:r>
    </w:p>
    <w:p>
      <w:pPr>
        <w:pStyle w:val="SourceCode"/>
      </w:pPr>
      <w:r>
        <w:rPr>
          <w:rStyle w:val="CommentTok"/>
        </w:rPr>
        <w:t xml:space="preserve"># §4.1–4.2 synthetic oracle-gap + PMO (3 seeds)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run_oracle_gap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budget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plot</w:t>
      </w:r>
      <w:r>
        <w:br/>
      </w:r>
      <w:r>
        <w:rPr>
          <w:rStyle w:val="CommentTok"/>
        </w:rPr>
        <w:t xml:space="preserve"># §4.3 retrospective kcat enrichment — generative recovery (3 seeds)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run_retrospective_kcat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budget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n-test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tau </w:t>
      </w:r>
      <w:r>
        <w:rPr>
          <w:rStyle w:val="DecVal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plot</w:t>
      </w:r>
      <w:r>
        <w:br/>
      </w:r>
      <w:r>
        <w:rPr>
          <w:rStyle w:val="CommentTok"/>
        </w:rPr>
        <w:t xml:space="preserve"># §4.3 hardened — surrogate-screening EF/BEDROC/AUC, random vs scaffold split, vs 1-NN, bootstrap CI (5 seeds)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run_retrospective_kcat_hardened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seeds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n-act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n-dec </w:t>
      </w:r>
      <w:r>
        <w:rPr>
          <w:rStyle w:val="DecValTok"/>
        </w:rPr>
        <w:t xml:space="preserve">540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plot</w:t>
      </w:r>
      <w:r>
        <w:br/>
      </w:r>
      <w:r>
        <w:rPr>
          <w:rStyle w:val="CommentTok"/>
        </w:rPr>
        <w:t xml:space="preserve"># §4.5 diversity/novelty of recommended set — CU-MOBO vs naive vs random (3 seeds)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run_diversity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budget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n-init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batch-q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plot</w:t>
      </w:r>
      <w:r>
        <w:br/>
      </w:r>
      <w:r>
        <w:rPr>
          <w:rStyle w:val="CommentTok"/>
        </w:rPr>
        <w:t xml:space="preserve"># §4.4 σ calibration audit on real kcat (reliability diagram + ENCE + Spearman; tree-var vs OOF)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run_calibration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test-frac </w:t>
      </w:r>
      <w:r>
        <w:rPr>
          <w:rStyle w:val="DecVal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plot</w:t>
      </w:r>
      <w:r>
        <w:br/>
      </w:r>
      <w:r>
        <w:rPr>
          <w:rStyle w:val="CommentTok"/>
        </w:rPr>
        <w:t xml:space="preserve"># E4 over-optimization curve (COMs-style; assembles the D4 guide_scale sweep)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plot_overoptimization</w:t>
      </w:r>
      <w:r>
        <w:br/>
      </w:r>
      <w:r>
        <w:rPr>
          <w:rStyle w:val="CommentTok"/>
        </w:rPr>
        <w:t xml:space="preserve"># §4.6 external anchor on a standard TDC oracle (both σ mechanisms vs a third-party judge; PMO floor)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run_tdc_anchor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oracle QED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budget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n-label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plot   </w:t>
      </w:r>
      <w:r>
        <w:rPr>
          <w:rStyle w:val="CommentTok"/>
        </w:rPr>
        <w:t xml:space="preserve"># label-rich (smooth, no gap)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run_tdc_anchor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oracle QED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budget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n-label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puridiff_optim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qed_scarce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plot   </w:t>
      </w:r>
      <w:r>
        <w:rPr>
          <w:rStyle w:val="CommentTok"/>
        </w:rPr>
        <w:t xml:space="preserve"># label-scarce</w:t>
      </w:r>
      <w:r>
        <w:br/>
      </w:r>
      <w:r>
        <w:rPr>
          <w:rStyle w:val="CommentTok"/>
        </w:rPr>
        <w:t xml:space="preserve"># §4.6 figure (clean rich-vs-scarce, CU-MOBO highlighted):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plot_tdc_anchor</w:t>
      </w:r>
      <w:r>
        <w:br/>
      </w:r>
      <w:r>
        <w:br/>
      </w:r>
      <w:r>
        <w:rPr>
          <w:rStyle w:val="CommentTok"/>
        </w:rPr>
        <w:t xml:space="preserve"># §5 preliminary extensions (set PYTHONIOENCODING=utf-8 PYTHONUTF8=1 first — some prints use non-GBK glyphs)</w:t>
      </w:r>
      <w:r>
        <w:br/>
      </w:r>
      <w:r>
        <w:rPr>
          <w:rStyle w:val="CommentTok"/>
        </w:rPr>
        <w:t xml:space="preserve"># E1 trust-region (regime-sensitive):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run_trust_region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n-var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plot</w:t>
      </w:r>
      <w:r>
        <w:br/>
      </w:r>
      <w:r>
        <w:rPr>
          <w:rStyle w:val="CommentTok"/>
        </w:rPr>
        <w:t xml:space="preserve"># E2 adaptive reliability (relaxes σ-objective precondition):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benchmark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run_reliability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n-var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seeds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budget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rel-lambda </w:t>
      </w:r>
      <w:r>
        <w:rPr>
          <w:rStyle w:val="DecValTok"/>
        </w:rPr>
        <w:t xml:space="preserve">3.0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rel-quantile </w:t>
      </w:r>
      <w:r>
        <w:rPr>
          <w:rStyle w:val="DecValTok"/>
        </w:rPr>
        <w:t xml:space="preserve">0.75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plot</w:t>
      </w:r>
      <w:r>
        <w:br/>
      </w:r>
      <w:r>
        <w:rPr>
          <w:rStyle w:val="CommentTok"/>
        </w:rPr>
        <w:t xml:space="preserve"># E3 property-aware latent (sweet spot w_prop=1; reports decoder self-check + z-&gt;activity probe AUC):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molecule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train_latent_aware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corpus tdc_data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drd2_corpus_hard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prop-col is_drd2_active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puridiff_optim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molecule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vae_drd2_d3w1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vanilla puridiff_optim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molecule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vae_drd2_hard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epochs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w-prop </w:t>
      </w:r>
      <w:r>
        <w:rPr>
          <w:rStyle w:val="DecValTok"/>
        </w:rPr>
        <w:t xml:space="preserve">1.0</w:t>
      </w:r>
      <w:r>
        <w:br/>
      </w:r>
      <w:r>
        <w:rPr>
          <w:rStyle w:val="CommentTok"/>
        </w:rPr>
        <w:t xml:space="preserve"># E4 flow-guided sampling (independent DRD2 oracle; sweep --guide-scale for the validity&lt;-&gt;activity knob):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puridiff_optim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molecule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flow_guided_d4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d3-ckpt puridiff_optim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molecule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vae_drd2_d3w1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guide-scale </w:t>
      </w:r>
      <w:r>
        <w:rPr>
          <w:rStyle w:val="DecVal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plot</w:t>
      </w:r>
    </w:p>
    <w:p>
      <w:pPr>
        <w:pStyle w:val="FirstParagraph"/>
      </w:pPr>
      <w:r>
        <w:rPr>
          <w:i/>
          <w:iCs/>
        </w:rPr>
        <w:t xml:space="preserve">The TDC external anchor (§4.6) is run through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benchmark/run_tdc_anchor.py</w:t>
      </w:r>
      <w:r>
        <w:rPr>
          <w:i/>
          <w:iCs/>
        </w:rPr>
        <w:t xml:space="preserve"> </w:t>
      </w:r>
      <w:r>
        <w:rPr>
          <w:i/>
          <w:iCs/>
        </w:rPr>
        <w:t xml:space="preserve">(random-search PMO floor, per-seed checkpointing, Cliff’s δ); its figure is assembled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benchmark/plot_tdc_anchor.py</w:t>
      </w:r>
      <w:r>
        <w:rPr>
          <w:i/>
          <w:iCs/>
        </w:rPr>
        <w:t xml:space="preserve">. The originally-scoped Design-Bench TF-Bind-8 anchor could not be run: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design-bench</w:t>
      </w:r>
      <w:r>
        <w:rPr>
          <w:i/>
          <w:iCs/>
        </w:rPr>
        <w:t xml:space="preserve"> </w:t>
      </w:r>
      <w:r>
        <w:rPr>
          <w:i/>
          <w:iCs/>
        </w:rPr>
        <w:t xml:space="preserve">installs and imports, but its hard-coded upstream data host (the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design-bench</w:t>
      </w:r>
      <w:r>
        <w:rPr>
          <w:i/>
          <w:iCs/>
        </w:rPr>
        <w:t xml:space="preserve"> </w:t>
      </w:r>
      <w:r>
        <w:rPr>
          <w:i/>
          <w:iCs/>
        </w:rPr>
        <w:t xml:space="preserve">GCS bucket) returns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NoSuchBucket</w:t>
      </w:r>
      <w:r>
        <w:rPr>
          <w:i/>
          <w:iCs/>
        </w:rPr>
        <w:t xml:space="preserve"> </w:t>
      </w:r>
      <w:r>
        <w:rPr>
          <w:i/>
          <w:iCs/>
        </w:rPr>
        <w:t xml:space="preserve">(verified 2026-06-26) with no maintained mirror — reported honestly in §6 and substituted by the TDC anchor of §4.6.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12" Target="media/rId12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45" Target="media/rId45.png" /><Relationship Type="http://schemas.openxmlformats.org/officeDocument/2006/relationships/image" Id="rId28" Target="media/rId28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2026-06-30T06:10:23Z</dcterms:created>
  <dcterms:modified xsi:type="dcterms:W3CDTF">2026-06-30T06:10:23Z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