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1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2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2d86f1bb84b5eb66d68656028c098bc7d22f589"/>
    <w:p>
      <w:pPr>
        <w:pStyle w:val="Heading1"/>
      </w:pPr>
      <w:r>
        <w:t xml:space="preserve">Calibrated-Uncertainty Multi-Objective Bayesian Optimization for Expensive, Uncertain Oracles in Inverse Molecular Design</w:t>
      </w:r>
    </w:p>
    <w:p>
      <w:pPr>
        <w:pStyle w:val="FirstParagraph"/>
      </w:pPr>
      <w:r>
        <w:rPr>
          <w:b/>
          <w:bCs/>
        </w:rPr>
        <w:t xml:space="preserve">Xinran Wang, Haijuan Zhang, Yi Deng, Jiahuan Zhao, Yang Li*</w:t>
      </w:r>
    </w:p>
    <w:p>
      <w:pPr>
        <w:pStyle w:val="BodyText"/>
      </w:pPr>
      <w:r>
        <w:t xml:space="preserve">School of Pharmacy, Lanzhou University, Lanzhou 730000, China</w:t>
      </w:r>
    </w:p>
    <w:p>
      <w:pPr>
        <w:pStyle w:val="BodyText"/>
      </w:pPr>
      <w:r>
        <w:t xml:space="preserve">*Corresponding author: Yang Li. E-mail: to be provided (Lanzhou University, lzu.edu.cn)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Inverse molecular and process design increasingly relies on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— neural predictors of enzyme turnover (kcat), binding, or structure — that are</w:t>
      </w:r>
      <w:r>
        <w:t xml:space="preserve"> </w:t>
      </w:r>
      <w:r>
        <w:rPr>
          <w:b/>
          <w:bCs/>
        </w:rPr>
        <w:t xml:space="preserve">expensive to query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imperfect</w:t>
      </w:r>
      <w:r>
        <w:t xml:space="preserve">. Naïve optimization of an oracle’s point prediction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systematically exploits regions where the oracle is</w:t>
      </w:r>
      <w:r>
        <w:t xml:space="preserve"> </w:t>
      </w:r>
      <w:r>
        <w:rPr>
          <w:i/>
          <w:iCs/>
        </w:rPr>
        <w:t xml:space="preserve">overconfident but wrong</w:t>
      </w:r>
      <w:r>
        <w:t xml:space="preserve">: the recommended designs look excellent under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yet have low true activity. This</w:t>
      </w:r>
      <w:r>
        <w:t xml:space="preserve"> </w:t>
      </w:r>
      <w:r>
        <w:rPr>
          <w:b/>
          <w:bCs/>
        </w:rPr>
        <w:t xml:space="preserve">oracle-gap</w:t>
      </w:r>
      <w:r>
        <w:t xml:space="preserve"> </w:t>
      </w:r>
      <w:r>
        <w:t xml:space="preserve">(a multi-objective instance of reward hacking / oracle exploitation) is the central obstacle to trustworthy in-silico design.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CU-MOBO</w:t>
      </w:r>
      <w:r>
        <w:t xml:space="preserve"> </w:t>
      </w:r>
      <w:r>
        <w:t xml:space="preserve">(Calibrated-Uncertainty Multi-Objective Bayesian Optimization), a principled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metaheuristic — method that turns the oracle’s</w:t>
      </w:r>
      <w:r>
        <w:t xml:space="preserve"> </w:t>
      </w:r>
      <w:r>
        <w:rPr>
          <w:b/>
          <w:bCs/>
        </w:rPr>
        <w:t xml:space="preserve">calibrated uncertainty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into a first-class citizen</w:t>
      </w:r>
      <w:r>
        <w:t xml:space="preserve"> </w:t>
      </w:r>
      <w:r>
        <w:t xml:space="preserve">of the optimization. CU-MOBO contributes three mechanisms: (1)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enters the Pareto front as an explicit objective (replacing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and its hand-tuned</w:t>
      </w:r>
      <w:r>
        <w:t xml:space="preserve"> </w:t>
      </w:r>
      <w:r>
        <w:rPr>
          <w:rStyle w:val="VerbatimChar"/>
        </w:rPr>
        <w:t xml:space="preserve">λ</w:t>
      </w:r>
      <w:r>
        <w:t xml:space="preserve">); (2)</w:t>
      </w:r>
      <w:r>
        <w:t xml:space="preserve"> </w:t>
      </w:r>
      <w:r>
        <w:rPr>
          <w:b/>
          <w:bCs/>
        </w:rPr>
        <w:t xml:space="preserve">the 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is used as the heteroscedastic observation noise (</w:t>
      </w:r>
      <w:r>
        <w:rPr>
          <w:rStyle w:val="VerbatimChar"/>
          <w:b/>
          <w:bCs/>
        </w:rPr>
        <w:t xml:space="preserve">train_Yvar</w:t>
      </w:r>
      <w:r>
        <w:rPr>
          <w:b/>
          <w:bCs/>
        </w:rPr>
        <w:t xml:space="preserve">) of the activity Gaussian-process surrogate</w:t>
      </w:r>
      <w:r>
        <w:t xml:space="preserve"> </w:t>
      </w:r>
      <w:r>
        <w:t xml:space="preserve">— so the posterior automatically down-weights unreliable observations and denoises toward true activity (our core algorithmic novelty); (3) risk-aware batch acquisition via qNEHVI under constraints.</w:t>
      </w:r>
    </w:p>
    <w:p>
      <w:pPr>
        <w:pStyle w:val="BodyText"/>
      </w:pPr>
      <w:r>
        <w:t xml:space="preserve">We validate on two complementary fronts. (i) A</w:t>
      </w:r>
      <w:r>
        <w:t xml:space="preserve"> </w:t>
      </w:r>
      <w:r>
        <w:rPr>
          <w:b/>
          <w:bCs/>
        </w:rPr>
        <w:t xml:space="preserve">controlled synthetic oracle-gap benchmark</w:t>
      </w:r>
      <w:r>
        <w:t xml:space="preserve"> </w:t>
      </w:r>
      <w:r>
        <w:t xml:space="preserve">with hidden ground-truth activity isolates the mechanism (5 seeds): 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 (and lands in trap regions 0.7 % vs 32.9 % of the time), with a clean,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2×2 ablation attributing the gains to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(Cliff’s δ: large vs all no-σ baselines) — and notably, qParEGO, a strong SOTA MOBO baseline that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, is among the</w:t>
      </w:r>
      <w:r>
        <w:t xml:space="preserve"> </w:t>
      </w:r>
      <w:r>
        <w:rPr>
          <w:i/>
          <w:iCs/>
        </w:rPr>
        <w:t xml:space="preserve">worst</w:t>
      </w:r>
      <w:r>
        <w:t xml:space="preserve">, confirming the gains come from the calibrated-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rather than the MOBO machinery. (ii) A</w:t>
      </w:r>
      <w:r>
        <w:t xml:space="preserve"> </w:t>
      </w:r>
      <w:r>
        <w:rPr>
          <w:b/>
          <w:bCs/>
        </w:rPr>
        <w:t xml:space="preserve">retrospective enrichment study on real experimental kcat labels</w:t>
      </w:r>
      <w:r>
        <w:t xml:space="preserve"> </w:t>
      </w:r>
      <w:r>
        <w:t xml:space="preserve">showing CU-MOBO-guided generation is significantly enriched for held-out high-kcat substrates (</w:t>
      </w:r>
      <w:r>
        <w:rPr>
          <w:b/>
          <w:bCs/>
        </w:rPr>
        <w:t xml:space="preserve">1.26 ± 0.11× over random</w:t>
      </w:r>
      <w:r>
        <w:t xml:space="preserve">, specificity</w:t>
      </w:r>
      <w:r>
        <w:t xml:space="preserve"> </w:t>
      </w:r>
      <w:r>
        <w:rPr>
          <w:b/>
          <w:bCs/>
        </w:rPr>
        <w:t xml:space="preserve">1.74×</w:t>
      </w:r>
      <w:r>
        <w:t xml:space="preserve">, leakage-controlled; surviving a Bemis–Murcko scaffold split and a near-neighbour-removal control). We also</w:t>
      </w:r>
      <w:r>
        <w:t xml:space="preserve"> </w:t>
      </w:r>
      <w:r>
        <w:rPr>
          <w:b/>
          <w:bCs/>
        </w:rPr>
        <w:t xml:space="preserve">audit the σ the method relies on</w:t>
      </w:r>
      <w:r>
        <w:t xml:space="preserve"> </w:t>
      </w:r>
      <w:r>
        <w:t xml:space="preserve">— finding it only weakly calibrated on a real noisy oracle — report the</w:t>
      </w:r>
      <w:r>
        <w:t xml:space="preserve"> </w:t>
      </w:r>
      <w:r>
        <w:rPr>
          <w:b/>
          <w:bCs/>
        </w:rPr>
        <w:t xml:space="preserve">diversity/novelty</w:t>
      </w:r>
      <w:r>
        <w:t xml:space="preserve"> </w:t>
      </w:r>
      <w:r>
        <w:t xml:space="preserve">of recommendations, and</w:t>
      </w:r>
      <w:r>
        <w:t xml:space="preserve"> </w:t>
      </w:r>
      <w:r>
        <w:rPr>
          <w:b/>
          <w:bCs/>
        </w:rPr>
        <w:t xml:space="preserve">anchor externally on a community-standard TDC oracle</w:t>
      </w:r>
      <w:r>
        <w:t xml:space="preserve"> </w:t>
      </w:r>
      <w:r>
        <w:t xml:space="preserve">(§4.6), where CU-MOBO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on a smooth third-party scorer. We are explicit that these are in-silico results: they establish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sample efficiency</w:t>
      </w:r>
      <w:r>
        <w:t xml:space="preserve">, not wet-lab-validated activity.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Generative models can propose vast numbers of candidate molecules or process configurations; the bottleneck is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them. Increasingly the scoring function is a</w:t>
      </w:r>
      <w:r>
        <w:t xml:space="preserve"> </w:t>
      </w:r>
      <w:r>
        <w:rPr>
          <w:b/>
          <w:bCs/>
        </w:rPr>
        <w:t xml:space="preserve">learned oracle</w:t>
      </w:r>
      <w:r>
        <w:t xml:space="preserve">: KcatMoE / KinEAGER for enzyme turnover</w:t>
      </w:r>
      <w:r>
        <w:rPr>
          <w:vertAlign w:val="superscript"/>
        </w:rPr>
        <w:t xml:space="preserve">1–3</w:t>
      </w:r>
      <w:r>
        <w:t xml:space="preserve">, Boltz / AlphaFold-derived scores for structure</w:t>
      </w:r>
      <w:r>
        <w:rPr>
          <w:vertAlign w:val="superscript"/>
        </w:rPr>
        <w:t xml:space="preserve">4,5</w:t>
      </w:r>
      <w:r>
        <w:t xml:space="preserve">, QSAR models for bioactivity. These oracles share two properties that classical black-box optimization ignores: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expensive.</w:t>
      </w:r>
      <w:r>
        <w:t xml:space="preserve"> </w:t>
      </w:r>
      <w:r>
        <w:t xml:space="preserve">Each query may cost seconds-to-minutes of GPU inference (or, in a human-in-the-loop setting, a real assay). Evaluation budget — not wall-clock of the optimizer — is the scarce resource. This is exactly the regime of the</w:t>
      </w:r>
      <w:r>
        <w:t xml:space="preserve"> </w:t>
      </w:r>
      <w:r>
        <w:rPr>
          <w:i/>
          <w:iCs/>
        </w:rPr>
        <w:t xml:space="preserve">Practical Molecular Optimization</w:t>
      </w:r>
      <w:r>
        <w:t xml:space="preserve"> </w:t>
      </w:r>
      <w:r>
        <w:t xml:space="preserve">(PMO) benchmark</w:t>
      </w:r>
      <w:r>
        <w:rPr>
          <w:vertAlign w:val="superscript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uncertain, and increasingly they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that uncertainty.</w:t>
      </w:r>
      <w:r>
        <w:t xml:space="preserve"> </w:t>
      </w:r>
      <w:r>
        <w:t xml:space="preserve">Modern oracles emit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, evidential heads</w:t>
      </w:r>
      <w:r>
        <w:rPr>
          <w:vertAlign w:val="superscript"/>
        </w:rPr>
        <w:t xml:space="preserve">9</w:t>
      </w:r>
      <w:r>
        <w:t xml:space="preserve">). This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correlates with true error — it is information about</w:t>
      </w:r>
      <w:r>
        <w:t xml:space="preserve"> </w:t>
      </w:r>
      <w:r>
        <w:rPr>
          <w:i/>
          <w:iCs/>
        </w:rPr>
        <w:t xml:space="preserve">where not to trust the oracle</w:t>
      </w:r>
      <w:r>
        <w:t xml:space="preserve">.</w:t>
      </w:r>
    </w:p>
    <w:p>
      <w:pPr>
        <w:pStyle w:val="FirstParagraph"/>
      </w:pPr>
      <w:r>
        <w:t xml:space="preserve">Naïve</w:t>
      </w:r>
      <w:r>
        <w:t xml:space="preserve"> </w:t>
      </w:r>
      <w:r>
        <w:rPr>
          <w:rStyle w:val="VerbatimChar"/>
        </w:rPr>
        <w:t xml:space="preserve">μ</w:t>
      </w:r>
      <w:r>
        <w:t xml:space="preserve">-greedy design throws away (2): it chases the highest predicted activity, which preferentially lands in regions where the oracle extrapolates badly and is overconfident. The result is the</w:t>
      </w:r>
      <w:r>
        <w:t xml:space="preserve"> </w:t>
      </w:r>
      <w:r>
        <w:rPr>
          <w:b/>
          <w:bCs/>
        </w:rPr>
        <w:t xml:space="preserve">oracle-gap</w:t>
      </w:r>
      <w:r>
        <w:t xml:space="preserve">: recommended designs with high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but low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. The phenomenon is well known under several names —</w:t>
      </w:r>
      <w:r>
        <w:t xml:space="preserve"> </w:t>
      </w:r>
      <w:r>
        <w:rPr>
          <w:i/>
          <w:iCs/>
        </w:rPr>
        <w:t xml:space="preserve">oracle exploitation</w:t>
      </w:r>
      <w:r>
        <w:t xml:space="preserve">,</w:t>
      </w:r>
      <w:r>
        <w:t xml:space="preserve"> </w:t>
      </w:r>
      <w:r>
        <w:rPr>
          <w:i/>
          <w:iCs/>
        </w:rPr>
        <w:t xml:space="preserve">reward hacking</w:t>
      </w:r>
      <w:r>
        <w:t xml:space="preserve">,</w:t>
      </w:r>
      <w:r>
        <w:t xml:space="preserve"> </w:t>
      </w:r>
      <w:r>
        <w:rPr>
          <w:i/>
          <w:iCs/>
        </w:rPr>
        <w:t xml:space="preserve">predictor gaming</w:t>
      </w:r>
      <w:r>
        <w:rPr>
          <w:vertAlign w:val="superscript"/>
        </w:rPr>
        <w:t xml:space="preserve">10,11</w:t>
      </w:r>
      <w:r>
        <w:t xml:space="preserve"> </w:t>
      </w:r>
      <w:r>
        <w:t xml:space="preserve">— and is the dominant failure mode of optimize-against-a-predictor pipelines.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CU-MOBO</w:t>
      </w:r>
      <w:r>
        <w:t xml:space="preserve">, a calibrated-uncertainty MOBO method whose central idea is to use the oracle’s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as a Pareto 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heteroscedastic GP observation noise, the latter being (to our knowledge) an under-used lever for resisting oracle-gap in inverse design.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controlled synthetic benchmark</w:t>
      </w:r>
      <w:r>
        <w:t xml:space="preserve"> </w:t>
      </w:r>
      <w:r>
        <w:t xml:space="preserve">with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that makes oracle-gap</w:t>
      </w:r>
      <w:r>
        <w:t xml:space="preserve"> </w:t>
      </w:r>
      <w:r>
        <w:rPr>
          <w:i/>
          <w:iCs/>
        </w:rPr>
        <w:t xml:space="preserve">measurable and falsifiable</w:t>
      </w:r>
      <w:r>
        <w:t xml:space="preserve">, breaking the self-evaluation circularity that plagues the field, plus a clean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of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real-label retrospective study</w:t>
      </w:r>
      <w:r>
        <w:t xml:space="preserve"> </w:t>
      </w:r>
      <w:r>
        <w:t xml:space="preserve">(kcat) that shows the mechanism’s benefit survives genuine experimental labels under a leakage-controlled hold-out, not only the synthetic construction.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calibration audit</w:t>
      </w:r>
      <w:r>
        <w:t xml:space="preserve"> </w:t>
      </w:r>
      <w:r>
        <w:t xml:space="preserve">of the very σ the method relies on — measured, not assumed — finding that on a real noisy oracle cheap RF σ is only weakly calibrated (and OOF-residual σ no better than tree variance), which delimits where the σ mechanisms are guaranteed to help and motivates the adaptive-reliability extension.</w:t>
      </w:r>
      <w:r>
        <w:t xml:space="preserve"> </w:t>
      </w:r>
      <w:r>
        <w:t xml:space="preserve">- Throughout, an</w:t>
      </w:r>
      <w:r>
        <w:t xml:space="preserve"> </w:t>
      </w:r>
      <w:r>
        <w:rPr>
          <w:b/>
          <w:bCs/>
        </w:rPr>
        <w:t xml:space="preserve">honest accounting</w:t>
      </w:r>
      <w:r>
        <w:t xml:space="preserve"> </w:t>
      </w:r>
      <w:r>
        <w:t xml:space="preserve">of what in-silico evidence can and cannot establish.</w:t>
      </w:r>
    </w:p>
    <w:p>
      <w:pPr>
        <w:pStyle w:val="BodyText"/>
      </w:pPr>
      <w:r>
        <w:t xml:space="preserve">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new optimizer</w:t>
      </w:r>
      <w:r>
        <w:t xml:space="preserve"> </w:t>
      </w:r>
      <w:r>
        <w:rPr>
          <w:i/>
          <w:iCs/>
        </w:rPr>
        <w:t xml:space="preserve">principle</w:t>
      </w:r>
      <w:r>
        <w:t xml:space="preserve">. The inner loop is Bayesian optimization, a strong and standard framework for expensive MOO</w:t>
      </w:r>
      <w:r>
        <w:rPr>
          <w:vertAlign w:val="superscript"/>
        </w:rPr>
        <w:t xml:space="preserve">12,13</w:t>
      </w:r>
      <w:r>
        <w:t xml:space="preserve">. Our contribution is the</w:t>
      </w:r>
      <w:r>
        <w:t xml:space="preserve"> </w:t>
      </w:r>
      <w:r>
        <w:rPr>
          <w:i/>
          <w:iCs/>
        </w:rPr>
        <w:t xml:space="preserve">principled instantiation</w:t>
      </w:r>
      <w:r>
        <w:t xml:space="preserve"> </w:t>
      </w:r>
      <w:r>
        <w:t xml:space="preserve">of calibrated uncertainty within it for inverse design, together with the validation protocol.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Multi-objective BO.</w:t>
      </w:r>
      <w:r>
        <w:t xml:space="preserve"> </w:t>
      </w:r>
      <w:r>
        <w:t xml:space="preserve">qEHVI</w:t>
      </w:r>
      <w:r>
        <w:rPr>
          <w:vertAlign w:val="superscript"/>
        </w:rPr>
        <w:t xml:space="preserve">14</w:t>
      </w:r>
      <w:r>
        <w:t xml:space="preserve"> </w:t>
      </w:r>
      <w:r>
        <w:t xml:space="preserve">/ qNEHVI</w:t>
      </w:r>
      <w:r>
        <w:rPr>
          <w:vertAlign w:val="superscript"/>
        </w:rPr>
        <w:t xml:space="preserve">15</w:t>
      </w:r>
      <w:r>
        <w:t xml:space="preserve"> </w:t>
      </w:r>
      <w:r>
        <w:t xml:space="preserve">are the SOTA acquisition functions for expensive MOO;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is the standard random-scalarization baseline. These assume noiseless or homoscedastic observations and do not consume an externally-supplied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in BO.</w:t>
      </w:r>
      <w:r>
        <w:t xml:space="preserve"> </w:t>
      </w:r>
      <w:r>
        <w:t xml:space="preserve">Heteroscedastic GPs and input-dependent noise are classical, but in inverse design the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almost always used (if at all) only inside an acquisition trade-off, not as the GP’s observation noise. We make the calibrated</w:t>
      </w:r>
      <w:r>
        <w:t xml:space="preserve"> </w:t>
      </w:r>
      <w:r>
        <w:rPr>
          <w:rStyle w:val="VerbatimChar"/>
        </w:rPr>
        <w:t xml:space="preserve">σ²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train_Yvar</w:t>
      </w:r>
      <w:r>
        <w:t xml:space="preserve"> </w:t>
      </w:r>
      <w:r>
        <w:t xml:space="preserve">of the activity GP.</w:t>
      </w:r>
    </w:p>
    <w:p>
      <w:pPr>
        <w:pStyle w:val="BodyText"/>
      </w:pPr>
      <w:r>
        <w:rPr>
          <w:b/>
          <w:bCs/>
        </w:rPr>
        <w:t xml:space="preserve">Oracle exploitation / reward hacking.</w:t>
      </w:r>
      <w:r>
        <w:t xml:space="preserve"> </w:t>
      </w:r>
      <w:r>
        <w:t xml:space="preserve">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surrounding literature document that optimizing hard against a predictor produces high-score, low-truth molecules, and that retrospective rediscovery hit-rates on real data are very low.</w:t>
      </w:r>
      <w:r>
        <w:t xml:space="preserve"> </w:t>
      </w:r>
      <w:r>
        <w:rPr>
          <w:b/>
          <w:bCs/>
        </w:rPr>
        <w:t xml:space="preserve">Offline model-based optimization</w:t>
      </w:r>
      <w:r>
        <w:t xml:space="preserve"> </w:t>
      </w:r>
      <w:r>
        <w:t xml:space="preserve">formalizes exactly this: Design-Bench</w:t>
      </w:r>
      <w:r>
        <w:rPr>
          <w:vertAlign w:val="superscript"/>
        </w:rPr>
        <w:t xml:space="preserve">17</w:t>
      </w:r>
      <w:r>
        <w:t xml:space="preserve"> </w:t>
      </w:r>
      <w:r>
        <w:t xml:space="preserve">trains a proxy on a static dataset and scores found designs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held-out oracle, and</w:t>
      </w:r>
      <w:r>
        <w:t xml:space="preserve"> </w:t>
      </w:r>
      <w:r>
        <w:rPr>
          <w:b/>
          <w:bCs/>
        </w:rPr>
        <w:t xml:space="preserve">Conservative Objective Models (COMs)</w:t>
      </w:r>
      <w:r>
        <w:rPr>
          <w:vertAlign w:val="superscript"/>
        </w:rPr>
        <w:t xml:space="preserve">18</w:t>
      </w:r>
      <w:r>
        <w:t xml:space="preserve"> </w:t>
      </w:r>
      <w:r>
        <w:t xml:space="preserve">show the canonical signature — naive gradient ascent</w:t>
      </w:r>
      <w:r>
        <w:t xml:space="preserve"> </w:t>
      </w:r>
      <w:r>
        <w:t xml:space="preserve">“fools”</w:t>
      </w:r>
      <w:r>
        <w:t xml:space="preserve"> </w:t>
      </w:r>
      <w:r>
        <w:t xml:space="preserve">the proxy off-manifold while true value falls. Our synthetic benchmark adopts this protocol’s grammar (hidden ground-truth oracle the optimizer never sees) and our E4 over-optimization curve (§5) is the COMs degradation diagnostic instantiated in a generative latent.</w:t>
      </w:r>
      <w:r>
        <w:t xml:space="preserve"> </w:t>
      </w:r>
      <w:r>
        <w:rPr>
          <w:b/>
          <w:bCs/>
        </w:rPr>
        <w:t xml:space="preserve">DyRAMO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attacks the same multi-objective reward-hacking problem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lever — hard applicability-domain (max-Tanimoto-similarity) gating tuned by BO — where CU-MOBO instead uses a</w:t>
      </w:r>
      <w:r>
        <w:t xml:space="preserve"> </w:t>
      </w:r>
      <w:r>
        <w:rPr>
          <w:i/>
          <w:iCs/>
        </w:rPr>
        <w:t xml:space="preserve">soft, calibrated, heteroscedastic</w:t>
      </w:r>
      <w:r>
        <w:t xml:space="preserve"> </w:t>
      </w:r>
      <w:r>
        <w:t xml:space="preserve">σ (as objective, as GP noise, and in E2 as a one-sided reliability penalty); the two are complementary framings of</w:t>
      </w:r>
      <w:r>
        <w:t xml:space="preserve"> </w:t>
      </w:r>
      <w:r>
        <w:t xml:space="preserve">“distrust the oracle off its training manifold.”</w:t>
      </w:r>
      <w:r>
        <w:t xml:space="preserve"> </w:t>
      </w:r>
      <w:r>
        <w:t xml:space="preserve">Our contribution within this lineage is the use of</w:t>
      </w:r>
      <w:r>
        <w:t xml:space="preserve"> </w:t>
      </w:r>
      <w:r>
        <w:rPr>
          <w:i/>
          <w:iCs/>
        </w:rPr>
        <w:t xml:space="preserve">calibrated σ as GP observation noise</w:t>
      </w:r>
      <w:r>
        <w:t xml:space="preserve"> </w:t>
      </w:r>
      <w:r>
        <w:t xml:space="preserve">and the explicit</w:t>
      </w:r>
      <w:r>
        <w:t xml:space="preserve"> </w:t>
      </w:r>
      <w:r>
        <w:rPr>
          <w:i/>
          <w:iCs/>
        </w:rPr>
        <w:t xml:space="preserve">calibration audit</w:t>
      </w:r>
      <w:r>
        <w:t xml:space="preserve"> </w:t>
      </w:r>
      <w:r>
        <w:t xml:space="preserve">(§4.4) that the proxy-gap literature rarely reports.</w:t>
      </w:r>
    </w:p>
    <w:p>
      <w:pPr>
        <w:pStyle w:val="BodyText"/>
      </w:pPr>
      <w:r>
        <w:rPr>
          <w:b/>
          <w:bCs/>
        </w:rPr>
        <w:t xml:space="preserve">Metaheuristics.</w:t>
      </w:r>
      <w:r>
        <w:t xml:space="preserve"> </w:t>
      </w:r>
      <w:r>
        <w:t xml:space="preserve">We deliberately avoid</w:t>
      </w:r>
      <w:r>
        <w:t xml:space="preserve"> </w:t>
      </w:r>
      <w:r>
        <w:t xml:space="preserve">“animal-metaphor”</w:t>
      </w:r>
      <w:r>
        <w:t xml:space="preserve"> </w:t>
      </w:r>
      <w:r>
        <w:t xml:space="preserve">metaheuristics; the field (and reviewers) increasingly discount them. CU-MOBO is grounded in BO.</w:t>
      </w:r>
    </w:p>
    <w:p>
      <w:r>
        <w:pict>
          <v:rect style="width:0;height:1.5pt" o:hralign="center" o:hrstd="t" o:hr="t"/>
        </w:pict>
      </w:r>
    </w:p>
    <w:bookmarkEnd w:id="11"/>
    <w:bookmarkStart w:id="19" w:name="method-cu-mobo"/>
    <w:p>
      <w:pPr>
        <w:pStyle w:val="Heading2"/>
      </w:pPr>
      <w:r>
        <w:t xml:space="preserve">3. Method: CU-MOBO</w:t>
      </w:r>
    </w:p>
    <w:p>
      <w:pPr>
        <w:pStyle w:val="FirstParagraph"/>
      </w:pPr>
      <w:r>
        <w:drawing>
          <wp:inline>
            <wp:extent cx="5024612" cy="4507777"/>
            <wp:effectExtent b="0" l="0" r="0" t="0"/>
            <wp:docPr descr="Figure 1" title="" id="13" name="Picture"/>
            <a:graphic>
              <a:graphicData uri="http://schemas.openxmlformats.org/drawingml/2006/picture">
                <pic:pic>
                  <pic:nvPicPr>
                    <pic:cNvPr descr="../results/fig1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12" cy="45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CU-MOBO at a glance.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oracle-gap</w:t>
      </w:r>
      <w:r>
        <w:t xml:space="preserve">: μ-greedy optimisation chases a spurious μ peak where the calibrated σ is large and the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 (a trap / reward-hacking region), whereas reading σ steers to the trustworthy optimum (high μ,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σ, 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CU-MOBO turns the oracle’s calibrated σ into a first-class citizen through three mechanisms — σ as a Pareto objective, calibrated σ² as heteroscedastic GP observation noise (</w:t>
      </w:r>
      <w:r>
        <w:rPr>
          <w:rStyle w:val="VerbatimChar"/>
        </w:rPr>
        <w:t xml:space="preserve">train_Yvar</w:t>
      </w:r>
      <w:r>
        <w:t xml:space="preserve">), and risk-aware qNEHVI batch acquisition — yielding trustworthy designs.</w:t>
      </w:r>
    </w:p>
    <w:bookmarkStart w:id="15" w:name="problem-setting"/>
    <w:p>
      <w:pPr>
        <w:pStyle w:val="Heading3"/>
      </w:pPr>
      <w:r>
        <w:t xml:space="preserve">3.1 Problem setting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t xml:space="preserve">(e.g. a generative-model latent</w:t>
      </w:r>
      <w:r>
        <w:t xml:space="preserve"> </w:t>
      </w:r>
      <w:r>
        <w:rPr>
          <w:rStyle w:val="VerbatimChar"/>
        </w:rPr>
        <w:t xml:space="preserve">z</w:t>
      </w:r>
      <w:r>
        <w:t xml:space="preserve">). Each query of an expensive, uncertain oracle returns predicted activity</w:t>
      </w:r>
      <w:r>
        <w:t xml:space="preserve"> </w:t>
      </w:r>
      <w:r>
        <w:rPr>
          <w:rStyle w:val="VerbatimChar"/>
        </w:rPr>
        <w:t xml:space="preserve">μ(x)</w:t>
      </w:r>
      <w:r>
        <w:t xml:space="preserve">, calibrated uncertainty</w:t>
      </w:r>
      <w:r>
        <w:t xml:space="preserve"> </w:t>
      </w:r>
      <w:r>
        <w:rPr>
          <w:rStyle w:val="VerbatimChar"/>
        </w:rPr>
        <w:t xml:space="preserve">σ(x)</w:t>
      </w:r>
      <w:r>
        <w:t xml:space="preserve">, deterministic objectives (QED</w:t>
      </w:r>
      <w:r>
        <w:rPr>
          <w:vertAlign w:val="superscript"/>
        </w:rPr>
        <w:t xml:space="preserve">20</w:t>
      </w:r>
      <w:r>
        <w:t xml:space="preserve">, SA</w:t>
      </w:r>
      <w:r>
        <w:rPr>
          <w:vertAlign w:val="superscript"/>
        </w:rPr>
        <w:t xml:space="preserve">21</w:t>
      </w:r>
      <w:r>
        <w:t xml:space="preserve">), and constraints (validity, Lipinski</w:t>
      </w:r>
      <w:r>
        <w:rPr>
          <w:vertAlign w:val="superscript"/>
        </w:rPr>
        <w:t xml:space="preserve">22</w:t>
      </w:r>
      <w:r>
        <w:t xml:space="preserve">, PAINS</w:t>
      </w:r>
      <w:r>
        <w:rPr>
          <w:vertAlign w:val="superscript"/>
        </w:rPr>
        <w:t xml:space="preserve">23</w:t>
      </w:r>
      <w:r>
        <w:t xml:space="preserve">, size), all computed with RDKit</w:t>
      </w:r>
      <w:r>
        <w:rPr>
          <w:vertAlign w:val="superscript"/>
        </w:rPr>
        <w:t xml:space="preserve">24</w:t>
      </w:r>
      <w:r>
        <w:t xml:space="preserve">. The quantity of interest is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bookmarkEnd w:id="15"/>
    <w:bookmarkStart w:id="16" w:name="failure-mode"/>
    <w:p>
      <w:pPr>
        <w:pStyle w:val="Heading3"/>
      </w:pPr>
      <w:r>
        <w:t xml:space="preserve">3.2 Failure mode</w:t>
      </w:r>
    </w:p>
    <w:p>
      <w:pPr>
        <w:pStyle w:val="FirstParagraph"/>
      </w:pPr>
      <w:r>
        <w:t xml:space="preserve">μ-greedy exploits regions where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is inflated but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low. By calibration,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elevated there — the oracle warns about its own error — but μ-greedy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and falls into the trap.</w:t>
      </w:r>
    </w:p>
    <w:bookmarkEnd w:id="16"/>
    <w:bookmarkStart w:id="17" w:name="three-mechanisms"/>
    <w:p>
      <w:pPr>
        <w:pStyle w:val="Heading3"/>
      </w:pPr>
      <w:r>
        <w:t xml:space="preserve">3.3 Three mechanisms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Pareto objective.</w:t>
      </w:r>
      <w:r>
        <w:t xml:space="preserve"> </w:t>
      </w:r>
      <w:r>
        <w:t xml:space="preserve">Optimize</w:t>
      </w:r>
      <w:r>
        <w:t xml:space="preserve"> </w:t>
      </w:r>
      <w:r>
        <w:rPr>
          <w:rStyle w:val="VerbatimChar"/>
        </w:rPr>
        <w:t xml:space="preserve">[μ↑, −σ↑, QED↑, −SA↑]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becomes an</w:t>
      </w:r>
      <w:r>
        <w:t xml:space="preserve"> </w:t>
      </w:r>
      <w:r>
        <w:rPr>
          <w:i/>
          <w:iCs/>
        </w:rPr>
        <w:t xml:space="preserve">explicit front</w:t>
      </w:r>
      <w:r>
        <w:t xml:space="preserve">; risk preference is chosen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on the front, with no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hyperparameter.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as heteroscedastic observation noise (core novelty).</w:t>
      </w:r>
      <w:r>
        <w:t xml:space="preserve"> </w:t>
      </w:r>
      <w:r>
        <w:t xml:space="preserve">The activity GP uses</w:t>
      </w:r>
      <w:r>
        <w:t xml:space="preserve"> </w:t>
      </w:r>
      <w:r>
        <w:rPr>
          <w:rStyle w:val="VerbatimChar"/>
        </w:rPr>
        <w:t xml:space="preserve">train_Yvar = σ²(x)</w:t>
      </w:r>
      <w:r>
        <w:t xml:space="preserve"> </w:t>
      </w:r>
      <w:r>
        <w:t xml:space="preserve">per observation. The posterior automatically down-weights high-</w:t>
      </w:r>
      <w:r>
        <w:rPr>
          <w:rStyle w:val="VerbatimChar"/>
        </w:rPr>
        <w:t xml:space="preserve">σ</w:t>
      </w:r>
      <w:r>
        <w:t xml:space="preserve"> </w:t>
      </w:r>
      <w:r>
        <w:t xml:space="preserve">(unreliable) observations and up-weights low-</w:t>
      </w:r>
      <w:r>
        <w:rPr>
          <w:rStyle w:val="VerbatimChar"/>
        </w:rPr>
        <w:t xml:space="preserve">σ</w:t>
      </w:r>
      <w:r>
        <w:t xml:space="preserve"> </w:t>
      </w:r>
      <w:r>
        <w:t xml:space="preserve">ones → the posterior mean is a</w:t>
      </w:r>
      <w:r>
        <w:t xml:space="preserve"> </w:t>
      </w:r>
      <w:r>
        <w:rPr>
          <w:i/>
          <w:iCs/>
        </w:rPr>
        <w:t xml:space="preserve">denoised</w:t>
      </w:r>
      <w:r>
        <w:t xml:space="preserve"> </w:t>
      </w:r>
      <w:r>
        <w:t xml:space="preserve">estimate of true activity → direct resistance to oracle-gap. Standard MOBO discards this calibration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Risk-aware batch acquisition + constraints.</w:t>
      </w:r>
      <w:r>
        <w:t xml:space="preserve"> </w:t>
      </w:r>
      <w:r>
        <w:t xml:space="preserve">qNEHVI selects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points/round on the above objectives; constraints are handled by feasibility.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(σ-as-objective × σ-as-noise) isolates the contribution of mechanisms 1 and 2: naive(F,F) → σ-obj(T,F) → σ-noise(F,T) → CU-MOBO(T,T).</w:t>
      </w:r>
    </w:p>
    <w:bookmarkEnd w:id="17"/>
    <w:bookmarkStart w:id="18" w:name="implementation"/>
    <w:p>
      <w:pPr>
        <w:pStyle w:val="Heading3"/>
      </w:pPr>
      <w:r>
        <w:t xml:space="preserve">3.4 Implementation</w:t>
      </w:r>
    </w:p>
    <w:p>
      <w:pPr>
        <w:pStyle w:val="FirstParagraph"/>
      </w:pPr>
      <w:r>
        <w:t xml:space="preserve">BoTorch</w:t>
      </w:r>
      <w:r>
        <w:rPr>
          <w:vertAlign w:val="superscript"/>
        </w:rPr>
        <w:t xml:space="preserve">25</w:t>
      </w:r>
      <w:r>
        <w:t xml:space="preserve"> </w:t>
      </w:r>
      <w:r>
        <w:rPr>
          <w:rStyle w:val="VerbatimChar"/>
        </w:rPr>
        <w:t xml:space="preserve">ModelListGP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SingleTaskGP</w:t>
      </w:r>
      <w:r>
        <w:t xml:space="preserve">s (input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 outcome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model takes</w:t>
      </w:r>
      <w:r>
        <w:t xml:space="preserve"> </w:t>
      </w:r>
      <w:r>
        <w:rPr>
          <w:rStyle w:val="VerbatimChar"/>
        </w:rPr>
        <w:t xml:space="preserve">train_Yvar=σ²</w:t>
      </w:r>
      <w:r>
        <w:t xml:space="preserve">;</w:t>
      </w:r>
      <w:r>
        <w:t xml:space="preserve"> </w:t>
      </w:r>
      <w:r>
        <w:rPr>
          <w:rStyle w:val="VerbatimChar"/>
        </w:rPr>
        <w:t xml:space="preserve">qNoisyExpectedHypervolumeImprovement</w:t>
      </w:r>
      <w:r>
        <w:rPr>
          <w:vertAlign w:val="superscript"/>
        </w:rPr>
        <w:t xml:space="preserve">15</w:t>
      </w:r>
      <w:r>
        <w:t xml:space="preserve"> </w:t>
      </w:r>
      <w:r>
        <w:t xml:space="preserve">with a Sobol QMC sampler;</w:t>
      </w:r>
      <w:r>
        <w:t xml:space="preserve"> </w:t>
      </w:r>
      <w:r>
        <w:rPr>
          <w:rStyle w:val="VerbatimChar"/>
        </w:rPr>
        <w:t xml:space="preserve">optimize_acqf</w:t>
      </w:r>
      <w:r>
        <w:t xml:space="preserve"> </w:t>
      </w:r>
      <w:r>
        <w:t xml:space="preserve">sequential q-batch. Budget is measured in</w:t>
      </w:r>
      <w:r>
        <w:t xml:space="preserve"> </w:t>
      </w:r>
      <w:r>
        <w:rPr>
          <w:b/>
          <w:bCs/>
        </w:rPr>
        <w:t xml:space="preserve">real oracle evaluations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algorithms/cu_mobo.py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experiments"/>
    <w:p>
      <w:pPr>
        <w:pStyle w:val="Heading2"/>
      </w:pPr>
      <w:r>
        <w:t xml:space="preserve">4. Experiments</w:t>
      </w:r>
    </w:p>
    <w:bookmarkStart w:id="23" w:name="X34649e156bb3c553392bf2dbd6107fd333ae64b"/>
    <w:p>
      <w:pPr>
        <w:pStyle w:val="Heading3"/>
      </w:pPr>
      <w:r>
        <w:t xml:space="preserve">4.1 Controlled synthetic oracle-gap benchmark (mechanism, with hidden ground truth)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problems/uncertain_oracle.py</w:t>
      </w:r>
      <w:r>
        <w:t xml:space="preserve">: a known</w:t>
      </w:r>
      <w:r>
        <w:t xml:space="preserve"> </w:t>
      </w:r>
      <w:r>
        <w:rPr>
          <w:rStyle w:val="VerbatimChar"/>
        </w:rPr>
        <w:t xml:space="preserve">a_true(x)</w:t>
      </w:r>
      <w:r>
        <w:t xml:space="preserve"> </w:t>
      </w:r>
      <w:r>
        <w:t xml:space="preserve">the optimizer never sees; the oracle returns</w:t>
      </w:r>
      <w:r>
        <w:t xml:space="preserve"> </w:t>
      </w:r>
      <w:r>
        <w:rPr>
          <w:rStyle w:val="VerbatimChar"/>
        </w:rPr>
        <w:t xml:space="preserve">μ = a_true + trap(x)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rPr>
          <w:rStyle w:val="VerbatimChar"/>
        </w:rPr>
        <w:t xml:space="preserve">σ = σ0 + γ·trap(x)</w:t>
      </w:r>
      <w:r>
        <w:t xml:space="preserve">. A reliable optimum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and a trap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(inflated</w:t>
      </w:r>
      <w:r>
        <w:t xml:space="preserve"> </w:t>
      </w:r>
      <w:r>
        <w:rPr>
          <w:rStyle w:val="VerbatimChar"/>
        </w:rPr>
        <w:t xml:space="preserve">μ</w:t>
      </w:r>
      <w:r>
        <w:t xml:space="preserve">, low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are placed symmetrically so QED/SA are identical at both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discriminator is whether a method trusts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blindly or reads</w:t>
      </w:r>
      <w:r>
        <w:t xml:space="preserve"> </w:t>
      </w:r>
      <w:r>
        <w:rPr>
          <w:rStyle w:val="VerbatimChar"/>
        </w:rPr>
        <w:t xml:space="preserve">σ</w:t>
      </w:r>
      <w:r>
        <w:t xml:space="preserve">. Methods: naive / σ-obj / σ-noise / CU-MOBO (2×2 ablation) +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+ NSGA-II</w:t>
      </w:r>
      <w:r>
        <w:rPr>
          <w:vertAlign w:val="superscript"/>
        </w:rPr>
        <w:t xml:space="preserve">26</w:t>
      </w:r>
      <w:r>
        <w:t xml:space="preserve"> </w:t>
      </w:r>
      <w:r>
        <w:t xml:space="preserve">(via pymoo</w:t>
      </w:r>
      <w:r>
        <w:rPr>
          <w:vertAlign w:val="superscript"/>
        </w:rPr>
        <w:t xml:space="preserve">27</w:t>
      </w:r>
      <w:r>
        <w:t xml:space="preserve">). Budget 80 oracle evals, n_init 20, batch 10,</w:t>
      </w:r>
      <w:r>
        <w:t xml:space="preserve"> </w:t>
      </w:r>
      <w:r>
        <w:rPr>
          <w:b/>
          <w:bCs/>
        </w:rPr>
        <w:t xml:space="preserve">5 seeds</w:t>
      </w:r>
      <w:r>
        <w:t xml:space="preserve">. Metrics on the recommended front, computed with the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: top-K true activity↑, oracle-gap</w:t>
      </w:r>
      <w:r>
        <w:t xml:space="preserve"> </w:t>
      </w:r>
      <w:r>
        <w:rPr>
          <w:rStyle w:val="VerbatimChar"/>
        </w:rPr>
        <w:t xml:space="preserve">|μ−a_true|</w:t>
      </w:r>
      <w:r>
        <w:t xml:space="preserve">↓, trap fraction↓.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results/oracle_gap_summary.csv</w:t>
      </w:r>
      <w:r>
        <w:rPr>
          <w:i/>
          <w:iCs/>
        </w:rPr>
        <w:t xml:space="preserve">, 5 seeds, budget 80, mean ± 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top-K true activity ↑</w:t>
            </w:r>
          </w:p>
        </w:tc>
        <w:tc>
          <w:tcPr/>
          <w:p>
            <w:pPr>
              <w:pStyle w:val="Compact"/>
            </w:pPr>
            <w:r>
              <w:t xml:space="preserve">oracle-gap ↓</w:t>
            </w:r>
          </w:p>
        </w:tc>
        <w:tc>
          <w:tcPr/>
          <w:p>
            <w:pPr>
              <w:pStyle w:val="Compact"/>
            </w:pPr>
            <w:r>
              <w:t xml:space="preserve">trap frac ↓</w:t>
            </w:r>
          </w:p>
        </w:tc>
        <w:tc>
          <w:tcPr/>
          <w:p>
            <w:pPr>
              <w:pStyle w:val="Compact"/>
            </w:pPr>
            <w:r>
              <w:t xml:space="preserve">PMO-AUC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(= qNEHVI on μ)</w:t>
            </w:r>
          </w:p>
        </w:tc>
        <w:tc>
          <w:tcPr/>
          <w:p>
            <w:pPr>
              <w:pStyle w:val="Compact"/>
            </w:pPr>
            <w:r>
              <w:t xml:space="preserve">0.284 ± 0.362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 only</w:t>
            </w:r>
          </w:p>
        </w:tc>
        <w:tc>
          <w:tcPr/>
          <w:p>
            <w:pPr>
              <w:pStyle w:val="Compact"/>
            </w:pPr>
            <w:r>
              <w:t xml:space="preserve">0.715 ± 0.256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 only</w:t>
            </w:r>
          </w:p>
        </w:tc>
        <w:tc>
          <w:tcPr/>
          <w:p>
            <w:pPr>
              <w:pStyle w:val="Compact"/>
            </w:pPr>
            <w:r>
              <w:t xml:space="preserve">0.791 ± 0.120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 (both)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 ± 0.104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0.175 ± 0.277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0.276 ± 0.131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μ-greedy, landing in the trap region only</w:t>
      </w:r>
      <w:r>
        <w:t xml:space="preserve"> </w:t>
      </w:r>
      <w:r>
        <w:rPr>
          <w:b/>
          <w:bCs/>
        </w:rPr>
        <w:t xml:space="preserve">0.7 % vs 32.9 %</w:t>
      </w:r>
      <w:r>
        <w:t xml:space="preserve"> </w:t>
      </w:r>
      <w:r>
        <w:t xml:space="preserve">of the time (≈47× fewer). The</w:t>
      </w:r>
      <w:r>
        <w:t xml:space="preserve"> </w:t>
      </w:r>
      <w:r>
        <w:rPr>
          <w:b/>
          <w:bCs/>
        </w:rPr>
        <w:t xml:space="preserve">2×2 ablation is monotone</w:t>
      </w:r>
      <w:r>
        <w:t xml:space="preserve"> </w:t>
      </w:r>
      <w:r>
        <w:t xml:space="preserve">— naive (0.284) → σ-objective (0.715) → σ-noise (0.791) → CU-MOBO (0.835) — so each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 contributes and the two are complementary (Fig. 2), and CU-MOBO has the</w:t>
      </w:r>
      <w:r>
        <w:t xml:space="preserve"> </w:t>
      </w:r>
      <w:r>
        <w:rPr>
          <w:b/>
          <w:bCs/>
        </w:rPr>
        <w:t xml:space="preserve">smallest cross-seed variance</w:t>
      </w:r>
      <w:r>
        <w:t xml:space="preserve"> </w:t>
      </w:r>
      <w:r>
        <w:t xml:space="preserve">among the strong methods (±0.104 vs naive ±0.362, qParEGO ±0.277).</w:t>
      </w:r>
      <w:r>
        <w:t xml:space="preserve"> </w:t>
      </w:r>
      <w:r>
        <w:rPr>
          <w:b/>
          <w:bCs/>
        </w:rPr>
        <w:t xml:space="preserve">Effect sizes (Cliff’s δ, 5 seeds)</w:t>
      </w:r>
      <w:r>
        <w:t xml:space="preserve"> </w:t>
      </w:r>
      <w:r>
        <w:t xml:space="preserve">sharpen this: CU-MOBO over the</w:t>
      </w:r>
      <w:r>
        <w:t xml:space="preserve"> </w:t>
      </w:r>
      <w:r>
        <w:rPr>
          <w:i/>
          <w:iCs/>
        </w:rPr>
        <w:t xml:space="preserve">no-σ</w:t>
      </w:r>
      <w:r>
        <w:t xml:space="preserve"> </w:t>
      </w:r>
      <w:r>
        <w:t xml:space="preserve">baselines is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(δ_true = +0.84 vs naive, +0.92 vs qParEGO, +1.0 vs NSGA-II; δ_gap ≤ −0.92), while over the</w:t>
      </w:r>
      <w:r>
        <w:t xml:space="preserve"> </w:t>
      </w:r>
      <w:r>
        <w:rPr>
          <w:i/>
          <w:iCs/>
        </w:rPr>
        <w:t xml:space="preserve">single-σ</w:t>
      </w:r>
      <w:r>
        <w:t xml:space="preserve"> </w:t>
      </w:r>
      <w:r>
        <w:t xml:space="preserve">ablations it is</w:t>
      </w:r>
      <w:r>
        <w:t xml:space="preserve"> </w:t>
      </w:r>
      <w:r>
        <w:rPr>
          <w:b/>
          <w:bCs/>
        </w:rPr>
        <w:t xml:space="preserve">small-to-medium</w:t>
      </w:r>
      <w:r>
        <w:t xml:space="preserve"> </w:t>
      </w:r>
      <w:r>
        <w:t xml:space="preserve">(δ_true ≈ +0.20 vs both σ-obj and σ-noise; δ_gap = −0.76 vs σ-noise) — i.e. </w:t>
      </w:r>
      <w:r>
        <w:rPr>
          <w:i/>
          <w:iCs/>
        </w:rPr>
        <w:t xml:space="preserve">either</w:t>
      </w:r>
      <w:r>
        <w:t xml:space="preserve"> </w:t>
      </w:r>
      <w:r>
        <w:t xml:space="preserve">σ mechanism alone already captures most of the benefit, and combining them adds a smaller, gap-focused increment. Two framing points: 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cell</w:t>
      </w:r>
      <w:r>
        <w:t xml:space="preserve"> </w:t>
      </w:r>
      <w:r>
        <w:rPr>
          <w:b/>
          <w:bCs/>
        </w:rPr>
        <w:t xml:space="preserve">is qNEHVI-on-μ</w:t>
      </w:r>
      <w:r>
        <w:t xml:space="preserve"> </w:t>
      </w:r>
      <w:r>
        <w:t xml:space="preserve">(CU-MOBO’s own noisy-EHVI acquisition with both σ levers off, homoscedastic) — i.e. the SOTA acquisition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our calibrated-σ mechanisms; and</w:t>
      </w:r>
      <w:r>
        <w:t xml:space="preserve"> </w:t>
      </w:r>
      <w:r>
        <w:rPr>
          <w:b/>
          <w:bCs/>
        </w:rPr>
        <w:t xml:space="preserve">qParEGO — the strong random-scalarization MOBO baseline that ignores σ — is among the worst (0.175)</w:t>
      </w:r>
      <w:r>
        <w:t xml:space="preserve">. The headline holds across 5 seeds: the calibrated-σ mechanisms, not the MOBO machinery per se, are what resist oracle exploitation.</w:t>
      </w:r>
      <w:r>
        <w:t xml:space="preserve"> </w:t>
      </w:r>
      <w:r>
        <w:rPr>
          <w:i/>
          <w:iCs/>
        </w:rPr>
        <w:t xml:space="preserve">(These multipliers are deliberately more modest than a 3-seed run reports — μ-greedy’s high cross-seed variance means small-seed estimates overstate the gap; we report the 5-seed numbers as the robust ones.)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Figure 2" title="" id="21" name="Picture"/>
            <a:graphic>
              <a:graphicData uri="http://schemas.openxmlformats.org/drawingml/2006/picture">
                <pic:pic>
                  <pic:nvPicPr>
                    <pic:cNvPr descr="../results/oracle_g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Controlled synthetic oracle-gap benchmark (5 seeds, hidden ground truth).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true activity of the top-K recommended designs (↑) — CU-MOBO and its σ-ablations dominate the no-σ baselines (naive, qParEGO, NSGA-II).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front oracle-gap |μ−</w:t>
      </w:r>
      <w:r>
        <w:rPr>
          <w:rStyle w:val="VerbatimChar"/>
        </w:rPr>
        <w:t xml:space="preserve">a_true</w:t>
      </w:r>
      <w:r>
        <w:t xml:space="preserve">| (↓). The 2×2 ablation is monotone: each σ mechanism helps and the two are complementary.</w:t>
      </w:r>
    </w:p>
    <w:bookmarkEnd w:id="23"/>
    <w:bookmarkStart w:id="27" w:name="pmo-sample-efficiency"/>
    <w:p>
      <w:pPr>
        <w:pStyle w:val="Heading3"/>
      </w:pPr>
      <w:r>
        <w:t xml:space="preserve">4.2 PMO sample efficiency</w:t>
      </w:r>
    </w:p>
    <w:p>
      <w:pPr>
        <w:pStyle w:val="FirstParagraph"/>
      </w:pPr>
      <w:r>
        <w:t xml:space="preserve">Top-K (by</w:t>
      </w:r>
      <w:r>
        <w:t xml:space="preserve"> </w:t>
      </w:r>
      <w:r>
        <w:rPr>
          <w:rStyle w:val="VerbatimChar"/>
        </w:rPr>
        <w:t xml:space="preserve">μ</w:t>
      </w:r>
      <w:r>
        <w:t xml:space="preserve">) true activity vs real-evaluation budget; area-under-curve (AUC, normalized) summarizes how quickly each method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activity. CU-MOBO has the</w:t>
      </w:r>
      <w:r>
        <w:t xml:space="preserve"> </w:t>
      </w:r>
      <w:r>
        <w:rPr>
          <w:b/>
          <w:bCs/>
        </w:rPr>
        <w:t xml:space="preserve">highest PMO-AUC (0.555)</w:t>
      </w:r>
      <w:r>
        <w:t xml:space="preserve">, ahead of σ-noise (0.506), σ-objective (0.444), naive (0.327), and far ahead of qParEGO (0.194) — the μ-only baseline spends its budget chasing oracle-gap regions (Fig. 3). I.e.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i/>
          <w:iCs/>
        </w:rPr>
        <w:t xml:space="preserve">sooner</w:t>
      </w:r>
      <w:r>
        <w:t xml:space="preserve"> </w:t>
      </w:r>
      <w:r>
        <w:t xml:space="preserve">per expensive oracle call, the quantity PMO cares about.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Figure 3" title="" id="25" name="Picture"/>
            <a:graphic>
              <a:graphicData uri="http://schemas.openxmlformats.org/drawingml/2006/picture">
                <pic:pic>
                  <pic:nvPicPr>
                    <pic:cNvPr descr="../results/oracle_gap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PMO sample efficiency: true activity of the top-K (by μ) designs vs real-evaluation budget (mean ± sd, 5 seeds).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 soonest per expensive oracle call; the μ-only baselines (naive, qParEGO) plateau low because they spend budget in oracle-gap regions.</w:t>
      </w:r>
    </w:p>
    <w:bookmarkEnd w:id="27"/>
    <w:bookmarkStart w:id="31" w:name="Xb1be98ba8c58b22a965c2058cabafc70102b91d"/>
    <w:p>
      <w:pPr>
        <w:pStyle w:val="Heading3"/>
      </w:pPr>
      <w:r>
        <w:t xml:space="preserve">4.3 Retrospective enrichment on real kcat labels (real-label evidence)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benchmark/run_retrospective_kcat.py</w:t>
      </w:r>
      <w:r>
        <w:t xml:space="preserve">. Judge =</w:t>
      </w:r>
      <w:r>
        <w:t xml:space="preserve"> </w:t>
      </w:r>
      <w:r>
        <w:rPr>
          <w:b/>
          <w:bCs/>
        </w:rPr>
        <w:t xml:space="preserve">real experimental kcat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unified_train_mixed_phys.csv</w:t>
      </w:r>
      <w:r>
        <w:t xml:space="preserve">, 4.3k unique substrates after canonicalization; high = ≥p75, low = ≤p25). A held-out HIGH/LOW set is excluded from surrogate training (leakage-controlled). CU-MOBO optimizes the leakage-controlled real-label surrogate in the kcat-substrate VAE latent space; a random VAE-sampling baseline matches count. Metric: recovery@τ = fraction of held-out HIGH substrates with a generated molecule at Tanimoto ≥ τ; enrichment = recovery_CU / recovery_random; specificity = recovery(HIGH)/recovery(LOW). 3 seeds.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results/retrospective_kcat_summary.csv</w:t>
      </w:r>
      <w:r>
        <w:rPr>
          <w:i/>
          <w:iCs/>
        </w:rPr>
        <w:t xml:space="preserve">, 3 seeds, mean ± sd)</w:t>
      </w:r>
    </w:p>
    <w:p>
      <w:pPr>
        <w:pStyle w:val="Compact"/>
        <w:numPr>
          <w:ilvl w:val="0"/>
          <w:numId w:val="1003"/>
        </w:numPr>
      </w:pPr>
      <w:r>
        <w:t xml:space="preserve">recovery@0.4 (HIGH): CU</w:t>
      </w:r>
      <w:r>
        <w:t xml:space="preserve"> </w:t>
      </w:r>
      <w:r>
        <w:rPr>
          <w:b/>
          <w:bCs/>
        </w:rPr>
        <w:t xml:space="preserve">0.406 ± 0.052</w:t>
      </w:r>
      <w:r>
        <w:t xml:space="preserve"> </w:t>
      </w:r>
      <w:r>
        <w:t xml:space="preserve">vs random</w:t>
      </w:r>
      <w:r>
        <w:t xml:space="preserve"> </w:t>
      </w:r>
      <w:r>
        <w:rPr>
          <w:b/>
          <w:bCs/>
        </w:rPr>
        <w:t xml:space="preserve">0.322 ± 0.034</w:t>
      </w:r>
      <w:r>
        <w:t xml:space="preserve"> </w:t>
      </w:r>
      <w:r>
        <w:t xml:space="preserve">→ enrichment</w:t>
      </w:r>
      <w:r>
        <w:t xml:space="preserve"> </w:t>
      </w:r>
      <w:r>
        <w:rPr>
          <w:b/>
          <w:bCs/>
        </w:rPr>
        <w:t xml:space="preserve">1.26 ± 0.11×</w:t>
      </w:r>
      <w:r>
        <w:t xml:space="preserve"> </w:t>
      </w:r>
      <w:r>
        <w:t xml:space="preserve">(all 3 seeds &gt; 1; 4,306 unique substrates, 60 held-out HIGH/LOW each)</w:t>
      </w:r>
    </w:p>
    <w:p>
      <w:pPr>
        <w:pStyle w:val="Compact"/>
        <w:numPr>
          <w:ilvl w:val="0"/>
          <w:numId w:val="1003"/>
        </w:numPr>
      </w:pPr>
      <w:r>
        <w:t xml:space="preserve">specificity (HIGH/LOW):</w:t>
      </w:r>
      <w:r>
        <w:t xml:space="preserve"> </w:t>
      </w:r>
      <w:r>
        <w:rPr>
          <w:b/>
          <w:bCs/>
        </w:rPr>
        <w:t xml:space="preserve">1.74 ± 0.31×</w:t>
      </w:r>
      <w:r>
        <w:t xml:space="preserve"> </w:t>
      </w:r>
      <w:r>
        <w:t xml:space="preserve">(CU-guided generation resembles held-out</w:t>
      </w:r>
      <w:r>
        <w:t xml:space="preserve"> </w:t>
      </w:r>
      <w:r>
        <w:rPr>
          <w:i/>
          <w:iCs/>
        </w:rPr>
        <w:t xml:space="preserve">high</w:t>
      </w:r>
      <w:r>
        <w:t xml:space="preserve">-kcat substrates ~1.7× more than</w:t>
      </w:r>
      <w:r>
        <w:t xml:space="preserve"> </w:t>
      </w:r>
      <w:r>
        <w:rPr>
          <w:i/>
          <w:iCs/>
        </w:rPr>
        <w:t xml:space="preserve">low</w:t>
      </w:r>
      <w:r>
        <w:t xml:space="preserve">-kcat 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near-neighbour-removal control:</w:t>
      </w:r>
      <w:r>
        <w:t xml:space="preserve"> </w:t>
      </w:r>
      <w:r>
        <w:t xml:space="preserve">additionally deleting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Tc≥0.6 analogues of the held-out actives from the surrogate’s training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generative enrichment — it remains</w:t>
      </w:r>
      <w:r>
        <w:t xml:space="preserve"> </w:t>
      </w:r>
      <w:r>
        <w:rPr>
          <w:b/>
          <w:bCs/>
        </w:rPr>
        <w:t xml:space="preserve">1.66 ± 0.30×</w:t>
      </w:r>
      <w:r>
        <w:t xml:space="preserve"> </w:t>
      </w:r>
      <w:r>
        <w:t xml:space="preserve">(specificity 2.17×), statistically consistent with (if anything higher than) the leakage-only number. The recovery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surrogate having seen near-neighbours of the held-out actives (</w:t>
      </w:r>
      <w:r>
        <w:rPr>
          <w:rStyle w:val="VerbatimChar"/>
        </w:rPr>
        <w:t xml:space="preserve">run_retrospective_kcat.py --nn-remove 0.6</w:t>
      </w:r>
      <w:r>
        <w:t xml:space="preserve">).</w:t>
      </w:r>
    </w:p>
    <w:p>
      <w:pPr>
        <w:pStyle w:val="FirstParagraph"/>
      </w:pPr>
      <w:r>
        <w:t xml:space="preserve">The effect is modest but</w:t>
      </w:r>
      <w:r>
        <w:t xml:space="preserve"> </w:t>
      </w:r>
      <w:r>
        <w:rPr>
          <w:b/>
          <w:bCs/>
        </w:rPr>
        <w:t xml:space="preserve">consistent across seeds and uses genuine experimental labels</w:t>
      </w:r>
      <w:r>
        <w:t xml:space="preserve"> </w:t>
      </w:r>
      <w:r>
        <w:t xml:space="preserve">with a leakage-controlled hold-out — consistent with the literature consensus that retrospective rediscovery on real data is hard. We report this as supporting real-label evidence, not as a strong efficacy claim — and we now stress-test it directly.</w:t>
      </w:r>
    </w:p>
    <w:p>
      <w:pPr>
        <w:pStyle w:val="BodyText"/>
      </w:pPr>
      <w:r>
        <w:rPr>
          <w:b/>
          <w:bCs/>
        </w:rPr>
        <w:t xml:space="preserve">Hardened surrogate-screening enrichment (rigorous companion).</w:t>
      </w:r>
      <w:r>
        <w:t xml:space="preserve"> </w:t>
      </w:r>
      <w:r>
        <w:t xml:space="preserve">The recovery@0.4 metric and random hold-out above are lenient (random molecule pairs sit at Tanimoto ≈ 0.1–0.2, and random splits leave analogues of held-out actives in training). We therefore add a standard virtual-screening analysis of the</w:t>
      </w:r>
      <w:r>
        <w:t xml:space="preserve"> </w:t>
      </w:r>
      <w:r>
        <w:rPr>
          <w:i/>
          <w:iCs/>
        </w:rPr>
        <w:t xml:space="preserve">leakage-controlled surrogate itself</w:t>
      </w:r>
      <w:r>
        <w:t xml:space="preserve">: rank a held-out pool (60 true-high-kcat actives among 540 background decoys, none in training) by predicted μ, reporting Enrichment Factor, BEDROC(α=80.5)</w:t>
      </w:r>
      <w:r>
        <w:rPr>
          <w:vertAlign w:val="superscript"/>
        </w:rPr>
        <w:t xml:space="preserve">28</w:t>
      </w:r>
      <w:r>
        <w:t xml:space="preserve"> </w:t>
      </w:r>
      <w:r>
        <w:t xml:space="preserve">and ROC-AUC under both random and</w:t>
      </w:r>
      <w:r>
        <w:t xml:space="preserve"> </w:t>
      </w:r>
      <w:r>
        <w:rPr>
          <w:b/>
          <w:bCs/>
        </w:rPr>
        <w:t xml:space="preserve">Bemis–Murcko scaffold</w:t>
      </w:r>
      <w:r>
        <w:rPr>
          <w:vertAlign w:val="superscript"/>
        </w:rPr>
        <w:t xml:space="preserve">29</w:t>
      </w:r>
      <w:r>
        <w:t xml:space="preserve"> </w:t>
      </w:r>
      <w:r>
        <w:t xml:space="preserve">splits, against a</w:t>
      </w:r>
      <w:r>
        <w:t xml:space="preserve"> </w:t>
      </w:r>
      <w:r>
        <w:rPr>
          <w:b/>
          <w:bCs/>
        </w:rPr>
        <w:t xml:space="preserve">1-NN Tanimoto memorization baseline</w:t>
      </w:r>
      <w:r>
        <w:t xml:space="preserve">, with bootstrap 95 % CIs over 5 seeds (</w:t>
      </w:r>
      <w:r>
        <w:rPr>
          <w:rStyle w:val="VerbatimChar"/>
        </w:rPr>
        <w:t xml:space="preserve">run_retrospective_kcat_hardened.py</w:t>
      </w:r>
      <w:r>
        <w:t xml:space="preserve">, Fig.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surrogate AUC [95 % CI]</w:t>
            </w:r>
          </w:p>
        </w:tc>
        <w:tc>
          <w:tcPr/>
          <w:p>
            <w:pPr>
              <w:pStyle w:val="Compact"/>
            </w:pPr>
            <w:r>
              <w:t xml:space="preserve">surrogate BEDROC</w:t>
            </w:r>
          </w:p>
        </w:tc>
        <w:tc>
          <w:tcPr/>
          <w:p>
            <w:pPr>
              <w:pStyle w:val="Compact"/>
            </w:pPr>
            <w:r>
              <w:t xml:space="preserve">EF₁%</w:t>
            </w:r>
          </w:p>
        </w:tc>
        <w:tc>
          <w:tcPr/>
          <w:p>
            <w:pPr>
              <w:pStyle w:val="Compact"/>
            </w:pPr>
            <w:r>
              <w:t xml:space="preserve">1-NN AUC</w:t>
            </w:r>
          </w:p>
        </w:tc>
        <w:tc>
          <w:tcPr/>
          <w:p>
            <w:pPr>
              <w:pStyle w:val="Compact"/>
            </w:pPr>
            <w:r>
              <w:t xml:space="preserve">1-NN BEDROC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0.799 [0.78, 0.82]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5.0×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0.651 [0.62, 0.69]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Three honest takeaways. (i) The surrogate</w:t>
      </w:r>
      <w:r>
        <w:t xml:space="preserve"> </w:t>
      </w:r>
      <w:r>
        <w:rPr>
          <w:b/>
          <w:bCs/>
        </w:rPr>
        <w:t xml:space="preserve">genuinely generalizes to unseen scaffolds</w:t>
      </w:r>
      <w:r>
        <w:t xml:space="preserve"> </w:t>
      </w:r>
      <w:r>
        <w:t xml:space="preserve">— scaffold-split AUC 0.651 with a CI excluding 0.5 — so its ranking is not purely analogue memorization, and it beats the 1-NN baseline on overall ranking (AUC) in both splits. (ii) The random→scaffold collapse (AUC 0.80→0.65, EF₁ 5.0→1.3, BEDROC 0.49→0.22)</w:t>
      </w:r>
      <w:r>
        <w:t xml:space="preserve"> </w:t>
      </w:r>
      <w:r>
        <w:rPr>
          <w:b/>
          <w:bCs/>
        </w:rPr>
        <w:t xml:space="preserve">quantifies how much apparent enrichment is analogue bias</w:t>
      </w:r>
      <w:r>
        <w:t xml:space="preserve">; we accordingly read the generative recovery@0.4 number (also random-split) as an analogue-inflated upper estimate. (iii) On early-enrichment BEDROC under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split the memorization baseline is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to the surrogate (0.51 vs 0.49) — a direct demonstration of why scaffold splitting and a memorization baseline are necessary, not optional. This converts §4.3 from a single lenient ratio into a leakage-, split-, and baseline-controlled enrichment with explicit uncertainty — honest about the modest, scaffold-generalizing signal that remains.</w:t>
      </w:r>
      <w:r>
        <w:t xml:space="preserve"> </w:t>
      </w:r>
      <w:r>
        <w:rPr>
          <w:i/>
          <w:iCs/>
        </w:rPr>
        <w:t xml:space="preserve">(BEDROC metric</w:t>
      </w:r>
      <w:r>
        <w:rPr>
          <w:i/>
          <w:iCs/>
          <w:vertAlign w:val="superscript"/>
        </w:rPr>
        <w:t xml:space="preserve">28</w:t>
      </w:r>
      <w:r>
        <w:rPr>
          <w:i/>
          <w:iCs/>
        </w:rPr>
        <w:t xml:space="preserve">; scaffold-split / out-of-distribution rationale</w:t>
      </w:r>
      <w:r>
        <w:rPr>
          <w:i/>
          <w:iCs/>
          <w:vertAlign w:val="superscript"/>
        </w:rPr>
        <w:t xml:space="preserve">30</w:t>
      </w:r>
      <w:r>
        <w:rPr>
          <w:i/>
          <w:iCs/>
        </w:rPr>
        <w:t xml:space="preserve">; memorization-baseline and benchmark-leakage rationale</w:t>
      </w:r>
      <w:r>
        <w:rPr>
          <w:i/>
          <w:iCs/>
          <w:vertAlign w:val="superscript"/>
        </w:rPr>
        <w:t xml:space="preserve">31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4" title="" id="29" name="Picture"/>
            <a:graphic>
              <a:graphicData uri="http://schemas.openxmlformats.org/drawingml/2006/picture">
                <pic:pic>
                  <pic:nvPicPr>
                    <pic:cNvPr descr="../results/retrospective_harden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Hardened retrospective screening on real kcat labels. Enrichment Factor / BEDROC(α=80.5) / ROC-AUC of the leakage-controlled surrogate under random vs Bemis–Murcko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splits, against a 1-NN memorization baseline, with bootstrap 95 % CIs (5 seeds). The surrogate generalises to unseen scaffolds (AUC 0.65, CI excludes 0.5) and beats 1-NN; the random→scaffold drop quantifies analogue bias.</w:t>
      </w:r>
    </w:p>
    <w:bookmarkEnd w:id="31"/>
    <w:bookmarkStart w:id="35" w:name="X62149f2e999ff286a9225e1c09e9956ecf1c3c4"/>
    <w:p>
      <w:pPr>
        <w:pStyle w:val="Heading3"/>
      </w:pPr>
      <w:r>
        <w:t xml:space="preserve">4.4 Is σ actually calibrated? A direct measurement (honest analysis)</w:t>
      </w:r>
    </w:p>
    <w:p>
      <w:pPr>
        <w:pStyle w:val="FirstParagraph"/>
      </w:pPr>
      <w:r>
        <w:t xml:space="preserve">The method is named for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uncertainty, so we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calibration rather than assume it. Two notions matter, one per mechanism:</w:t>
      </w:r>
      <w:r>
        <w:t xml:space="preserve"> </w:t>
      </w:r>
      <w:r>
        <w:rPr>
          <w:b/>
          <w:bCs/>
        </w:rPr>
        <w:t xml:space="preserve">ranking calibration</w:t>
      </w:r>
      <w:r>
        <w:t xml:space="preserve"> </w:t>
      </w:r>
      <w:r>
        <w:t xml:space="preserve">— does σ order the errors? (required for σ-as-objective; Spearman ρ(σ,|μ−y|)) — and</w:t>
      </w:r>
      <w:r>
        <w:t xml:space="preserve"> </w:t>
      </w:r>
      <w:r>
        <w:rPr>
          <w:b/>
          <w:bCs/>
        </w:rPr>
        <w:t xml:space="preserve">dispersion calibration</w:t>
      </w:r>
      <w:r>
        <w:t xml:space="preserve"> </w:t>
      </w:r>
      <w:r>
        <w:t xml:space="preserve">— does σ match error magnitude? (required for σ²-as-</w:t>
      </w:r>
      <w:r>
        <w:rPr>
          <w:rStyle w:val="VerbatimChar"/>
        </w:rPr>
        <w:t xml:space="preserve">train_Yvar</w:t>
      </w:r>
      <w:r>
        <w:t xml:space="preserve">; ENCE</w:t>
      </w:r>
      <w:r>
        <w:rPr>
          <w:vertAlign w:val="superscript"/>
        </w:rPr>
        <w:t xml:space="preserve">32</w:t>
      </w:r>
      <w:r>
        <w:t xml:space="preserve">, reliability-diagram</w:t>
      </w:r>
      <w:r>
        <w:rPr>
          <w:vertAlign w:val="superscript"/>
        </w:rPr>
        <w:t xml:space="preserve">33</w:t>
      </w:r>
      <w:r>
        <w:t xml:space="preserve"> </w:t>
      </w:r>
      <w:r>
        <w:t xml:space="preserve">miscalibration area). On the synthetic benchmark σ is an affine function of the true error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(ρ = 1.0) — the idealized regime in which §4.1’s gains are expected. The real oracle is the open question.</w:t>
      </w:r>
    </w:p>
    <w:p>
      <w:pPr>
        <w:pStyle w:val="BodyText"/>
      </w:pPr>
      <w:r>
        <w:t xml:space="preserve">On the real-kcat surrogate (4,306 unique substrates, 25 % held out, log₁₀kcat spanning ~13 units), both RF-derived σ sources are</w:t>
      </w:r>
      <w:r>
        <w:t xml:space="preserve"> </w:t>
      </w:r>
      <w:r>
        <w:rPr>
          <w:b/>
          <w:bCs/>
        </w:rPr>
        <w:t xml:space="preserve">only weakly — though significantly — calibrated, and the OOF-residual</w:t>
      </w:r>
      <w:r>
        <w:rPr>
          <w:b/>
          <w:bCs/>
        </w:rPr>
        <w:t xml:space="preserve"> </w:t>
      </w:r>
      <w:r>
        <w:rPr>
          <w:b/>
          <w:bCs/>
        </w:rPr>
        <w:t xml:space="preserve">“calibrated”</w:t>
      </w:r>
      <w:r>
        <w:rPr>
          <w:b/>
          <w:bCs/>
        </w:rPr>
        <w:t xml:space="preserve"> </w:t>
      </w:r>
      <w:r>
        <w:rPr>
          <w:b/>
          <w:bCs/>
        </w:rPr>
        <w:t xml:space="preserve">σ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beat plain tree variance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source</w:t>
            </w:r>
          </w:p>
        </w:tc>
        <w:tc>
          <w:tcPr/>
          <w:p>
            <w:pPr>
              <w:pStyle w:val="Compact"/>
            </w:pPr>
            <w:r>
              <w:t xml:space="preserve">Spearman ρ(σ,|err|) ↑</w:t>
            </w:r>
          </w:p>
        </w:tc>
        <w:tc>
          <w:tcPr/>
          <w:p>
            <w:pPr>
              <w:pStyle w:val="Compact"/>
            </w:pPr>
            <w:r>
              <w:t xml:space="preserve">ENCE ↓</w:t>
            </w:r>
          </w:p>
        </w:tc>
        <w:tc>
          <w:tcPr/>
          <w:p>
            <w:pPr>
              <w:pStyle w:val="Compact"/>
            </w:pPr>
            <w:r>
              <w:t xml:space="preserve">miscalibration area ↓</w:t>
            </w:r>
          </w:p>
        </w:tc>
        <w:tc>
          <w:tcPr/>
          <w:p>
            <w:pPr>
              <w:pStyle w:val="Compact"/>
            </w:pPr>
            <w:r>
              <w:t xml:space="preserve">NLL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tree-variance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0.213</w:t>
            </w:r>
            <w:r>
              <w:t xml:space="preserve"> </w:t>
            </w:r>
            <w:r>
              <w:t xml:space="preserve">(p=1e-12)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OOF-residual (</w:t>
            </w:r>
            <w:r>
              <w:t xml:space="preserve">“calibrated”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0.180 (p=3e-9)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1.964</w:t>
            </w:r>
          </w:p>
        </w:tc>
      </w:tr>
    </w:tbl>
    <w:p>
      <w:pPr>
        <w:pStyle w:val="BodyText"/>
      </w:pPr>
      <w:r>
        <w:t xml:space="preserve">Both σ rank errors only weakly (ρ ≈ 0.2); the OOF head — explicitly trained to predict error —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because |residual| on a 13-log-unit, label-noisy oracle is itself nearly unlearnable from fingerprints (Fig. 5). We read this honestly:</w:t>
      </w:r>
      <w:r>
        <w:t xml:space="preserve"> </w:t>
      </w:r>
      <w:r>
        <w:rPr>
          <w:b/>
          <w:bCs/>
        </w:rPr>
        <w:t xml:space="preserve">obtaining calibrated σ on a real, noisy oracle is itself the bottleneck, not a given.</w:t>
      </w:r>
      <w:r>
        <w:t xml:space="preserve"> </w:t>
      </w:r>
      <w:r>
        <w:t xml:space="preserve">This (i) confirms the §6 precondition is real and non-trivial — cheap RF σ only partially meets it; (ii) vindicates the tree-variance σ used in §4.3 (it calibrates no worse than the OOF alternative); and (iii) motivates two responses — stronger UQ 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; cf. molecular-property UQ</w:t>
      </w:r>
      <w:r>
        <w:rPr>
          <w:vertAlign w:val="superscript"/>
        </w:rPr>
        <w:t xml:space="preserve">34</w:t>
      </w:r>
      <w:r>
        <w:t xml:space="preserve">) as the natural next step, and the</w:t>
      </w:r>
      <w:r>
        <w:t xml:space="preserve"> </w:t>
      </w:r>
      <w:r>
        <w:rPr>
          <w:b/>
          <w:bCs/>
        </w:rPr>
        <w:t xml:space="preserve">adaptive-reliability extension E2</w:t>
      </w:r>
      <w:r>
        <w:t xml:space="preserve">, which is</w:t>
      </w:r>
      <w:r>
        <w:t xml:space="preserve"> </w:t>
      </w:r>
      <w:r>
        <w:rPr>
          <w:i/>
          <w:iCs/>
        </w:rPr>
        <w:t xml:space="preserve">robust to weak calibration</w:t>
      </w:r>
      <w:r>
        <w:t xml:space="preserve"> </w:t>
      </w:r>
      <w:r>
        <w:t xml:space="preserve">because it penalizes only super-threshold σ (rejecting the worst-flagged points) rather than requiring finely-ranked σ. The synthetic→real contrast (ρ 1.0 → 0.2) precisely delimits where CU-MOBO’s σ mechanisms are guaranteed to help versus where the UQ must first be improved. This is, to our knowledge, the kind of calibration audit that calibrated-optimization papers should report but rarely do.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5" title="" id="33" name="Picture"/>
            <a:graphic>
              <a:graphicData uri="http://schemas.openxmlformats.org/drawingml/2006/picture">
                <pic:pic>
                  <pic:nvPicPr>
                    <pic:cNvPr descr="../results/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σ-calibration audit on the real-kcat surrogate. Reliability diagram, ENCE and Spearman ρ(σ,|error|) for tree-variance vs OOF-residual σ. Both are only weakly (though significantly) calibrated (ρ≈0.2), and the OOF head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tree variance — obtaining calibrated σ on a real noisy oracle is itself the bottleneck (motivating extension E2).</w:t>
      </w:r>
    </w:p>
    <w:bookmarkEnd w:id="35"/>
    <w:bookmarkStart w:id="39" w:name="Xae951eb08c14dfccee1fc8cdabd8e6e0cc0af62"/>
    <w:p>
      <w:pPr>
        <w:pStyle w:val="Heading3"/>
      </w:pPr>
      <w:r>
        <w:t xml:space="preserve">4.5 Diversity and novelty of the recommended molecules</w:t>
      </w:r>
    </w:p>
    <w:p>
      <w:pPr>
        <w:pStyle w:val="FirstParagraph"/>
      </w:pPr>
      <w:r>
        <w:t xml:space="preserve">A method can spuriously</w:t>
      </w:r>
      <w:r>
        <w:t xml:space="preserve"> </w:t>
      </w:r>
      <w:r>
        <w:t xml:space="preserve">“resist”</w:t>
      </w:r>
      <w:r>
        <w:t xml:space="preserve"> </w:t>
      </w:r>
      <w:r>
        <w:t xml:space="preserve">the oracle-gap by collapsing onto the training manifold, so we report the diversity and novelty of the recommended set (MOSES</w:t>
      </w:r>
      <w:r>
        <w:rPr>
          <w:vertAlign w:val="superscript"/>
        </w:rPr>
        <w:t xml:space="preserve">35</w:t>
      </w:r>
      <w:r>
        <w:t xml:space="preserve"> </w:t>
      </w:r>
      <w:r>
        <w:t xml:space="preserve">/ GuacaMol</w:t>
      </w:r>
      <w:r>
        <w:rPr>
          <w:vertAlign w:val="superscript"/>
        </w:rPr>
        <w:t xml:space="preserve">36</w:t>
      </w:r>
      <w:r>
        <w:t xml:space="preserve"> </w:t>
      </w:r>
      <w:r>
        <w:t xml:space="preserve">/ #Circles</w:t>
      </w:r>
      <w:r>
        <w:rPr>
          <w:vertAlign w:val="superscript"/>
        </w:rPr>
        <w:t xml:space="preserve">37</w:t>
      </w:r>
      <w:r>
        <w:t xml:space="preserve"> </w:t>
      </w:r>
      <w:r>
        <w:t xml:space="preserve">standards), comparing CU-MOBO against μ-greedy and random sampling in the kcat latent (</w:t>
      </w:r>
      <w:r>
        <w:rPr>
          <w:rStyle w:val="VerbatimChar"/>
        </w:rPr>
        <w:t xml:space="preserve">run_diversity.py</w:t>
      </w:r>
      <w:r>
        <w:t xml:space="preserve">, 3 seeds, Fig.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μ (quality) ↑</w:t>
            </w:r>
          </w:p>
        </w:tc>
        <w:tc>
          <w:tcPr/>
          <w:p>
            <w:pPr>
              <w:pStyle w:val="Compact"/>
            </w:pPr>
            <w:r>
              <w:t xml:space="preserve">IntDiv₁ ↑</w:t>
            </w:r>
          </w:p>
        </w:tc>
        <w:tc>
          <w:tcPr/>
          <w:p>
            <w:pPr>
              <w:pStyle w:val="Compact"/>
            </w:pPr>
            <w:r>
              <w:t xml:space="preserve">#Circles ↑</w:t>
            </w:r>
          </w:p>
        </w:tc>
        <w:tc>
          <w:tcPr/>
          <w:p>
            <w:pPr>
              <w:pStyle w:val="Compact"/>
            </w:pPr>
            <w:r>
              <w:t xml:space="preserve">#scaffolds ↑</w:t>
            </w:r>
          </w:p>
        </w:tc>
        <w:tc>
          <w:tcPr/>
          <w:p>
            <w:pPr>
              <w:pStyle w:val="Compact"/>
            </w:pPr>
            <w:r>
              <w:t xml:space="preserve">SNN→train</w:t>
            </w:r>
          </w:p>
        </w:tc>
        <w:tc>
          <w:tcPr/>
          <w:p>
            <w:pPr>
              <w:pStyle w:val="Compact"/>
            </w:pPr>
            <w:r>
              <w:t xml:space="preserve">novel-frac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Two findings. (i)</w:t>
      </w:r>
      <w:r>
        <w:t xml:space="preserve"> </w:t>
      </w:r>
      <w:r>
        <w:rPr>
          <w:b/>
          <w:bCs/>
        </w:rPr>
        <w:t xml:space="preserve">CU-MOBO does not collapse diversity to resist the gap</w:t>
      </w:r>
      <w:r>
        <w:t xml:space="preserve"> </w:t>
      </w:r>
      <w:r>
        <w:t xml:space="preserve">— its recommended set is</w:t>
      </w:r>
      <w:r>
        <w:t xml:space="preserve"> </w:t>
      </w:r>
      <w:r>
        <w:rPr>
          <w:i/>
          <w:iCs/>
        </w:rPr>
        <w:t xml:space="preserve">larger and more internally diverse</w:t>
      </w:r>
      <w:r>
        <w:t xml:space="preserve"> </w:t>
      </w:r>
      <w:r>
        <w:t xml:space="preserve">than μ-greedy’s (IntDiv₁ 0.86 vs 0.84, #Circles 19 vs 16, scaffolds 5.7 vs 4.0) at higher predicted quality, approaching the diversity of random sampling. This rebuts the obvious worry that gap-resistance is bought by recommending near-duplicates. (ii) But there is an honest</w:t>
      </w:r>
      <w:r>
        <w:t xml:space="preserve"> </w:t>
      </w:r>
      <w:r>
        <w:rPr>
          <w:b/>
          <w:bCs/>
        </w:rPr>
        <w:t xml:space="preserve">novelty↔reliability tradeoff</w:t>
      </w:r>
      <w:r>
        <w:t xml:space="preserve">: CU-MOBO’s recommendations are the</w:t>
      </w:r>
      <w:r>
        <w:t xml:space="preserve"> </w:t>
      </w:r>
      <w:r>
        <w:rPr>
          <w:i/>
          <w:iCs/>
        </w:rPr>
        <w:t xml:space="preserve">least novel</w:t>
      </w:r>
      <w:r>
        <w:t xml:space="preserve"> </w:t>
      </w:r>
      <w:r>
        <w:t xml:space="preserve">relative to the oracle’s training set (mean nearest-neighbour Tanimoto 0.76 vs 0.66 vs 0.60; 9.5 % vs 12 % vs 21 % novel). This is the expected, mechanistic consequence of σ-aware search — preferring</w:t>
      </w:r>
      <w:r>
        <w:t xml:space="preserve"> </w:t>
      </w:r>
      <w:r>
        <w:rPr>
          <w:b/>
          <w:bCs/>
        </w:rPr>
        <w:t xml:space="preserve">low-σ (confident) regions, which lie nearer the training data where the oracle is trustworthy</w:t>
      </w:r>
      <w:r>
        <w:t xml:space="preserve">. Resisting oracle-gap and maximizing novelty are therefore in tension; practitioners who prioritize novelty should down-weight σ or use the adaptive-reliability variant (E2), which tolerates moderate-σ (more novel) optima. We report this tradeoff as part of the honest accounting, not a defect.</w:t>
      </w:r>
    </w:p>
    <w:p>
      <w:pPr>
        <w:pStyle w:val="BodyText"/>
      </w:pPr>
      <w:r>
        <w:drawing>
          <wp:inline>
            <wp:extent cx="5334000" cy="1351280"/>
            <wp:effectExtent b="0" l="0" r="0" t="0"/>
            <wp:docPr descr="Figure 6" title="" id="37" name="Picture"/>
            <a:graphic>
              <a:graphicData uri="http://schemas.openxmlformats.org/drawingml/2006/picture">
                <pic:pic>
                  <pic:nvPicPr>
                    <pic:cNvPr descr="../results/divers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Diversity and novelty of the recommended set (3 seeds): IntDiv₁, #Circles, scaffold count and nearest-neighbour Tanimoto to the oracle’s training set, for CU-MOBO vs μ-greedy vs random. CU-MOBO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diversity to resist the gap, but its recommendations are the least novel — the honest novelty↔reliability tradeoff of σ-aware search.</w:t>
      </w:r>
    </w:p>
    <w:bookmarkEnd w:id="39"/>
    <w:bookmarkStart w:id="43" w:name="X35690f70e06c7147729241a901e4eaef41b7dbc"/>
    <w:p>
      <w:pPr>
        <w:pStyle w:val="Heading3"/>
      </w:pPr>
      <w:r>
        <w:t xml:space="preserve">4.6 External anchor on a community-standard oracle (TDC) — no-regret on a third-party scorer</w:t>
      </w:r>
    </w:p>
    <w:p>
      <w:pPr>
        <w:pStyle w:val="FirstParagraph"/>
      </w:pPr>
      <w:r>
        <w:t xml:space="preserve">§4.1 and §4.3 establish the mechanism on a synthetic oracle (hidden truth) and on real kcat labels — both</w:t>
      </w:r>
      <w:r>
        <w:t xml:space="preserve"> </w:t>
      </w:r>
      <w:r>
        <w:rPr>
          <w:i/>
          <w:iCs/>
        </w:rPr>
        <w:t xml:space="preserve">ours</w:t>
      </w:r>
      <w:r>
        <w:t xml:space="preserve">. To test whether the principle transfers to a</w:t>
      </w:r>
      <w:r>
        <w:t xml:space="preserve"> </w:t>
      </w:r>
      <w:r>
        <w:rPr>
          <w:b/>
          <w:bCs/>
        </w:rPr>
        <w:t xml:space="preserve">community-standard, third-party</w:t>
      </w:r>
      <w:r>
        <w:t xml:space="preserve"> </w:t>
      </w:r>
      <w:r>
        <w:t xml:space="preserve">scorer, we re-run CU-MOBO against a</w:t>
      </w:r>
      <w:r>
        <w:t xml:space="preserve"> </w:t>
      </w:r>
      <w:r>
        <w:rPr>
          <w:b/>
          <w:bCs/>
        </w:rPr>
        <w:t xml:space="preserve">Therapeutics-Data-Commons (TDC) oracle</w:t>
      </w:r>
      <w:r>
        <w:rPr>
          <w:vertAlign w:val="superscript"/>
        </w:rPr>
        <w:t xml:space="preserve">38</w:t>
      </w:r>
      <w:r>
        <w:t xml:space="preserve"> </w:t>
      </w:r>
      <w:r>
        <w:t xml:space="preserve">— from the same family used by 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REINVENT</w:t>
      </w:r>
      <w:r>
        <w:rPr>
          <w:vertAlign w:val="superscript"/>
        </w:rPr>
        <w:t xml:space="preserve">39</w:t>
      </w:r>
      <w:r>
        <w:t xml:space="preserve"> </w:t>
      </w:r>
      <w:r>
        <w:t xml:space="preserve">— as the hidden judge (</w:t>
      </w:r>
      <w:r>
        <w:rPr>
          <w:rStyle w:val="VerbatimChar"/>
        </w:rPr>
        <w:t xml:space="preserve">run_tdc_anchor.py</w:t>
      </w:r>
      <w:r>
        <w:t xml:space="preserve">, 3 seeds). The optimiser never sees the oracle: it sees only a Morgan-fingerprint</w:t>
      </w:r>
      <w:r>
        <w:rPr>
          <w:vertAlign w:val="superscript"/>
        </w:rPr>
        <w:t xml:space="preserve">40</w:t>
      </w:r>
      <w:r>
        <w:t xml:space="preserve"> </w:t>
      </w:r>
      <w:r>
        <w:t xml:space="preserve">RF</w:t>
      </w:r>
      <w:r>
        <w:rPr>
          <w:vertAlign w:val="superscript"/>
        </w:rPr>
        <w:t xml:space="preserve">41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trained on a limited label budget with</w:t>
      </w:r>
      <w:r>
        <w:t xml:space="preserve"> </w:t>
      </w:r>
      <w:r>
        <w:rPr>
          <w:b/>
          <w:bCs/>
        </w:rPr>
        <w:t xml:space="preserve">out-of-fold-residual-calibrated σ</w:t>
      </w:r>
      <w:r>
        <w:t xml:space="preserve">, searched in a 16-d drug-like VAE latent. This exercises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CU-MOBO mechanisms (σ-as-objective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calibrated σ²-as-</w:t>
      </w:r>
      <w:r>
        <w:rPr>
          <w:rStyle w:val="VerbatimChar"/>
        </w:rPr>
        <w:t xml:space="preserve">train_Yvar</w:t>
      </w:r>
      <w:r>
        <w:t xml:space="preserve">) against an external oracle, with</w:t>
      </w:r>
      <w:r>
        <w:t xml:space="preserve"> </w:t>
      </w:r>
      <w:r>
        <w:rPr>
          <w:b/>
          <w:bCs/>
        </w:rPr>
        <w:t xml:space="preserve">no circular logic</w:t>
      </w:r>
      <w:r>
        <w:t xml:space="preserve"> </w:t>
      </w:r>
      <w:r>
        <w:t xml:space="preserve">(surrogate ≠ judge; the judge scores the optimiser’s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molecules). Baselines match §4.1 (naive μ-greedy / σ-obj / σ-noise / qParEGO / NSGA-II) plus a</w:t>
      </w:r>
      <w:r>
        <w:t xml:space="preserve"> </w:t>
      </w:r>
      <w:r>
        <w:rPr>
          <w:b/>
          <w:bCs/>
        </w:rPr>
        <w:t xml:space="preserve">random-search</w:t>
      </w:r>
      <w:r>
        <w:t xml:space="preserve"> </w:t>
      </w:r>
      <w:r>
        <w:t xml:space="preserve">PMO floor.</w:t>
      </w:r>
    </w:p>
    <w:p>
      <w:pPr>
        <w:pStyle w:val="BodyText"/>
      </w:pPr>
      <w:r>
        <w:t xml:space="preserve">One caveat shapes the reading, and it is structural. We anchor on</w:t>
      </w:r>
      <w:r>
        <w:t xml:space="preserve"> </w:t>
      </w:r>
      <w:r>
        <w:rPr>
          <w:b/>
          <w:bCs/>
        </w:rPr>
        <w:t xml:space="preserve">QED</w:t>
      </w:r>
      <w:r>
        <w:rPr>
          <w:vertAlign w:val="superscript"/>
        </w:rPr>
        <w:t xml:space="preserve">20</w:t>
      </w:r>
      <w:r>
        <w:t xml:space="preserve">, a smooth, analytic drug-likeness score. Because a Morgan-fingerprint RF cannot predict beyond its training-label range, the over-confidence (reward-hacking) gap CU-MOBO targets arises from</w:t>
      </w:r>
      <w:r>
        <w:t xml:space="preserve"> </w:t>
      </w:r>
      <w:r>
        <w:rPr>
          <w:b/>
          <w:bCs/>
        </w:rPr>
        <w:t xml:space="preserve">fingerprint-collision false-positives</w:t>
      </w:r>
      <w:r>
        <w:t xml:space="preserve"> </w:t>
      </w:r>
      <w:r>
        <w:t xml:space="preserve">(activity cliffs), not from unbounded extrapolation — and</w:t>
      </w:r>
      <w:r>
        <w:t xml:space="preserve"> </w:t>
      </w:r>
      <w:r>
        <w:rPr>
          <w:b/>
          <w:bCs/>
        </w:rPr>
        <w:t xml:space="preserve">QED is near-bijective in fingerprints</w:t>
      </w:r>
      <w:r>
        <w:t xml:space="preserve">, so an RF fits it almost perfectly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 budget and there is little gap to resist. This makes QED a clean test of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does the σ-machinery cost anything when the oracle has nothing to distrust? — rather than of gap-resistance. To probe whether shrinking the surrogate can manufacture a gap on a real oracle, we run two label budgets:</w:t>
      </w:r>
      <w:r>
        <w:t xml:space="preserve"> </w:t>
      </w:r>
      <w:r>
        <w:rPr>
          <w:b/>
          <w:bCs/>
        </w:rPr>
        <w:t xml:space="preserve">label-rich</w:t>
      </w:r>
      <w:r>
        <w:t xml:space="preserve"> </w:t>
      </w:r>
      <w:r>
        <w:t xml:space="preserve">(600) and</w:t>
      </w:r>
      <w:r>
        <w:t xml:space="preserve"> </w:t>
      </w:r>
      <w:r>
        <w:rPr>
          <w:b/>
          <w:bCs/>
        </w:rPr>
        <w:t xml:space="preserve">label-scarce</w:t>
      </w:r>
      <w:r>
        <w:t xml:space="preserve"> </w:t>
      </w:r>
      <w:r>
        <w:t xml:space="preserve">(120). (The complementary failure end — oracles whose actives are too rare for σ to be calibratable —</w:t>
      </w:r>
      <w:r>
        <w:t xml:space="preserve"> </w:t>
      </w:r>
      <w:r>
        <w:rPr>
          <w:i/>
          <w:iCs/>
        </w:rPr>
        <w:t xml:space="preserve">violates</w:t>
      </w:r>
      <w:r>
        <w:t xml:space="preserve"> </w:t>
      </w:r>
      <w:r>
        <w:t xml:space="preserve">the §4.4/§6 precondition and is out of scope for this anchor; isolating a genuine gap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calibratable σ is exactly what the controlled §4.1 and real-kcat §4.3 experiments do.)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QED-rich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  <w:tc>
          <w:tcPr/>
          <w:p>
            <w:pPr>
              <w:pStyle w:val="Compact"/>
            </w:pPr>
            <w:r>
              <w:t xml:space="preserve">QED-scarce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0.894</w:t>
            </w:r>
            <w:r>
              <w:t xml:space="preserve"> </w:t>
            </w:r>
            <w:r>
              <w:t xml:space="preserve">± 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0.864 ± 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0.863 ± .053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0.826 ± .038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</w:t>
            </w:r>
          </w:p>
        </w:tc>
        <w:tc>
          <w:tcPr/>
          <w:p>
            <w:pPr>
              <w:pStyle w:val="Compact"/>
            </w:pPr>
            <w:r>
              <w:t xml:space="preserve">0.848 ± .052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0.854 ± .004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</w:t>
            </w:r>
          </w:p>
        </w:tc>
        <w:tc>
          <w:tcPr/>
          <w:p>
            <w:pPr>
              <w:pStyle w:val="Compact"/>
            </w:pPr>
            <w:r>
              <w:t xml:space="preserve">0.855 ± 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  <w:r>
              <w:t xml:space="preserve"> </w:t>
            </w:r>
            <w:r>
              <w:t xml:space="preserve">± 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0.829 ± .051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0.878 ± .038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0.821 ± .023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0.821 ± .021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0.879 ± 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0.863 ± .060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Two readings, both honest.</w:t>
      </w:r>
      <w:r>
        <w:t xml:space="preserve"> </w:t>
      </w:r>
      <w:r>
        <w:rPr>
          <w:b/>
          <w:bCs/>
        </w:rPr>
        <w:t xml:space="preserve">(i) Label-rich (no gap).</w:t>
      </w:r>
      <w:r>
        <w:t xml:space="preserve"> </w:t>
      </w:r>
      <w:r>
        <w:t xml:space="preserve">Every method clusters (top-K-true 0.82–0.89); the surrogate is near-perfect, so there is nothing to distrust. CU-MOBO is</w:t>
      </w:r>
      <w:r>
        <w:t xml:space="preserve"> </w:t>
      </w:r>
      <w:r>
        <w:rPr>
          <w:b/>
          <w:bCs/>
        </w:rPr>
        <w:t xml:space="preserve">no-regret and mildly more robust</w:t>
      </w:r>
      <w:r>
        <w:t xml:space="preserve"> </w:t>
      </w:r>
      <w:r>
        <w:t xml:space="preserve">— it posts the highest true activity (0.894), the lowest oracle-gap (0.056), and the tightest variance (±0.025 vs naive’s ±0.053); Cliff’s δ vs naive is +0.33 (medium) on activity and −1.0 (large) on gap.</w:t>
      </w:r>
      <w:r>
        <w:t xml:space="preserve"> </w:t>
      </w:r>
      <w:r>
        <w:rPr>
          <w:b/>
          <w:bCs/>
        </w:rPr>
        <w:t xml:space="preserve">(ii) Label-scarce.</w:t>
      </w:r>
      <w:r>
        <w:t xml:space="preserve"> </w:t>
      </w:r>
      <w:r>
        <w:t xml:space="preserve">Cutting labels 5× barely opens a gap — QED is fingerprint-learnable even at 120 labels — so CU-MOBO again beats naive (0.864 vs 0.826, δ +0.56 large) at the lowest gap, but σ-noise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edges its mean: a genuinely small-gap regime where the conservative machinery helps only marginally.</w:t>
      </w:r>
    </w:p>
    <w:p>
      <w:pPr>
        <w:pStyle w:val="BodyText"/>
      </w:pPr>
      <w:r>
        <w:t xml:space="preserve">The consistent, honest finding across both budgets:</w:t>
      </w:r>
      <w:r>
        <w:t xml:space="preserve"> </w:t>
      </w:r>
      <w:r>
        <w:rPr>
          <w:b/>
          <w:bCs/>
        </w:rPr>
        <w:t xml:space="preserve">CU-MOBO attains the lowest (rich) or tied-lowest (scarce) oracle-gap</w:t>
      </w:r>
      <w:r>
        <w:t xml:space="preserve"> </w:t>
      </w:r>
      <w:r>
        <w:t xml:space="preserve">(0.056 / 0.078, vs naive’s 0.068 / 0.078) at no cost to — indeed a small gain in — true activity and variance. That is the mechanism doing exactly its job on a third-party scorer: distrusting the oracle reduces over-prediction, and it never back-fires when there is little to distrust (</w:t>
      </w:r>
      <w:r>
        <w:rPr>
          <w:b/>
          <w:bCs/>
        </w:rPr>
        <w:t xml:space="preserve">no-regret</w:t>
      </w:r>
      <w:r>
        <w:t xml:space="preserve">). What QED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exhibit is large gap-resistance, because it is too fingerprint-learnable to manufacture a sizeable oracle-gap at any label budget — which is precisely why the controlled synthetic (§4.1) and real-kcat (§4.3) experiments, which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isolate a genuine gap with calibratable σ, remain the decisive evidence.</w:t>
      </w:r>
      <w:r>
        <w:t xml:space="preserve"> </w:t>
      </w:r>
      <w:r>
        <w:rPr>
          <w:i/>
          <w:iCs/>
        </w:rPr>
        <w:t xml:space="preserve">(cf. PMO</w:t>
      </w:r>
      <w:r>
        <w:rPr>
          <w:i/>
          <w:iCs/>
          <w:vertAlign w:val="superscript"/>
        </w:rPr>
        <w:t xml:space="preserve">6</w:t>
      </w:r>
      <w:r>
        <w:rPr>
          <w:i/>
          <w:iCs/>
        </w:rPr>
        <w:t xml:space="preserve">; TDC</w:t>
      </w:r>
      <w:r>
        <w:rPr>
          <w:i/>
          <w:iCs/>
          <w:vertAlign w:val="superscript"/>
        </w:rPr>
        <w:t xml:space="preserve">38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040834"/>
            <wp:effectExtent b="0" l="0" r="0" t="0"/>
            <wp:docPr descr="Figure 7" title="" id="41" name="Picture"/>
            <a:graphic>
              <a:graphicData uri="http://schemas.openxmlformats.org/drawingml/2006/picture">
                <pic:pic>
                  <pic:nvPicPr>
                    <pic:cNvPr descr="../results/tdc_anch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External anchor on a community-standard TDC oracle (QED), 3 seeds, at two surrogate label budgets (rich 600 / scarce 120).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True QED of the top-K designs;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front oracle-gap. CU-MOBO (green)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on activity —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in both budgets, on a third-party scorer with no circular logic.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5a06872696e091829ccf8c65eaf015c84f480"/>
    <w:p>
      <w:pPr>
        <w:pStyle w:val="Heading2"/>
      </w:pPr>
      <w:r>
        <w:t xml:space="preserve">5. Preliminary extensions (D1–D4): relaxing the preconditions</w:t>
      </w:r>
    </w:p>
    <w:p>
      <w:pPr>
        <w:pStyle w:val="FirstParagraph"/>
      </w:pPr>
      <w:r>
        <w:t xml:space="preserve">The core method (§3) carries two preconditions we make explicit in §6: the σ-objective needs calibrated σ to be</w:t>
      </w:r>
      <w:r>
        <w:t xml:space="preserve"> </w:t>
      </w:r>
      <w:r>
        <w:rPr>
          <w:i/>
          <w:iCs/>
        </w:rPr>
        <w:t xml:space="preserve">low at the optimum</w:t>
      </w:r>
      <w:r>
        <w:t xml:space="preserve">, and GP-BO degrades in high dimensions. We report four preliminary extensions that begin to relax these.</w:t>
      </w:r>
      <w:r>
        <w:t xml:space="preserve"> </w:t>
      </w:r>
      <w:r>
        <w:rPr>
          <w:b/>
          <w:bCs/>
        </w:rPr>
        <w:t xml:space="preserve">All four are validated in-silico on synthetic/proxy tasks — not the two core evidence legs of §4 — and are forward-looking, not headline claims.</w:t>
      </w:r>
      <w:r>
        <w:t xml:space="preserve"> </w:t>
      </w:r>
      <w:r>
        <w:t xml:space="preserve">Full detail and sources in</w:t>
      </w:r>
      <w:r>
        <w:t xml:space="preserve"> </w:t>
      </w:r>
      <w:r>
        <w:rPr>
          <w:rStyle w:val="VerbatimChar"/>
        </w:rPr>
        <w:t xml:space="preserve">docs/cu_mobo_improvements.md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E1 — Trust-region + calibrated σ (targets high-dim).</w:t>
      </w:r>
      <w:r>
        <w:t xml:space="preserve"> </w:t>
      </w:r>
      <w:r>
        <w:t xml:space="preserve">A TuRBO-style</w:t>
      </w:r>
      <w:r>
        <w:rPr>
          <w:vertAlign w:val="superscript"/>
        </w:rPr>
        <w:t xml:space="preserve">42</w:t>
      </w:r>
      <w:r>
        <w:t xml:space="preserve"> </w:t>
      </w:r>
      <w:r>
        <w:t xml:space="preserve">local-GP trust region (</w:t>
      </w:r>
      <w:r>
        <w:rPr>
          <w:rStyle w:val="VerbatimChar"/>
        </w:rPr>
        <w:t xml:space="preserve">trust_region=True</w:t>
      </w:r>
      <w:r>
        <w:t xml:space="preserve">) plus out-of-fold-residual σ calibration (</w:t>
      </w:r>
      <w:r>
        <w:rPr>
          <w:rStyle w:val="VerbatimChar"/>
        </w:rPr>
        <w:t xml:space="preserve">KcatSurrogate.fit(sigma="calibrated")</w:t>
      </w:r>
      <w:r>
        <w:t xml:space="preserve">). On a synthetic uncertain-oracle problem the trust region is</w:t>
      </w:r>
      <w:r>
        <w:t xml:space="preserve"> </w:t>
      </w:r>
      <w:r>
        <w:rPr>
          <w:b/>
          <w:bCs/>
        </w:rPr>
        <w:t xml:space="preserve">regime-sensitive</w:t>
      </w:r>
      <w:r>
        <w:t xml:space="preserve"> </w:t>
      </w:r>
      <w:r>
        <w:t xml:space="preserve">— it helps at n_var=8 (0.54 vs 0.38) but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at n_var=16 (0.19 vs 0.39) — so we keep it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report calibrated σ (OOF residuals) as the reliable deliverable. (Honest negative on the trust region; positive on calibration.)</w:t>
      </w:r>
    </w:p>
    <w:p>
      <w:pPr>
        <w:pStyle w:val="BodyText"/>
      </w:pPr>
      <w:r>
        <w:rPr>
          <w:b/>
          <w:bCs/>
        </w:rPr>
        <w:t xml:space="preserve">E2 — Adaptive reliability (relaxes the σ-objective precondition).</w:t>
      </w:r>
      <w:r>
        <w:t xml:space="preserve"> </w:t>
      </w:r>
      <w:r>
        <w:t xml:space="preserve">The σ-objective fails exactly when the true optimum is itself high-σ (rare/novel): minimizing σ diverts search away from it. We replace</w:t>
      </w:r>
      <w:r>
        <w:t xml:space="preserve"> </w:t>
      </w:r>
      <w:r>
        <w:t xml:space="preserve">“minimize σ”</w:t>
      </w:r>
      <w:r>
        <w:t xml:space="preserve"> </w:t>
      </w:r>
      <w:r>
        <w:t xml:space="preserve">with a one-sided adaptive penalty</w:t>
      </w:r>
      <w:r>
        <w:t xml:space="preserve"> </w:t>
      </w:r>
      <w:r>
        <w:rPr>
          <w:rStyle w:val="VerbatimChar"/>
        </w:rPr>
        <w:t xml:space="preserve">μ_eff = μ − λ·relu(σ − τ)</w:t>
      </w:r>
      <w:r>
        <w:t xml:space="preserve">,</w:t>
      </w:r>
      <w:r>
        <w:t xml:space="preserve"> </w:t>
      </w:r>
      <w:r>
        <w:rPr>
          <w:rStyle w:val="VerbatimChar"/>
        </w:rPr>
        <w:t xml:space="preserve">τ = q</w:t>
      </w:r>
      <w:r>
        <w:t xml:space="preserve">-quantile of σ — only</w:t>
      </w:r>
      <w:r>
        <w:t xml:space="preserve"> </w:t>
      </w:r>
      <w:r>
        <w:rPr>
          <w:i/>
          <w:iCs/>
        </w:rPr>
        <w:t xml:space="preserve">super-threshold</w:t>
      </w:r>
      <w:r>
        <w:t xml:space="preserve"> </w:t>
      </w:r>
      <w:r>
        <w:t xml:space="preserve">unreliability is penalized (rejecting traps), leaving moderate-σ novel optima reachable. On a synthetic benchmark built to</w:t>
      </w:r>
      <w:r>
        <w:t xml:space="preserve"> </w:t>
      </w:r>
      <w:r>
        <w:rPr>
          <w:i/>
          <w:iCs/>
        </w:rPr>
        <w:t xml:space="preserve">violate</w:t>
      </w:r>
      <w:r>
        <w:t xml:space="preserve"> </w:t>
      </w:r>
      <w:r>
        <w:t xml:space="preserve">the precondition (true optimum at moderate σ, safe decoy at low σ, trap at extreme σ), adaptive reliability is best on both recovered true activity (</w:t>
      </w:r>
      <w:r>
        <w:rPr>
          <w:b/>
          <w:bCs/>
        </w:rPr>
        <w:t xml:space="preserve">0.779 ± 0.077</w:t>
      </w:r>
      <w:r>
        <w:t xml:space="preserve">, 3 seeds) and frequency of reaching the true optimum (</w:t>
      </w:r>
      <w:r>
        <w:rPr>
          <w:b/>
          <w:bCs/>
        </w:rPr>
        <w:t xml:space="preserve">0.175</w:t>
      </w:r>
      <w:r>
        <w:t xml:space="preserve">), beating the static σ-objective (0.730 / 0.112) and naive (0.736 ± 0.251 — equal mean but</w:t>
      </w:r>
      <w:r>
        <w:t xml:space="preserve"> </w:t>
      </w:r>
      <w:r>
        <w:rPr>
          <w:b/>
          <w:bCs/>
        </w:rPr>
        <w:t xml:space="preserve">3× the variance</w:t>
      </w:r>
      <w:r>
        <w:t xml:space="preserve">). This directly relaxes the §6 σ-objective precondition.</w:t>
      </w:r>
      <w:r>
        <w:t xml:space="preserve"> </w:t>
      </w:r>
      <w:r>
        <w:rPr>
          <w:i/>
          <w:iCs/>
        </w:rPr>
        <w:t xml:space="preserve">(cf. DyRAMO</w:t>
      </w:r>
      <w:r>
        <w:rPr>
          <w:i/>
          <w:iCs/>
          <w:vertAlign w:val="superscript"/>
        </w:rPr>
        <w:t xml:space="preserve">19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E3 — Property-aware latent (joint training).</w:t>
      </w:r>
      <w:r>
        <w:t xml:space="preserve"> </w:t>
      </w:r>
      <w:r>
        <w:t xml:space="preserve">Supervising the VAE</w:t>
      </w:r>
      <w:r>
        <w:rPr>
          <w:vertAlign w:val="superscript"/>
        </w:rPr>
        <w:t xml:space="preserve">43</w:t>
      </w:r>
      <w:r>
        <w:t xml:space="preserve"> </w:t>
      </w:r>
      <w:r>
        <w:t xml:space="preserve">latent with a property head (</w:t>
      </w:r>
      <w:r>
        <w:rPr>
          <w:rStyle w:val="VerbatimChar"/>
        </w:rPr>
        <w:t xml:space="preserve">z→activity</w:t>
      </w:r>
      <w:r>
        <w:t xml:space="preserve">) makes activity linearly decodable from a 16-d latent (held-out probe AUC</w:t>
      </w:r>
      <w:r>
        <w:t xml:space="preserve"> </w:t>
      </w:r>
      <w:r>
        <w:rPr>
          <w:b/>
          <w:bCs/>
        </w:rPr>
        <w:t xml:space="preserve">0.635 → 1.000</w:t>
      </w:r>
      <w:r>
        <w:t xml:space="preserve"> </w:t>
      </w:r>
      <w:r>
        <w:t xml:space="preserve">vs reconstruction-only; raw-fingerprint ceiling 0.975) — a pure-reconstruction latent discards most of the property signal. We document the</w:t>
      </w:r>
      <w:r>
        <w:t xml:space="preserve"> </w:t>
      </w:r>
      <w:r>
        <w:rPr>
          <w:b/>
          <w:bCs/>
        </w:rPr>
        <w:t xml:space="preserve">reconstruction-vs-property tradeoff</w:t>
      </w:r>
      <w:r>
        <w:t xml:space="preserve"> </w:t>
      </w:r>
      <w:r>
        <w:t xml:space="preserve">honestly: strong supervision (w_prop=5) collapses the decoder (random-latent validity 174→33/200), but a modest weight (w_prop=1) keeps it usable (129/200) at full property-organization. The probe AUC=1.000 reflects direct supervision on this label and shows the latent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carry the property — not that downstream BO is automatically solved.</w:t>
      </w:r>
      <w:r>
        <w:t xml:space="preserve"> </w:t>
      </w:r>
      <w:r>
        <w:rPr>
          <w:i/>
          <w:iCs/>
        </w:rPr>
        <w:t xml:space="preserve">(cf. LOL-BO</w:t>
      </w:r>
      <w:r>
        <w:rPr>
          <w:i/>
          <w:iCs/>
          <w:vertAlign w:val="superscript"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/ CoBO</w:t>
      </w:r>
      <w:r>
        <w:rPr>
          <w:i/>
          <w:iCs/>
          <w:vertAlign w:val="superscript"/>
        </w:rPr>
        <w:t xml:space="preserve">45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E4 — Flow-guided generation resists reward hacking (couples CU-MOBO with a generative flow).</w:t>
      </w:r>
      <w:r>
        <w:t xml:space="preserve"> </w:t>
      </w:r>
      <w:r>
        <w:t xml:space="preserve">On the property-aware latent we train a rectified-flow</w:t>
      </w:r>
      <w:r>
        <w:rPr>
          <w:vertAlign w:val="superscript"/>
        </w:rPr>
        <w:t xml:space="preserve">46</w:t>
      </w:r>
      <w:r>
        <w:t xml:space="preserve"> </w:t>
      </w:r>
      <w:r>
        <w:t xml:space="preserve">velocity field and steer sampling by the property gradient</w:t>
      </w:r>
      <w:r>
        <w:rPr>
          <w:vertAlign w:val="superscript"/>
        </w:rPr>
        <w:t xml:space="preserve">47</w:t>
      </w:r>
      <w:r>
        <w:t xml:space="preserve">,</w:t>
      </w:r>
      <w:r>
        <w:t xml:space="preserve"> </w:t>
      </w:r>
      <w:r>
        <w:rPr>
          <w:rStyle w:val="VerbatimChar"/>
        </w:rPr>
        <w:t xml:space="preserve">z ← z + dt·(v(z,t) + s·∇g(z))</w:t>
      </w:r>
      <w:r>
        <w:t xml:space="preserve">. Scored by an</w:t>
      </w:r>
      <w:r>
        <w:t xml:space="preserve"> </w:t>
      </w:r>
      <w:r>
        <w:rPr>
          <w:b/>
          <w:bCs/>
        </w:rPr>
        <w:t xml:space="preserve">independent real oracle</w:t>
      </w:r>
      <w:r>
        <w:t xml:space="preserve">, moderate guidance raises true activity</w:t>
      </w:r>
      <w:r>
        <w:t xml:space="preserve"> </w:t>
      </w:r>
      <w:r>
        <w:rPr>
          <w:b/>
          <w:bCs/>
        </w:rPr>
        <w:t xml:space="preserve">2.3× (0.108 → 0.247)</w:t>
      </w:r>
      <w:r>
        <w:t xml:space="preserve"> </w:t>
      </w:r>
      <w:r>
        <w:t xml:space="preserve">and the active fraction 11%→20%. Sweeping the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traces a</w:t>
      </w:r>
      <w:r>
        <w:t xml:space="preserve"> </w:t>
      </w:r>
      <w:r>
        <w:rPr>
          <w:b/>
          <w:bCs/>
        </w:rPr>
        <w:t xml:space="preserve">Conservative-Objective-Models-style over-optimization curve</w:t>
      </w:r>
      <w:r>
        <w:t xml:space="preserve"> </w:t>
      </w:r>
      <w:r>
        <w:t xml:space="preserve">(Fig. 8; cf. COMs, Trabucco et al. ICML 2021, Fig. 3):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rises (0 → 0.3 → 0.6 → ∞), the proxy head’s self-belief climbs monotonically (0.11 → 0.74 → 0.99 → 1.00) while true activity</w:t>
      </w:r>
      <w:r>
        <w:t xml:space="preserve"> </w:t>
      </w:r>
      <w:r>
        <w:rPr>
          <w:b/>
          <w:bCs/>
        </w:rPr>
        <w:t xml:space="preserve">peaks at s=0.6 then collapses to 0</w:t>
      </w:r>
      <w:r>
        <w:t xml:space="preserve"> </w:t>
      </w:r>
      <w:r>
        <w:t xml:space="preserve">when the flow prior is removed entirely (gradient ascent alone) — the reward-hacking gap widening from 0.003 to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  <w:r>
        <w:t xml:space="preserve"> </w:t>
      </w:r>
      <w:r>
        <w:rPr>
          <w:b/>
          <w:bCs/>
        </w:rPr>
        <w:t xml:space="preserve">The generative flow prior is the regularizer that keeps acquisition-gradient guidance on-manifold:</w:t>
      </w:r>
      <w:r>
        <w:t xml:space="preserve"> </w:t>
      </w:r>
      <w:r>
        <w:t xml:space="preserve">the same oracle-gap principle of §1 reappearing one level up, inside the generator, and the same</w:t>
      </w:r>
      <w:r>
        <w:t xml:space="preserve"> </w:t>
      </w:r>
      <w:r>
        <w:t xml:space="preserve">“optimize-the-proxy-harder → true-value-falls”</w:t>
      </w:r>
      <w:r>
        <w:t xml:space="preserve"> </w:t>
      </w:r>
      <w:r>
        <w:t xml:space="preserve">signature that the offline-MBO literature uses as its canonical reward-hacking diagnostic.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resulting validity↔activity Pareto knob.</w:t>
      </w:r>
      <w:r>
        <w:t xml:space="preserve"> </w:t>
      </w:r>
      <w:r>
        <w:rPr>
          <w:i/>
          <w:iCs/>
        </w:rPr>
        <w:t xml:space="preserve">(cf. LaMBO-2</w:t>
      </w:r>
      <w:r>
        <w:rPr>
          <w:i/>
          <w:iCs/>
          <w:vertAlign w:val="superscript"/>
        </w:rPr>
        <w:t xml:space="preserve">48</w:t>
      </w:r>
      <w:r>
        <w:rPr>
          <w:i/>
          <w:iCs/>
        </w:rPr>
        <w:t xml:space="preserve">; COMs</w:t>
      </w:r>
      <w:r>
        <w:rPr>
          <w:i/>
          <w:iCs/>
          <w:vertAlign w:val="superscript"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/ Design-Bench</w:t>
      </w:r>
      <w:r>
        <w:rPr>
          <w:i/>
          <w:iCs/>
          <w:vertAlign w:val="superscript"/>
        </w:rPr>
        <w:t xml:space="preserve">17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Figure 8" title="" id="46" name="Picture"/>
            <a:graphic>
              <a:graphicData uri="http://schemas.openxmlformats.org/drawingml/2006/picture">
                <pic:pic>
                  <pic:nvPicPr>
                    <pic:cNvPr descr="../results/overoptimiz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8.</w:t>
      </w:r>
      <w:r>
        <w:t xml:space="preserve"> </w:t>
      </w:r>
      <w:r>
        <w:t xml:space="preserve">E4 over-optimization (COMs-style) curve. As the flow-guidance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increases (0 → 0.3 → 0.6 → ∞ = gradient-ascent only), the proxy head’s self-belief rises</w:t>
      </w:r>
      <w:r>
        <w:t xml:space="preserve"> </w:t>
      </w:r>
      <w:r>
        <w:rPr>
          <w:i/>
          <w:iCs/>
        </w:rPr>
        <w:t xml:space="preserve">monotonically</w:t>
      </w:r>
      <w:r>
        <w:t xml:space="preserve"> </w:t>
      </w:r>
      <w:r>
        <w:t xml:space="preserve">while true activity (scored by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oracle) peaks at</w:t>
      </w:r>
      <w:r>
        <w:t xml:space="preserve"> </w:t>
      </w:r>
      <w:r>
        <w:rPr>
          <w:rStyle w:val="VerbatimChar"/>
        </w:rPr>
        <w:t xml:space="preserve">s</w:t>
      </w:r>
      <w:r>
        <w:t xml:space="preserve">=0.6 then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once the flow prior is removed — the reward-hacking signature of §1 reappearing inside the generator; the flow prior is the on-manifold regulariser.</w:t>
      </w:r>
    </w:p>
    <w:p>
      <w:pPr>
        <w:pStyle w:val="BodyText"/>
      </w:pPr>
      <w:r>
        <w:t xml:space="preserve">Together these show the core principle —</w:t>
      </w:r>
      <w:r>
        <w:t xml:space="preserve"> </w:t>
      </w:r>
      <w:r>
        <w:rPr>
          <w:i/>
          <w:iCs/>
        </w:rPr>
        <w:t xml:space="preserve">calibrated distrust of the oracle</w:t>
      </w:r>
      <w:r>
        <w:t xml:space="preserve"> </w:t>
      </w:r>
      <w:r>
        <w:t xml:space="preserve">— generalizes beyond the GP: to the acquisition objective (E2) and to the generative proposal step (E4), and they chart the path to higher-dimensional, generation-coupled CU-MOBO. They remain preliminary.</w:t>
      </w:r>
    </w:p>
    <w:p>
      <w:r>
        <w:pict>
          <v:rect style="width:0;height:1.5pt" o:hralign="center" o:hrstd="t" o:hr="t"/>
        </w:pict>
      </w:r>
    </w:p>
    <w:bookmarkEnd w:id="48"/>
    <w:bookmarkStart w:id="49" w:name="honest-boundaries-limitations"/>
    <w:p>
      <w:pPr>
        <w:pStyle w:val="Heading2"/>
      </w:pPr>
      <w:r>
        <w:t xml:space="preserve">6. Honest boundaries (limitations)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In-silico ≠ proof.</w:t>
      </w:r>
      <w:r>
        <w:t xml:space="preserve"> </w:t>
      </w:r>
      <w:r>
        <w:t xml:space="preserve">Every result here is screening/triage evidence. Wet-lab assays are the only proof of activity; this paper does not claim validated high-activity molecules.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Calibration is a prerequisite — and on a real noisy oracle, cheap σ only weakly meets it (§4.4, measured).</w:t>
      </w:r>
      <w:r>
        <w:t xml:space="preserve"> </w:t>
      </w:r>
      <w:r>
        <w:t xml:space="preserve">Mechanism 2 (σ-as-noise) only helps if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genuinely calibrated; Mechanism 1 (σ-as-objective) additionally requires</w:t>
      </w:r>
      <w:r>
        <w:t xml:space="preserve"> </w:t>
      </w:r>
      <w:r>
        <w:rPr>
          <w:b/>
          <w:bCs/>
        </w:rPr>
        <w:t xml:space="preserve">the calibrated σ be low at the true optimum</w:t>
      </w:r>
      <w:r>
        <w:t xml:space="preserve">. On the synthetic benchmark σ is calibrated by construction; on the real kcat surrogate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only weak ranking calibration (Spearman ρ≈0.2) with OOF-residual σ no better than tree variance (§4.4). So the precondition holds in the motivating setting (well-calibrated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like KcatMoE/Boltz) but is a real obstacle for crude RF σ. The σ-objective can also fail when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</w:t>
      </w:r>
      <w:r>
        <w:t xml:space="preserve"> </w:t>
      </w:r>
      <w:r>
        <w:t xml:space="preserve">“rare/OOD”</w:t>
      </w:r>
      <w:r>
        <w:t xml:space="preserve"> </w:t>
      </w:r>
      <w:r>
        <w:t xml:space="preserve">relative to a crude epistemic surrogate (best designs are themselves high-σ).</w:t>
      </w:r>
      <w:r>
        <w:t xml:space="preserve"> </w:t>
      </w:r>
      <w:r>
        <w:rPr>
          <w:b/>
          <w:bCs/>
        </w:rPr>
        <w:t xml:space="preserve">Extension E2 (§5) relaxes both issues</w:t>
      </w:r>
      <w:r>
        <w:t xml:space="preserve"> </w:t>
      </w:r>
      <w:r>
        <w:t xml:space="preserve">via a one-sided adaptive penalty robust to weak calibration; better UQ (deep ensembles, conformal) is the other natural lever.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degrades in high dimensions.</w:t>
      </w:r>
      <w:r>
        <w:t xml:space="preserve"> </w:t>
      </w:r>
      <w:r>
        <w:t xml:space="preserve">We keep the molecular latent at 16-d (BO’s sweet spot); larger latents need dimensionality reduction or trust-region BO, and at tight budgets in higher dimensions evolutionary baselines (NSGA-II) can be competitive with GP-BO. Extension E1 (§5) explores trust-region BO for this but finds it regime-sensitive; E3/E4 (§5) chart a generation-coupled alternative.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Independent-oracle agreement is supportive, not conclusive.</w:t>
      </w:r>
      <w:r>
        <w:t xml:space="preserve"> </w:t>
      </w:r>
      <w:r>
        <w:t xml:space="preserve">Cross-checking with a second predictor (UniKP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DLKcat</w:t>
      </w:r>
      <w:r>
        <w:rPr>
          <w:vertAlign w:val="superscript"/>
        </w:rPr>
        <w:t xml:space="preserve">1</w:t>
      </w:r>
      <w:r>
        <w:t xml:space="preserve">) breaks the self-evaluation loop but, because predictors share training data and correlated errors, it is supporting evidence — not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hardening — done and planned (honest).</w:t>
      </w:r>
      <w:r>
        <w:t xml:space="preserve"> </w:t>
      </w:r>
      <w:r>
        <w:t xml:space="preserve">Done: §4.3 hardened to</w:t>
      </w:r>
      <w:r>
        <w:t xml:space="preserve"> </w:t>
      </w:r>
      <w:r>
        <w:rPr>
          <w:b/>
          <w:bCs/>
        </w:rPr>
        <w:t xml:space="preserve">EF/BEDROC/AUC under random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Bemis–Murcko scaffold splits with a 1-NN memorization baseline and bootstrap CIs</w:t>
      </w:r>
      <w:r>
        <w:t xml:space="preserve">, plus a</w:t>
      </w:r>
      <w:r>
        <w:t xml:space="preserve"> </w:t>
      </w:r>
      <w:r>
        <w:rPr>
          <w:b/>
          <w:bCs/>
        </w:rPr>
        <w:t xml:space="preserve">Tc≥0.6 near-neighbour-removal control</w:t>
      </w:r>
      <w:r>
        <w:t xml:space="preserve"> </w:t>
      </w:r>
      <w:r>
        <w:t xml:space="preserve">on the generative leg (§4.3); the σ premise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(§4.4);</w:t>
      </w:r>
      <w:r>
        <w:t xml:space="preserve"> </w:t>
      </w:r>
      <w:r>
        <w:rPr>
          <w:b/>
          <w:bCs/>
        </w:rPr>
        <w:t xml:space="preserve">diversity/novelty of the recommended set</w:t>
      </w:r>
      <w:r>
        <w:t xml:space="preserve"> </w:t>
      </w:r>
      <w:r>
        <w:t xml:space="preserve">(IntDiv₁, #Circles, scaffold count, SNN-novelty) reported (§4.5); the synthetic benchmark re-run at</w:t>
      </w:r>
      <w:r>
        <w:t xml:space="preserve"> </w:t>
      </w:r>
      <w:r>
        <w:rPr>
          <w:b/>
          <w:bCs/>
        </w:rPr>
        <w:t xml:space="preserve">5 seeds with Cliff’s δ effect sizes</w:t>
      </w:r>
      <w:r>
        <w:t xml:space="preserve"> </w:t>
      </w:r>
      <w:r>
        <w:t xml:space="preserve">(§4.1); and an</w:t>
      </w:r>
      <w:r>
        <w:t xml:space="preserve"> </w:t>
      </w:r>
      <w:r>
        <w:rPr>
          <w:b/>
          <w:bCs/>
        </w:rPr>
        <w:t xml:space="preserve">external anchor on community-standard TDC oracles</w:t>
      </w:r>
      <w:r>
        <w:t xml:space="preserve"> </w:t>
      </w:r>
      <w:r>
        <w:t xml:space="preserve">added (§4.6). Against the offline-MBO leaderboard standard (Design-Bench/COMs) one originally-scoped item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run for an infrastructure reason we report plainly: we installed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(after a UTF-8 setup-script fix) and imported its TF-Bind-8 task, but its upstream data host — the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Google-Cloud-Storage bucket hard-coded in the package —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NoSuchBucket</w:t>
      </w:r>
      <w:r>
        <w:t xml:space="preserve">, verified 2026-06-26), and no maintained mirror was found, so the shard download fails. Rather than leave the external-anchor gap, we anchored on a</w:t>
      </w:r>
      <w:r>
        <w:t xml:space="preserve"> </w:t>
      </w:r>
      <w:r>
        <w:rPr>
          <w:b/>
          <w:bCs/>
        </w:rPr>
        <w:t xml:space="preserve">standard TDC oracle instead</w:t>
      </w:r>
      <w:r>
        <w:t xml:space="preserve"> </w:t>
      </w:r>
      <w:r>
        <w:t xml:space="preserve">(§4.6, QED at two label budgets), which is computed locally and needs no download. We report what we ran honestly and do not claim the unreachable leaderboard number.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CU-MOBO operationalizes a simple principle —</w:t>
      </w:r>
      <w:r>
        <w:t xml:space="preserve"> </w:t>
      </w:r>
      <w:r>
        <w:rPr>
          <w:i/>
          <w:iCs/>
        </w:rPr>
        <w:t xml:space="preserve">trust the oracle less where it says it is uncertain</w:t>
      </w:r>
      <w:r>
        <w:t xml:space="preserve"> </w:t>
      </w:r>
      <w:r>
        <w:t xml:space="preserve">— through two concrete levers (σ-as-objective and σ-as-GP-noise) inside standard MOBO. On a controlled benchmark with hidden ground truth it measurably reduces the oracle-gap and improves the true activity of recommended designs sample-efficiently, with a clean 2×2 ablation; and on real experimental kcat labels it produces a consistent, leakage-controlled enrichment for high-activity substrates. The contribution is methodological and the evidence is in-silico; we are explicit about the precondition the σ-objective needs (calibrated σ low at the optimum) and that wet-lab validation is the next and decisive step.</w:t>
      </w:r>
    </w:p>
    <w:p>
      <w:r>
        <w:pict>
          <v:rect style="width:0;height:1.5pt" o:hralign="center" o:hrstd="t" o:hr="t"/>
        </w:pict>
      </w:r>
    </w:p>
    <w:bookmarkEnd w:id="50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52" w:name="ref-li2022dlkcat"/>
    <w:p>
      <w:pPr>
        <w:pStyle w:val="Bibliography"/>
      </w:pPr>
      <w:r>
        <w:t xml:space="preserve">(1)</w:t>
      </w:r>
      <w:r>
        <w:t xml:space="preserve"> </w:t>
      </w:r>
      <w:r>
        <w:t xml:space="preserve">	</w:t>
      </w:r>
      <w:r>
        <w:t xml:space="preserve">Li, F.; Yuan, L.; Lu, H.; Li, G.; Chen, Y.; Engqvist, M. K. M.; Kerkhoven, E. J.; Nielsen, J. Deep Learning-Based Kcat Prediction Enables Improved Enzyme-Constrained Model Reconstruction.</w:t>
      </w:r>
      <w:r>
        <w:t xml:space="preserve"> </w:t>
      </w:r>
      <w:r>
        <w:rPr>
          <w:i/>
          <w:iCs/>
        </w:rPr>
        <w:t xml:space="preserve">Nature Catalysis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 </w:t>
      </w:r>
      <w:r>
        <w:t xml:space="preserve">(8), 662–672.</w:t>
      </w:r>
      <w:r>
        <w:t xml:space="preserve"> </w:t>
      </w:r>
      <w:hyperlink r:id="rId51">
        <w:r>
          <w:rPr>
            <w:rStyle w:val="Hyperlink"/>
          </w:rPr>
          <w:t xml:space="preserve">https://doi.org/10.1038/s41929-022-00798-z</w:t>
        </w:r>
      </w:hyperlink>
      <w:r>
        <w:t xml:space="preserve">.</w:t>
      </w:r>
    </w:p>
    <w:bookmarkEnd w:id="52"/>
    <w:bookmarkStart w:id="54" w:name="ref-yu2023unikp"/>
    <w:p>
      <w:pPr>
        <w:pStyle w:val="Bibliography"/>
      </w:pPr>
      <w:r>
        <w:t xml:space="preserve">(2)</w:t>
      </w:r>
      <w:r>
        <w:t xml:space="preserve"> </w:t>
      </w:r>
      <w:r>
        <w:t xml:space="preserve">	</w:t>
      </w:r>
      <w:r>
        <w:t xml:space="preserve">Yu, H.; Deng, H.; He, J.; Keasling, J. D.; Luo, X.</w:t>
      </w:r>
      <w:r>
        <w:t xml:space="preserve"> </w:t>
      </w:r>
      <w:r>
        <w:t xml:space="preserve">UniKP</w:t>
      </w:r>
      <w:r>
        <w:t xml:space="preserve">: A Unified Framework for the Prediction of Enzyme Kinetic Parameters.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8211.</w:t>
      </w:r>
      <w:r>
        <w:t xml:space="preserve"> </w:t>
      </w:r>
      <w:hyperlink r:id="rId53">
        <w:r>
          <w:rPr>
            <w:rStyle w:val="Hyperlink"/>
          </w:rPr>
          <w:t xml:space="preserve">https://doi.org/10.1038/s41467-023-44113-1</w:t>
        </w:r>
      </w:hyperlink>
      <w:r>
        <w:t xml:space="preserve">.</w:t>
      </w:r>
    </w:p>
    <w:bookmarkEnd w:id="54"/>
    <w:bookmarkStart w:id="56" w:name="ref-kroll2023turnup"/>
    <w:p>
      <w:pPr>
        <w:pStyle w:val="Bibliography"/>
      </w:pPr>
      <w:r>
        <w:t xml:space="preserve">(3)</w:t>
      </w:r>
      <w:r>
        <w:t xml:space="preserve"> </w:t>
      </w:r>
      <w:r>
        <w:t xml:space="preserve">	</w:t>
      </w:r>
      <w:r>
        <w:t xml:space="preserve">Kroll, A.; Rousset, Y.; Hu, X.-P.; Liebrand, N. A.; Lercher, M. J. Turnover Number Predictions for Kinetically Uncharacterized Enzymes Using Machine and Deep Learning.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4139.</w:t>
      </w:r>
      <w:r>
        <w:t xml:space="preserve"> </w:t>
      </w:r>
      <w:hyperlink r:id="rId55">
        <w:r>
          <w:rPr>
            <w:rStyle w:val="Hyperlink"/>
          </w:rPr>
          <w:t xml:space="preserve">https://doi.org/10.1038/s41467-023-39840-4</w:t>
        </w:r>
      </w:hyperlink>
      <w:r>
        <w:t xml:space="preserve">.</w:t>
      </w:r>
    </w:p>
    <w:bookmarkEnd w:id="56"/>
    <w:bookmarkStart w:id="58" w:name="ref-wohlwend2024boltz"/>
    <w:p>
      <w:pPr>
        <w:pStyle w:val="Bibliography"/>
      </w:pPr>
      <w:r>
        <w:t xml:space="preserve">(4)</w:t>
      </w:r>
      <w:r>
        <w:t xml:space="preserve"> </w:t>
      </w:r>
      <w:r>
        <w:t xml:space="preserve">	</w:t>
      </w:r>
      <w:r>
        <w:t xml:space="preserve">Wohlwend, J.; Corso, G.; Passaro, S.; Getz, N.; Reveiz, M.; Leidal, K.; Swiderski, W.; Atkinson, L.; Portnoi, T.; Chinn, I.; Silterra, J.; Jaakkola, T.; Barzilay, R. Boltz-1: Democratizing Biomolecular Interaction Modeling.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rPr>
          <w:b/>
          <w:bCs/>
        </w:rPr>
        <w:t xml:space="preserve">2024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https://doi.org/10.1101/2024.11.19.624167</w:t>
        </w:r>
      </w:hyperlink>
      <w:r>
        <w:t xml:space="preserve">.</w:t>
      </w:r>
    </w:p>
    <w:bookmarkEnd w:id="58"/>
    <w:bookmarkStart w:id="60" w:name="ref-jumper2021alphafold"/>
    <w:p>
      <w:pPr>
        <w:pStyle w:val="Bibliography"/>
      </w:pPr>
      <w:r>
        <w:t xml:space="preserve">(5)</w:t>
      </w:r>
      <w:r>
        <w:t xml:space="preserve"> </w:t>
      </w:r>
      <w:r>
        <w:t xml:space="preserve">	</w:t>
      </w:r>
      <w:r>
        <w:t xml:space="preserve">Jumper, J.; Evans, R.; Pritzel, A.; Green, T.; Figurnov, M.; Ronneberger, O.; Tunyasuvunakool, K.; Bates, R.; Žídek, A.; Potapenko, A.; others</w:t>
      </w:r>
      <w:r>
        <w:t xml:space="preserve">. Highly Accurate Protein Structure Prediction with</w:t>
      </w:r>
      <w:r>
        <w:t xml:space="preserve"> </w:t>
      </w:r>
      <w:r>
        <w:t xml:space="preserve">AlphaFold</w:t>
      </w:r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596</w:t>
      </w:r>
      <w:r>
        <w:t xml:space="preserve"> </w:t>
      </w:r>
      <w:r>
        <w:t xml:space="preserve">(7873), 583–589.</w:t>
      </w:r>
      <w:r>
        <w:t xml:space="preserve"> </w:t>
      </w:r>
      <w:hyperlink r:id="rId59">
        <w:r>
          <w:rPr>
            <w:rStyle w:val="Hyperlink"/>
          </w:rPr>
          <w:t xml:space="preserve">https://doi.org/10.1038/s41586-021-03819-2</w:t>
        </w:r>
      </w:hyperlink>
      <w:r>
        <w:t xml:space="preserve">.</w:t>
      </w:r>
    </w:p>
    <w:bookmarkEnd w:id="60"/>
    <w:bookmarkStart w:id="61" w:name="ref-gao2022pmo"/>
    <w:p>
      <w:pPr>
        <w:pStyle w:val="Bibliography"/>
      </w:pPr>
      <w:r>
        <w:t xml:space="preserve">(6)</w:t>
      </w:r>
      <w:r>
        <w:t xml:space="preserve"> </w:t>
      </w:r>
      <w:r>
        <w:t xml:space="preserve">	</w:t>
      </w:r>
      <w:r>
        <w:t xml:space="preserve">Gao, W.; Fu, T.; Sun, J.; Coley, C. W. Sample Efficiency Matters: A Benchmark for Practical Molecular Optimization.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2022.</w:t>
      </w:r>
    </w:p>
    <w:bookmarkEnd w:id="61"/>
    <w:bookmarkStart w:id="62" w:name="ref-lakshminarayanan2017ensembles"/>
    <w:p>
      <w:pPr>
        <w:pStyle w:val="Bibliography"/>
      </w:pPr>
      <w:r>
        <w:t xml:space="preserve">(7)</w:t>
      </w:r>
      <w:r>
        <w:t xml:space="preserve"> </w:t>
      </w:r>
      <w:r>
        <w:t xml:space="preserve">	</w:t>
      </w:r>
      <w:r>
        <w:t xml:space="preserve">Lakshminarayanan, B.; Pritzel, A.; Blundell, C. Simple and Scalable Predictive Uncertainty Estimation Using Deep Ensembles.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2017; Vol. 30, pp 6402–6413.</w:t>
      </w:r>
    </w:p>
    <w:bookmarkEnd w:id="62"/>
    <w:bookmarkStart w:id="63" w:name="ref-angelopoulos2021conformal"/>
    <w:p>
      <w:pPr>
        <w:pStyle w:val="Bibliography"/>
      </w:pPr>
      <w:r>
        <w:t xml:space="preserve">(8)</w:t>
      </w:r>
      <w:r>
        <w:t xml:space="preserve"> </w:t>
      </w:r>
      <w:r>
        <w:t xml:space="preserve">	</w:t>
      </w:r>
      <w:r>
        <w:t xml:space="preserve">Angelopoulos, A. N.; Bates, S. A Gentle Introduction to Conformal Prediction and Distribution-Free Uncertainty Quantification, 2021.</w:t>
      </w:r>
    </w:p>
    <w:bookmarkEnd w:id="63"/>
    <w:bookmarkStart w:id="64" w:name="ref-amini2020evidential"/>
    <w:p>
      <w:pPr>
        <w:pStyle w:val="Bibliography"/>
      </w:pPr>
      <w:r>
        <w:t xml:space="preserve">(9)</w:t>
      </w:r>
      <w:r>
        <w:t xml:space="preserve"> </w:t>
      </w:r>
      <w:r>
        <w:t xml:space="preserve">	</w:t>
      </w:r>
      <w:r>
        <w:t xml:space="preserve">Amini, A.; Schwarting, W.; Soleimany, A.; Rus, D. Deep Evidential Regression.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33, pp 14927–14937.</w:t>
      </w:r>
    </w:p>
    <w:bookmarkEnd w:id="64"/>
    <w:bookmarkStart w:id="65" w:name="ref-amodei2016safety"/>
    <w:p>
      <w:pPr>
        <w:pStyle w:val="Bibliography"/>
      </w:pPr>
      <w:r>
        <w:t xml:space="preserve">(10)</w:t>
      </w:r>
      <w:r>
        <w:t xml:space="preserve"> </w:t>
      </w:r>
      <w:r>
        <w:t xml:space="preserve">	</w:t>
      </w:r>
      <w:r>
        <w:t xml:space="preserve">Amodei, D.; Olah, C.; Steinhardt, J.; Christiano, P.; Schulman, J.; Mané, D. Concrete Problems in AI Safety, 2016.</w:t>
      </w:r>
    </w:p>
    <w:bookmarkEnd w:id="65"/>
    <w:bookmarkStart w:id="66" w:name="ref-skalse2022rewardhacking"/>
    <w:p>
      <w:pPr>
        <w:pStyle w:val="Bibliography"/>
      </w:pPr>
      <w:r>
        <w:t xml:space="preserve">(11)</w:t>
      </w:r>
      <w:r>
        <w:t xml:space="preserve"> </w:t>
      </w:r>
      <w:r>
        <w:t xml:space="preserve">	</w:t>
      </w:r>
      <w:r>
        <w:t xml:space="preserve">Skalse, J.; Howe, N. H. R.; Krasheninnikov, D.; Krueger, D. Defining and Characterizing Reward Gaming.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35, pp 9460–9471.</w:t>
      </w:r>
    </w:p>
    <w:bookmarkEnd w:id="66"/>
    <w:bookmarkStart w:id="68" w:name="ref-shahriari2016bo"/>
    <w:p>
      <w:pPr>
        <w:pStyle w:val="Bibliography"/>
      </w:pPr>
      <w:r>
        <w:t xml:space="preserve">(12)</w:t>
      </w:r>
      <w:r>
        <w:t xml:space="preserve"> </w:t>
      </w:r>
      <w:r>
        <w:t xml:space="preserve">	</w:t>
      </w:r>
      <w:r>
        <w:t xml:space="preserve">Shahriari, B.; Swersky, K.; Wang, Z.; Adams, R. P.; Freitas, N. de. Taking the Human Out of the Loop: A Review of Bayesian Optimization.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 </w:t>
      </w:r>
      <w:r>
        <w:t xml:space="preserve">(1), 148–175.</w:t>
      </w:r>
      <w:r>
        <w:t xml:space="preserve"> </w:t>
      </w:r>
      <w:hyperlink r:id="rId67">
        <w:r>
          <w:rPr>
            <w:rStyle w:val="Hyperlink"/>
          </w:rPr>
          <w:t xml:space="preserve">https://doi.org/10.1109/JPROC.2015.2494218</w:t>
        </w:r>
      </w:hyperlink>
      <w:r>
        <w:t xml:space="preserve">.</w:t>
      </w:r>
    </w:p>
    <w:bookmarkEnd w:id="68"/>
    <w:bookmarkStart w:id="69" w:name="ref-frazier2018bo"/>
    <w:p>
      <w:pPr>
        <w:pStyle w:val="Bibliography"/>
      </w:pPr>
      <w:r>
        <w:t xml:space="preserve">(13)</w:t>
      </w:r>
      <w:r>
        <w:t xml:space="preserve"> </w:t>
      </w:r>
      <w:r>
        <w:t xml:space="preserve">	</w:t>
      </w:r>
      <w:r>
        <w:t xml:space="preserve">Frazier, P. I. A Tutorial on Bayesian Optimization, 2018.</w:t>
      </w:r>
    </w:p>
    <w:bookmarkEnd w:id="69"/>
    <w:bookmarkStart w:id="70" w:name="ref-daulton2020qehvi"/>
    <w:p>
      <w:pPr>
        <w:pStyle w:val="Bibliography"/>
      </w:pPr>
      <w:r>
        <w:t xml:space="preserve">(14)</w:t>
      </w:r>
      <w:r>
        <w:t xml:space="preserve"> </w:t>
      </w:r>
      <w:r>
        <w:t xml:space="preserve">	</w:t>
      </w:r>
      <w:r>
        <w:t xml:space="preserve">Daulton, S.; Balandat, M.; Bakshy, E. Differentiable Expected Hypervolume Improvement for Parallel Multi-Objective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70"/>
    <w:bookmarkStart w:id="71" w:name="ref-daulton2021qnehvi"/>
    <w:p>
      <w:pPr>
        <w:pStyle w:val="Bibliography"/>
      </w:pPr>
      <w:r>
        <w:t xml:space="preserve">(15)</w:t>
      </w:r>
      <w:r>
        <w:t xml:space="preserve"> </w:t>
      </w:r>
      <w:r>
        <w:t xml:space="preserve">	</w:t>
      </w:r>
      <w:r>
        <w:t xml:space="preserve">Daulton, S.; Balandat, M.; Bakshy, E. Parallel Bayesian Optimization of Multiple Noisy Objectives with Expected Hypervolume Improvement.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34.</w:t>
      </w:r>
    </w:p>
    <w:bookmarkEnd w:id="71"/>
    <w:bookmarkStart w:id="73" w:name="ref-knowles2006parego"/>
    <w:p>
      <w:pPr>
        <w:pStyle w:val="Bibliography"/>
      </w:pPr>
      <w:r>
        <w:t xml:space="preserve">(16)</w:t>
      </w:r>
      <w:r>
        <w:t xml:space="preserve"> </w:t>
      </w:r>
      <w:r>
        <w:t xml:space="preserve">	</w:t>
      </w:r>
      <w:r>
        <w:t xml:space="preserve">Knowles, J. ParEGO: A Hybrid Algorithm with on-Line Landscape Approximation for Expensive Multiobjective Optimization Problems.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 </w:t>
      </w:r>
      <w:r>
        <w:t xml:space="preserve">(1), 50–66.</w:t>
      </w:r>
      <w:r>
        <w:t xml:space="preserve"> </w:t>
      </w:r>
      <w:hyperlink r:id="rId72">
        <w:r>
          <w:rPr>
            <w:rStyle w:val="Hyperlink"/>
          </w:rPr>
          <w:t xml:space="preserve">https://doi.org/10.1109/TEVC.2005.851274</w:t>
        </w:r>
      </w:hyperlink>
      <w:r>
        <w:t xml:space="preserve">.</w:t>
      </w:r>
    </w:p>
    <w:bookmarkEnd w:id="73"/>
    <w:bookmarkStart w:id="74" w:name="ref-trabucco2022designbench"/>
    <w:p>
      <w:pPr>
        <w:pStyle w:val="Bibliography"/>
      </w:pPr>
      <w:r>
        <w:t xml:space="preserve">(17)</w:t>
      </w:r>
      <w:r>
        <w:t xml:space="preserve"> </w:t>
      </w:r>
      <w:r>
        <w:t xml:space="preserve">	</w:t>
      </w:r>
      <w:r>
        <w:t xml:space="preserve">Trabucco, B.; Geng, X.; Kumar, A.; Levine, S. Design-Bench: Benchmarks for Data-Driven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162</w:t>
      </w:r>
      <w:r>
        <w:t xml:space="preserve">; 2022; pp 21658–21676.</w:t>
      </w:r>
    </w:p>
    <w:bookmarkEnd w:id="74"/>
    <w:bookmarkStart w:id="75" w:name="ref-trabucco2021coms"/>
    <w:p>
      <w:pPr>
        <w:pStyle w:val="Bibliography"/>
      </w:pPr>
      <w:r>
        <w:t xml:space="preserve">(18)</w:t>
      </w:r>
      <w:r>
        <w:t xml:space="preserve"> </w:t>
      </w:r>
      <w:r>
        <w:t xml:space="preserve">	</w:t>
      </w:r>
      <w:r>
        <w:t xml:space="preserve">Trabucco, B.; Kumar, A.; Geng, X.; Levine, S. Conservative Objective Models for Effective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139</w:t>
      </w:r>
      <w:r>
        <w:t xml:space="preserve">; 2021; pp 10358–10368.</w:t>
      </w:r>
    </w:p>
    <w:bookmarkEnd w:id="75"/>
    <w:bookmarkStart w:id="77" w:name="ref-yoshizawa2025dyramo"/>
    <w:p>
      <w:pPr>
        <w:pStyle w:val="Bibliography"/>
      </w:pPr>
      <w:r>
        <w:t xml:space="preserve">(19)</w:t>
      </w:r>
      <w:r>
        <w:t xml:space="preserve"> </w:t>
      </w:r>
      <w:r>
        <w:t xml:space="preserve">	</w:t>
      </w:r>
      <w:r>
        <w:t xml:space="preserve">Yoshizawa, T.; Ishida, S.; Sato, T.; Ohta, M.; Honma, T.; Terayama, K. A Data-Driven Generative Strategy to Avoid Reward Hacking in Multi-Objective Molecular Design.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 2409.</w:t>
      </w:r>
      <w:r>
        <w:t xml:space="preserve"> </w:t>
      </w:r>
      <w:hyperlink r:id="rId76">
        <w:r>
          <w:rPr>
            <w:rStyle w:val="Hyperlink"/>
          </w:rPr>
          <w:t xml:space="preserve">https://doi.org/10.1038/s41467-025-57582-3</w:t>
        </w:r>
      </w:hyperlink>
      <w:r>
        <w:t xml:space="preserve">.</w:t>
      </w:r>
    </w:p>
    <w:bookmarkEnd w:id="77"/>
    <w:bookmarkStart w:id="79" w:name="ref-bickerton2012qed"/>
    <w:p>
      <w:pPr>
        <w:pStyle w:val="Bibliography"/>
      </w:pPr>
      <w:r>
        <w:t xml:space="preserve">(20)</w:t>
      </w:r>
      <w:r>
        <w:t xml:space="preserve"> </w:t>
      </w:r>
      <w:r>
        <w:t xml:space="preserve">	</w:t>
      </w:r>
      <w:r>
        <w:t xml:space="preserve">Bickerton, G. R.; Paolini, G. V.; Besnard, J.; Muresan, S.; Hopkins, A. L. Quantifying the Chemical Beauty of Drugs.</w:t>
      </w:r>
      <w:r>
        <w:t xml:space="preserve"> </w:t>
      </w:r>
      <w:r>
        <w:rPr>
          <w:i/>
          <w:iCs/>
        </w:rPr>
        <w:t xml:space="preserve">Nature Chemistry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90–98.</w:t>
      </w:r>
      <w:r>
        <w:t xml:space="preserve"> </w:t>
      </w:r>
      <w:hyperlink r:id="rId78">
        <w:r>
          <w:rPr>
            <w:rStyle w:val="Hyperlink"/>
          </w:rPr>
          <w:t xml:space="preserve">https://doi.org/10.1038/nchem.1243</w:t>
        </w:r>
      </w:hyperlink>
      <w:r>
        <w:t xml:space="preserve">.</w:t>
      </w:r>
    </w:p>
    <w:bookmarkEnd w:id="79"/>
    <w:bookmarkStart w:id="81" w:name="ref-ertl2009sa"/>
    <w:p>
      <w:pPr>
        <w:pStyle w:val="Bibliography"/>
      </w:pPr>
      <w:r>
        <w:t xml:space="preserve">(21)</w:t>
      </w:r>
      <w:r>
        <w:t xml:space="preserve"> </w:t>
      </w:r>
      <w:r>
        <w:t xml:space="preserve">	</w:t>
      </w:r>
      <w:r>
        <w:t xml:space="preserve">Ertl, P.; Schuffenhauer, A. Estimation of Synthetic Accessibility Score of Drug-Like Molecules Based on Molecular Complexity and Fragment Contributions.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 </w:t>
      </w:r>
      <w:r>
        <w:t xml:space="preserve">(1), 8.</w:t>
      </w:r>
      <w:r>
        <w:t xml:space="preserve"> </w:t>
      </w:r>
      <w:hyperlink r:id="rId80">
        <w:r>
          <w:rPr>
            <w:rStyle w:val="Hyperlink"/>
          </w:rPr>
          <w:t xml:space="preserve">https://doi.org/10.1186/1758-2946-1-8</w:t>
        </w:r>
      </w:hyperlink>
      <w:r>
        <w:t xml:space="preserve">.</w:t>
      </w:r>
    </w:p>
    <w:bookmarkEnd w:id="81"/>
    <w:bookmarkStart w:id="83" w:name="ref-lipinski1997ro5"/>
    <w:p>
      <w:pPr>
        <w:pStyle w:val="Bibliography"/>
      </w:pPr>
      <w:r>
        <w:t xml:space="preserve">(22)</w:t>
      </w:r>
      <w:r>
        <w:t xml:space="preserve"> </w:t>
      </w:r>
      <w:r>
        <w:t xml:space="preserve">	</w:t>
      </w:r>
      <w:r>
        <w:t xml:space="preserve">Lipinski, C. A.; Lombardo, F.; Dominy, B. W.; Feeney, P. J. Experimental and Computational Approaches to Estimate Solubility and Permeability in Drug Discovery and Development Settings.</w:t>
      </w:r>
      <w:r>
        <w:t xml:space="preserve"> </w:t>
      </w:r>
      <w:r>
        <w:rPr>
          <w:i/>
          <w:iCs/>
        </w:rPr>
        <w:t xml:space="preserve">Advanced Drug Delivery Reviews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 </w:t>
      </w:r>
      <w:r>
        <w:t xml:space="preserve">(1-3), 3–25.</w:t>
      </w:r>
      <w:r>
        <w:t xml:space="preserve"> </w:t>
      </w:r>
      <w:hyperlink r:id="rId82">
        <w:r>
          <w:rPr>
            <w:rStyle w:val="Hyperlink"/>
          </w:rPr>
          <w:t xml:space="preserve">https://doi.org/10.1016/S0169-409X(96)00423-1</w:t>
        </w:r>
      </w:hyperlink>
      <w:r>
        <w:t xml:space="preserve">.</w:t>
      </w:r>
    </w:p>
    <w:bookmarkEnd w:id="83"/>
    <w:bookmarkStart w:id="85" w:name="ref-baell2010pains"/>
    <w:p>
      <w:pPr>
        <w:pStyle w:val="Bibliography"/>
      </w:pPr>
      <w:r>
        <w:t xml:space="preserve">(23)</w:t>
      </w:r>
      <w:r>
        <w:t xml:space="preserve"> </w:t>
      </w:r>
      <w:r>
        <w:t xml:space="preserve">	</w:t>
      </w:r>
      <w:r>
        <w:t xml:space="preserve">Baell, J. B.; Holloway, G. A. New Substructure Filters for Removal of Pan Assay Interference Compounds (</w:t>
      </w:r>
      <w:r>
        <w:t xml:space="preserve">PAINS</w:t>
      </w:r>
      <w:r>
        <w:t xml:space="preserve">) from Screening Libraries and for Their Exclusion in Bioassays.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 </w:t>
      </w:r>
      <w:r>
        <w:t xml:space="preserve">(7), 2719–2740.</w:t>
      </w:r>
      <w:r>
        <w:t xml:space="preserve"> </w:t>
      </w:r>
      <w:hyperlink r:id="rId84">
        <w:r>
          <w:rPr>
            <w:rStyle w:val="Hyperlink"/>
          </w:rPr>
          <w:t xml:space="preserve">https://doi.org/10.1021/jm901137j</w:t>
        </w:r>
      </w:hyperlink>
      <w:r>
        <w:t xml:space="preserve">.</w:t>
      </w:r>
    </w:p>
    <w:bookmarkEnd w:id="85"/>
    <w:bookmarkStart w:id="87" w:name="ref-landrum_rdkit"/>
    <w:p>
      <w:pPr>
        <w:pStyle w:val="Bibliography"/>
      </w:pPr>
      <w:r>
        <w:t xml:space="preserve">(24)</w:t>
      </w:r>
      <w:r>
        <w:t xml:space="preserve"> </w:t>
      </w:r>
      <w:r>
        <w:t xml:space="preserve">	</w:t>
      </w:r>
      <w:r>
        <w:t xml:space="preserve">Landrum, G.; others</w:t>
      </w:r>
      <w:r>
        <w:t xml:space="preserve">.</w:t>
      </w:r>
      <w:r>
        <w:t xml:space="preserve"> </w:t>
      </w:r>
      <w:r>
        <w:t xml:space="preserve">RDKit</w:t>
      </w:r>
      <w:r>
        <w:t xml:space="preserve">: Open-Source Cheminformatics.</w:t>
      </w:r>
      <w:r>
        <w:t xml:space="preserve"> </w:t>
      </w:r>
      <w:hyperlink r:id="rId86">
        <w:r>
          <w:rPr>
            <w:rStyle w:val="Hyperlink"/>
          </w:rPr>
          <w:t xml:space="preserve">https://doi.org/10.5281/zenodo.591637</w:t>
        </w:r>
      </w:hyperlink>
      <w:r>
        <w:t xml:space="preserve">.</w:t>
      </w:r>
    </w:p>
    <w:bookmarkEnd w:id="87"/>
    <w:bookmarkStart w:id="88" w:name="ref-balandat2020botorch"/>
    <w:p>
      <w:pPr>
        <w:pStyle w:val="Bibliography"/>
      </w:pPr>
      <w:r>
        <w:t xml:space="preserve">(25)</w:t>
      </w:r>
      <w:r>
        <w:t xml:space="preserve"> </w:t>
      </w:r>
      <w:r>
        <w:t xml:space="preserve">	</w:t>
      </w:r>
      <w:r>
        <w:t xml:space="preserve">Balandat, M.; Karrer, B.; Jiang, D. R.; Daulton, S.; Letham, B.; Wilson, A. G.; Bakshy, E.</w:t>
      </w:r>
      <w:r>
        <w:t xml:space="preserve"> </w:t>
      </w:r>
      <w:r>
        <w:t xml:space="preserve">BoTorch</w:t>
      </w:r>
      <w:r>
        <w:t xml:space="preserve">: A Framework for Efficient Monte-Carlo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88"/>
    <w:bookmarkStart w:id="90" w:name="ref-deb2002nsga2"/>
    <w:p>
      <w:pPr>
        <w:pStyle w:val="Bibliography"/>
      </w:pPr>
      <w:r>
        <w:t xml:space="preserve">(26)</w:t>
      </w:r>
      <w:r>
        <w:t xml:space="preserve"> </w:t>
      </w:r>
      <w:r>
        <w:t xml:space="preserve">	</w:t>
      </w:r>
      <w:r>
        <w:t xml:space="preserve">Deb, K.; Pratap, A.; Agarwal, S.; Meyarivan, T. A Fast and Elitist Multiobjective Genetic Algorithm:</w:t>
      </w:r>
      <w:r>
        <w:t xml:space="preserve"> </w:t>
      </w:r>
      <w:r>
        <w:t xml:space="preserve">NSGA-II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 </w:t>
      </w:r>
      <w:r>
        <w:t xml:space="preserve">(2), 182–197.</w:t>
      </w:r>
      <w:r>
        <w:t xml:space="preserve"> </w:t>
      </w:r>
      <w:hyperlink r:id="rId89">
        <w:r>
          <w:rPr>
            <w:rStyle w:val="Hyperlink"/>
          </w:rPr>
          <w:t xml:space="preserve">https://doi.org/10.1109/4235.996017</w:t>
        </w:r>
      </w:hyperlink>
      <w:r>
        <w:t xml:space="preserve">.</w:t>
      </w:r>
    </w:p>
    <w:bookmarkEnd w:id="90"/>
    <w:bookmarkStart w:id="92" w:name="ref-blank2020pymoo"/>
    <w:p>
      <w:pPr>
        <w:pStyle w:val="Bibliography"/>
      </w:pPr>
      <w:r>
        <w:t xml:space="preserve">(27)</w:t>
      </w:r>
      <w:r>
        <w:t xml:space="preserve"> </w:t>
      </w:r>
      <w:r>
        <w:t xml:space="preserve">	</w:t>
      </w:r>
      <w:r>
        <w:t xml:space="preserve">Blank, J.; Deb, K. Pymoo: Multi-Objective Optimization in Python.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89497–89509.</w:t>
      </w:r>
      <w:r>
        <w:t xml:space="preserve"> </w:t>
      </w:r>
      <w:hyperlink r:id="rId91">
        <w:r>
          <w:rPr>
            <w:rStyle w:val="Hyperlink"/>
          </w:rPr>
          <w:t xml:space="preserve">https://doi.org/10.1109/ACCESS.2020.2990567</w:t>
        </w:r>
      </w:hyperlink>
      <w:r>
        <w:t xml:space="preserve">.</w:t>
      </w:r>
    </w:p>
    <w:bookmarkEnd w:id="92"/>
    <w:bookmarkStart w:id="94" w:name="ref-truchon2007bedroc"/>
    <w:p>
      <w:pPr>
        <w:pStyle w:val="Bibliography"/>
      </w:pPr>
      <w:r>
        <w:t xml:space="preserve">(28)</w:t>
      </w:r>
      <w:r>
        <w:t xml:space="preserve"> </w:t>
      </w:r>
      <w:r>
        <w:t xml:space="preserve">	</w:t>
      </w:r>
      <w:r>
        <w:t xml:space="preserve">Truchon, J.-F.; Bayly, C. I. Evaluating Virtual Screening Methods: Good and Bad Metrics for the</w:t>
      </w:r>
      <w:r>
        <w:t xml:space="preserve"> </w:t>
      </w:r>
      <w:r>
        <w:t xml:space="preserve">“Early Recognition”</w:t>
      </w:r>
      <w:r>
        <w:t xml:space="preserve"> </w:t>
      </w:r>
      <w:r>
        <w:t xml:space="preserve">Problem.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 </w:t>
      </w:r>
      <w:r>
        <w:t xml:space="preserve">(2), 488–508.</w:t>
      </w:r>
      <w:r>
        <w:t xml:space="preserve"> </w:t>
      </w:r>
      <w:hyperlink r:id="rId93">
        <w:r>
          <w:rPr>
            <w:rStyle w:val="Hyperlink"/>
          </w:rPr>
          <w:t xml:space="preserve">https://doi.org/10.1021/ci600426e</w:t>
        </w:r>
      </w:hyperlink>
      <w:r>
        <w:t xml:space="preserve">.</w:t>
      </w:r>
    </w:p>
    <w:bookmarkEnd w:id="94"/>
    <w:bookmarkStart w:id="96" w:name="ref-bemis1996scaffolds"/>
    <w:p>
      <w:pPr>
        <w:pStyle w:val="Bibliography"/>
      </w:pPr>
      <w:r>
        <w:t xml:space="preserve">(29)</w:t>
      </w:r>
      <w:r>
        <w:t xml:space="preserve"> </w:t>
      </w:r>
      <w:r>
        <w:t xml:space="preserve">	</w:t>
      </w:r>
      <w:r>
        <w:t xml:space="preserve">Bemis, G. W.; Murcko, M. A. The Properties of Known Drugs. 1. Molecular Frameworks.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 </w:t>
      </w:r>
      <w:r>
        <w:t xml:space="preserve">(15), 2887–2893.</w:t>
      </w:r>
      <w:r>
        <w:t xml:space="preserve"> </w:t>
      </w:r>
      <w:hyperlink r:id="rId95">
        <w:r>
          <w:rPr>
            <w:rStyle w:val="Hyperlink"/>
          </w:rPr>
          <w:t xml:space="preserve">https://doi.org/10.1021/jm9602928</w:t>
        </w:r>
      </w:hyperlink>
      <w:r>
        <w:t xml:space="preserve">.</w:t>
      </w:r>
    </w:p>
    <w:bookmarkEnd w:id="96"/>
    <w:bookmarkStart w:id="98" w:name="ref-wu2018moleculenet"/>
    <w:p>
      <w:pPr>
        <w:pStyle w:val="Bibliography"/>
      </w:pPr>
      <w:r>
        <w:t xml:space="preserve">(30)</w:t>
      </w:r>
      <w:r>
        <w:t xml:space="preserve"> </w:t>
      </w:r>
      <w:r>
        <w:t xml:space="preserve">	</w:t>
      </w:r>
      <w:r>
        <w:t xml:space="preserve">Wu, Z.; Ramsundar, B.; Feinberg, E. N.; Gomes, J.; Geniesse, C.; Pappu, A. S.; Leswing, K.; Pande, V. MoleculeNet: A Benchmark for Molecular Machine Learning.</w:t>
      </w:r>
      <w:r>
        <w:t xml:space="preserve"> </w:t>
      </w:r>
      <w:r>
        <w:rPr>
          <w:i/>
          <w:iCs/>
        </w:rPr>
        <w:t xml:space="preserve">Chemical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 </w:t>
      </w:r>
      <w:r>
        <w:t xml:space="preserve">(2), 513–530.</w:t>
      </w:r>
      <w:r>
        <w:t xml:space="preserve"> </w:t>
      </w:r>
      <w:hyperlink r:id="rId97">
        <w:r>
          <w:rPr>
            <w:rStyle w:val="Hyperlink"/>
          </w:rPr>
          <w:t xml:space="preserve">https://doi.org/10.1039/C7SC02664A</w:t>
        </w:r>
      </w:hyperlink>
      <w:r>
        <w:t xml:space="preserve">.</w:t>
      </w:r>
    </w:p>
    <w:bookmarkEnd w:id="98"/>
    <w:bookmarkStart w:id="100" w:name="ref-trannguyen2020litpcba"/>
    <w:p>
      <w:pPr>
        <w:pStyle w:val="Bibliography"/>
      </w:pPr>
      <w:r>
        <w:t xml:space="preserve">(31)</w:t>
      </w:r>
      <w:r>
        <w:t xml:space="preserve"> </w:t>
      </w:r>
      <w:r>
        <w:t xml:space="preserve">	</w:t>
      </w:r>
      <w:r>
        <w:t xml:space="preserve">Tran-Nguyen, V.-K.; Jacquemard, C.; Rognan, D.</w:t>
      </w:r>
      <w:r>
        <w:t xml:space="preserve"> </w:t>
      </w:r>
      <w:r>
        <w:t xml:space="preserve">LIT-PCBA</w:t>
      </w:r>
      <w:r>
        <w:t xml:space="preserve">: An Unbiased Data Set for Machine Learning and Virtual Screening.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(9), 4263–4273.</w:t>
      </w:r>
      <w:r>
        <w:t xml:space="preserve"> </w:t>
      </w:r>
      <w:hyperlink r:id="rId99">
        <w:r>
          <w:rPr>
            <w:rStyle w:val="Hyperlink"/>
          </w:rPr>
          <w:t xml:space="preserve">https://doi.org/10.1021/acs.jcim.0c00155</w:t>
        </w:r>
      </w:hyperlink>
      <w:r>
        <w:t xml:space="preserve">.</w:t>
      </w:r>
    </w:p>
    <w:bookmarkEnd w:id="100"/>
    <w:bookmarkStart w:id="102" w:name="ref-levi2022ence"/>
    <w:p>
      <w:pPr>
        <w:pStyle w:val="Bibliography"/>
      </w:pPr>
      <w:r>
        <w:t xml:space="preserve">(32)</w:t>
      </w:r>
      <w:r>
        <w:t xml:space="preserve"> </w:t>
      </w:r>
      <w:r>
        <w:t xml:space="preserve">	</w:t>
      </w:r>
      <w:r>
        <w:t xml:space="preserve">Levi, D.; Gispan, L.; Giladi, N.; Fetaya, E. Evaluating and Calibrating Uncertainty Prediction in Regression Tasks.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 </w:t>
      </w:r>
      <w:r>
        <w:t xml:space="preserve">(15), 5540.</w:t>
      </w:r>
      <w:r>
        <w:t xml:space="preserve"> </w:t>
      </w:r>
      <w:hyperlink r:id="rId101">
        <w:r>
          <w:rPr>
            <w:rStyle w:val="Hyperlink"/>
          </w:rPr>
          <w:t xml:space="preserve">https://doi.org/10.3390/s22155540</w:t>
        </w:r>
      </w:hyperlink>
      <w:r>
        <w:t xml:space="preserve">.</w:t>
      </w:r>
    </w:p>
    <w:bookmarkEnd w:id="102"/>
    <w:bookmarkStart w:id="103" w:name="ref-kuleshov2018calibrated"/>
    <w:p>
      <w:pPr>
        <w:pStyle w:val="Bibliography"/>
      </w:pPr>
      <w:r>
        <w:t xml:space="preserve">(33)</w:t>
      </w:r>
      <w:r>
        <w:t xml:space="preserve"> </w:t>
      </w:r>
      <w:r>
        <w:t xml:space="preserve">	</w:t>
      </w:r>
      <w:r>
        <w:t xml:space="preserve">Kuleshov, V.; Fenner, N.; Ermon, S. Accurate Uncertainties for Deep Learning Using Calibrated Regression. In</w:t>
      </w:r>
      <w:r>
        <w:t xml:space="preserve"> </w:t>
      </w:r>
      <w:r>
        <w:rPr>
          <w:i/>
          <w:iCs/>
        </w:rPr>
        <w:t xml:space="preserve">International conference on machine learning (ICML), PMLR 80</w:t>
      </w:r>
      <w:r>
        <w:t xml:space="preserve">; 2018; pp 2796–2804.</w:t>
      </w:r>
    </w:p>
    <w:bookmarkEnd w:id="103"/>
    <w:bookmarkStart w:id="105" w:name="ref-hirschfeld2020uq"/>
    <w:p>
      <w:pPr>
        <w:pStyle w:val="Bibliography"/>
      </w:pPr>
      <w:r>
        <w:t xml:space="preserve">(34)</w:t>
      </w:r>
      <w:r>
        <w:t xml:space="preserve"> </w:t>
      </w:r>
      <w:r>
        <w:t xml:space="preserve">	</w:t>
      </w:r>
      <w:r>
        <w:t xml:space="preserve">Hirschfeld, L.; Swanson, K.; Yang, K.; Barzilay, R.; Coley, C. W. Uncertainty Quantification Using Neural Networks for Molecular Property Prediction.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(8), 3770–3780.</w:t>
      </w:r>
      <w:r>
        <w:t xml:space="preserve"> </w:t>
      </w:r>
      <w:hyperlink r:id="rId104">
        <w:r>
          <w:rPr>
            <w:rStyle w:val="Hyperlink"/>
          </w:rPr>
          <w:t xml:space="preserve">https://doi.org/10.1021/acs.jcim.0c00502</w:t>
        </w:r>
      </w:hyperlink>
      <w:r>
        <w:t xml:space="preserve">.</w:t>
      </w:r>
    </w:p>
    <w:bookmarkEnd w:id="105"/>
    <w:bookmarkStart w:id="107" w:name="ref-polykovskiy2020moses"/>
    <w:p>
      <w:pPr>
        <w:pStyle w:val="Bibliography"/>
      </w:pPr>
      <w:r>
        <w:t xml:space="preserve">(35)</w:t>
      </w:r>
      <w:r>
        <w:t xml:space="preserve"> </w:t>
      </w:r>
      <w:r>
        <w:t xml:space="preserve">	</w:t>
      </w:r>
      <w:r>
        <w:t xml:space="preserve">Polykovskiy, D.; Zhebrak, A.; Sanchez-Lengeling, B.; Golovanov, S.; Tatanov, O.; Belyaev, S.; Kurbanov, R.; Artamonov, A.; Aladinskiy, V.; Veselov, M.; Kadurin, A.; Johansson, S.; Chen, H.; Nikolenko, S.; Aspuru-Guzik, A.; Zhavoronkov, A. Molecular Sets (</w:t>
      </w:r>
      <w:r>
        <w:t xml:space="preserve">MOSES</w:t>
      </w:r>
      <w:r>
        <w:t xml:space="preserve">): A Benchmarking Platform for Molecular Generation Models.</w:t>
      </w:r>
      <w:r>
        <w:t xml:space="preserve"> </w:t>
      </w:r>
      <w:r>
        <w:rPr>
          <w:i/>
          <w:iCs/>
        </w:rPr>
        <w:t xml:space="preserve">Frontiers in Pharmacology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565644.</w:t>
      </w:r>
      <w:r>
        <w:t xml:space="preserve"> </w:t>
      </w:r>
      <w:hyperlink r:id="rId106">
        <w:r>
          <w:rPr>
            <w:rStyle w:val="Hyperlink"/>
          </w:rPr>
          <w:t xml:space="preserve">https://doi.org/10.3389/fphar.2020.565644</w:t>
        </w:r>
      </w:hyperlink>
      <w:r>
        <w:t xml:space="preserve">.</w:t>
      </w:r>
    </w:p>
    <w:bookmarkEnd w:id="107"/>
    <w:bookmarkStart w:id="109" w:name="ref-brown2019guacamol"/>
    <w:p>
      <w:pPr>
        <w:pStyle w:val="Bibliography"/>
      </w:pPr>
      <w:r>
        <w:t xml:space="preserve">(36)</w:t>
      </w:r>
      <w:r>
        <w:t xml:space="preserve"> </w:t>
      </w:r>
      <w:r>
        <w:t xml:space="preserve">	</w:t>
      </w:r>
      <w:r>
        <w:t xml:space="preserve">Brown, N.; Fiscato, M.; Segler, M. H. S.; Vaucher, A. C.</w:t>
      </w:r>
      <w:r>
        <w:t xml:space="preserve"> </w:t>
      </w:r>
      <w:r>
        <w:t xml:space="preserve">GuacaMol</w:t>
      </w:r>
      <w:r>
        <w:t xml:space="preserve">: Benchmarking Models for de Novo Molecular Design.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 </w:t>
      </w:r>
      <w:r>
        <w:t xml:space="preserve">(3), 1096–1108.</w:t>
      </w:r>
      <w:r>
        <w:t xml:space="preserve"> </w:t>
      </w:r>
      <w:hyperlink r:id="rId108">
        <w:r>
          <w:rPr>
            <w:rStyle w:val="Hyperlink"/>
          </w:rPr>
          <w:t xml:space="preserve">https://doi.org/10.1021/acs.jcim.8b00839</w:t>
        </w:r>
      </w:hyperlink>
      <w:r>
        <w:t xml:space="preserve">.</w:t>
      </w:r>
    </w:p>
    <w:bookmarkEnd w:id="109"/>
    <w:bookmarkStart w:id="110" w:name="ref-xie2023circles"/>
    <w:p>
      <w:pPr>
        <w:pStyle w:val="Bibliography"/>
      </w:pPr>
      <w:r>
        <w:t xml:space="preserve">(37)</w:t>
      </w:r>
      <w:r>
        <w:t xml:space="preserve"> </w:t>
      </w:r>
      <w:r>
        <w:t xml:space="preserve">	</w:t>
      </w:r>
      <w:r>
        <w:t xml:space="preserve">Xie, Y.; Xu, Z.; Ma, J.; Mei, Q. How Much Space Has Been Explored? Measuring the Chemical Space Covered by Databases and Machine-Generated Molecules.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10"/>
    <w:bookmarkStart w:id="111" w:name="ref-huang2021tdc"/>
    <w:p>
      <w:pPr>
        <w:pStyle w:val="Bibliography"/>
      </w:pPr>
      <w:r>
        <w:t xml:space="preserve">(38)</w:t>
      </w:r>
      <w:r>
        <w:t xml:space="preserve"> </w:t>
      </w:r>
      <w:r>
        <w:t xml:space="preserve">	</w:t>
      </w:r>
      <w:r>
        <w:t xml:space="preserve">Huang, K.; Fu, T.; Gao, W.; Zhao, Y.; Roohani, Y.; Leskovec, J.; Coley, C. W.; Xiao, C.; Sun, J.; Zitnik, M. Therapeutics Data Commons: Machine Learning Datasets and Tasks for Drug Discovery and Development.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2021.</w:t>
      </w:r>
    </w:p>
    <w:bookmarkEnd w:id="111"/>
    <w:bookmarkStart w:id="113" w:name="ref-olivecrona2017reinvent"/>
    <w:p>
      <w:pPr>
        <w:pStyle w:val="Bibliography"/>
      </w:pPr>
      <w:r>
        <w:t xml:space="preserve">(39)</w:t>
      </w:r>
      <w:r>
        <w:t xml:space="preserve"> </w:t>
      </w:r>
      <w:r>
        <w:t xml:space="preserve">	</w:t>
      </w:r>
      <w:r>
        <w:t xml:space="preserve">Olivecrona, M.; Blaschke, T.; Engkvist, O.; Chen, H. 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48.</w:t>
      </w:r>
      <w:r>
        <w:t xml:space="preserve"> </w:t>
      </w:r>
      <w:hyperlink r:id="rId112">
        <w:r>
          <w:rPr>
            <w:rStyle w:val="Hyperlink"/>
          </w:rPr>
          <w:t xml:space="preserve">https://doi.org/10.1186/s13321-017-0235-x</w:t>
        </w:r>
      </w:hyperlink>
      <w:r>
        <w:t xml:space="preserve">.</w:t>
      </w:r>
    </w:p>
    <w:bookmarkEnd w:id="113"/>
    <w:bookmarkStart w:id="115" w:name="ref-rogers2010ecfp"/>
    <w:p>
      <w:pPr>
        <w:pStyle w:val="Bibliography"/>
      </w:pPr>
      <w:r>
        <w:t xml:space="preserve">(40)</w:t>
      </w:r>
      <w:r>
        <w:t xml:space="preserve"> </w:t>
      </w:r>
      <w:r>
        <w:t xml:space="preserve">	</w:t>
      </w:r>
      <w:r>
        <w:t xml:space="preserve">Rogers, D.; Hahn, M. Extended-Connectivity Fingerprints.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 </w:t>
      </w:r>
      <w:r>
        <w:t xml:space="preserve">(5), 742–754.</w:t>
      </w:r>
      <w:r>
        <w:t xml:space="preserve"> </w:t>
      </w:r>
      <w:hyperlink r:id="rId114">
        <w:r>
          <w:rPr>
            <w:rStyle w:val="Hyperlink"/>
          </w:rPr>
          <w:t xml:space="preserve">https://doi.org/10.1021/ci100050t</w:t>
        </w:r>
      </w:hyperlink>
      <w:r>
        <w:t xml:space="preserve">.</w:t>
      </w:r>
    </w:p>
    <w:bookmarkEnd w:id="115"/>
    <w:bookmarkStart w:id="117" w:name="ref-breiman2001rf"/>
    <w:p>
      <w:pPr>
        <w:pStyle w:val="Bibliography"/>
      </w:pPr>
      <w:r>
        <w:t xml:space="preserve">(41)</w:t>
      </w:r>
      <w:r>
        <w:t xml:space="preserve"> </w:t>
      </w:r>
      <w:r>
        <w:t xml:space="preserve">	</w:t>
      </w:r>
      <w:r>
        <w:t xml:space="preserve">Breiman, L.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 </w:t>
      </w:r>
      <w:r>
        <w:t xml:space="preserve">(1), 5–32.</w:t>
      </w:r>
      <w:r>
        <w:t xml:space="preserve"> </w:t>
      </w:r>
      <w:hyperlink r:id="rId116">
        <w:r>
          <w:rPr>
            <w:rStyle w:val="Hyperlink"/>
          </w:rPr>
          <w:t xml:space="preserve">https://doi.org/10.1023/A:1010933404324</w:t>
        </w:r>
      </w:hyperlink>
      <w:r>
        <w:t xml:space="preserve">.</w:t>
      </w:r>
    </w:p>
    <w:bookmarkEnd w:id="117"/>
    <w:bookmarkStart w:id="118" w:name="ref-eriksson2019turbo"/>
    <w:p>
      <w:pPr>
        <w:pStyle w:val="Bibliography"/>
      </w:pPr>
      <w:r>
        <w:t xml:space="preserve">(42)</w:t>
      </w:r>
      <w:r>
        <w:t xml:space="preserve"> </w:t>
      </w:r>
      <w:r>
        <w:t xml:space="preserve">	</w:t>
      </w:r>
      <w:r>
        <w:t xml:space="preserve">Eriksson, D.; Pearce, M.; Gardner, J. R.; Turner, R.; Poloczek, M. Scalable Global Optimization via Local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2019; Vol. 32.</w:t>
      </w:r>
    </w:p>
    <w:bookmarkEnd w:id="118"/>
    <w:bookmarkStart w:id="120" w:name="ref-gomezbombarelli2018vae"/>
    <w:p>
      <w:pPr>
        <w:pStyle w:val="Bibliography"/>
      </w:pPr>
      <w:r>
        <w:t xml:space="preserve">(43)</w:t>
      </w:r>
      <w:r>
        <w:t xml:space="preserve"> </w:t>
      </w:r>
      <w:r>
        <w:t xml:space="preserve">	</w:t>
      </w:r>
      <w:r>
        <w:t xml:space="preserve">Gómez-Bombarelli, R.; Wei, J. N.; Duvenaud, D.; Hernández-Lobato, J. M.; Sánchez-Lengeling, B.; Sheberla, D.; Aguilera-Iparraguirre, J.; Hirzel, T. D.; Adams, R. P.; Aspuru-Guzik, A. Automatic Chemical Design Using a Data-Driven Continuous Representation of Molecules.</w:t>
      </w:r>
      <w:r>
        <w:t xml:space="preserve"> </w:t>
      </w:r>
      <w:r>
        <w:rPr>
          <w:i/>
          <w:iCs/>
        </w:rPr>
        <w:t xml:space="preserve">ACS Central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268–276.</w:t>
      </w:r>
      <w:r>
        <w:t xml:space="preserve"> </w:t>
      </w:r>
      <w:hyperlink r:id="rId119">
        <w:r>
          <w:rPr>
            <w:rStyle w:val="Hyperlink"/>
          </w:rPr>
          <w:t xml:space="preserve">https://doi.org/10.1021/acscentsci.7b00572</w:t>
        </w:r>
      </w:hyperlink>
      <w:r>
        <w:t xml:space="preserve">.</w:t>
      </w:r>
    </w:p>
    <w:bookmarkEnd w:id="120"/>
    <w:bookmarkStart w:id="121" w:name="ref-maus2022lolbo"/>
    <w:p>
      <w:pPr>
        <w:pStyle w:val="Bibliography"/>
      </w:pPr>
      <w:r>
        <w:t xml:space="preserve">(44)</w:t>
      </w:r>
      <w:r>
        <w:t xml:space="preserve"> </w:t>
      </w:r>
      <w:r>
        <w:t xml:space="preserve">	</w:t>
      </w:r>
      <w:r>
        <w:t xml:space="preserve">Maus, N.; Jones, H. T.; Moore, J. S.; Kusner, M. J.; Bradshaw, J.; Gardner, J. R. Local Latent Space Bayesian Optimization over Structured Inputs.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35.</w:t>
      </w:r>
    </w:p>
    <w:bookmarkEnd w:id="121"/>
    <w:bookmarkStart w:id="122" w:name="ref-lee2023cobo"/>
    <w:p>
      <w:pPr>
        <w:pStyle w:val="Bibliography"/>
      </w:pPr>
      <w:r>
        <w:t xml:space="preserve">(45)</w:t>
      </w:r>
      <w:r>
        <w:t xml:space="preserve"> </w:t>
      </w:r>
      <w:r>
        <w:t xml:space="preserve">	</w:t>
      </w:r>
      <w:r>
        <w:t xml:space="preserve">Lee, S.; Chu, J.; Kim, S.; Ko, J.; Kim, H. J. Advancing Bayesian Optimization via Learning Correlated Latent Space.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2"/>
    <w:bookmarkStart w:id="123" w:name="ref-liu2023rectifiedflow"/>
    <w:p>
      <w:pPr>
        <w:pStyle w:val="Bibliography"/>
      </w:pPr>
      <w:r>
        <w:t xml:space="preserve">(46)</w:t>
      </w:r>
      <w:r>
        <w:t xml:space="preserve"> </w:t>
      </w:r>
      <w:r>
        <w:t xml:space="preserve">	</w:t>
      </w:r>
      <w:r>
        <w:t xml:space="preserve">Liu, X.; Gong, C.; Liu, Q. Flow Straight and Fast: Learning to Generate and Transfer Data with Rectified Flow.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23"/>
    <w:bookmarkStart w:id="124" w:name="ref-dhariwal2021guidance"/>
    <w:p>
      <w:pPr>
        <w:pStyle w:val="Bibliography"/>
      </w:pPr>
      <w:r>
        <w:t xml:space="preserve">(47)</w:t>
      </w:r>
      <w:r>
        <w:t xml:space="preserve"> </w:t>
      </w:r>
      <w:r>
        <w:t xml:space="preserve">	</w:t>
      </w:r>
      <w:r>
        <w:t xml:space="preserve">Dhariwal, P.; Nichol, A. Diffusion Models Beat</w:t>
      </w:r>
      <w:r>
        <w:t xml:space="preserve"> </w:t>
      </w:r>
      <w:r>
        <w:t xml:space="preserve">GANs</w:t>
      </w:r>
      <w:r>
        <w:t xml:space="preserve"> </w:t>
      </w:r>
      <w:r>
        <w:t xml:space="preserve">on Image Synthesis.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34, pp 8780–8794.</w:t>
      </w:r>
    </w:p>
    <w:bookmarkEnd w:id="124"/>
    <w:bookmarkStart w:id="125" w:name="ref-gruver2023lambo2"/>
    <w:p>
      <w:pPr>
        <w:pStyle w:val="Bibliography"/>
      </w:pPr>
      <w:r>
        <w:t xml:space="preserve">(48)</w:t>
      </w:r>
      <w:r>
        <w:t xml:space="preserve"> </w:t>
      </w:r>
      <w:r>
        <w:t xml:space="preserve">	</w:t>
      </w:r>
      <w:r>
        <w:t xml:space="preserve">Gruver, N.; Stanton, S.; Frey, N. C.; Rudner, T. G. J.; Hötzel, I.; Lafrance-Vanasse, J.; Rajpal, A.; Cho, K.; Wilson, A. G. Protein Design with Guided Discrete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12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2026-06-30T07:39:37Z</dcterms:created>
  <dcterms:modified xsi:type="dcterms:W3CDTF">2026-06-30T07:39:37Z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figures/acs.csl</vt:lpwstr>
  </property>
</Properties>
</file>