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ind w:hanging="0"/>
        <w:jc w:val="center"/>
        <w:rPr/>
      </w:pPr>
      <w:r>
        <w:rPr>
          <w:rFonts w:eastAsia="SimHei"/>
          <w:b/>
          <w:bCs/>
          <w:sz w:val="36"/>
          <w:szCs w:val="36"/>
        </w:rPr>
        <w:t xml:space="preserve">CS2 </w:t>
      </w:r>
      <w:r>
        <w:rPr>
          <w:rFonts w:ascii="Cambria Math" w:hAnsi="Cambria Math" w:eastAsia="SimHei"/>
          <w:b/>
          <w:bCs/>
          <w:sz w:val="36"/>
          <w:szCs w:val="36"/>
        </w:rPr>
        <w:t>职业比赛胜率预测与赔率生成系统的设计与实现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Cambria Math" w:hAnsi="Cambria Math" w:eastAsia="SimHei"/>
          <w:b/>
          <w:bCs/>
          <w:sz w:val="24"/>
          <w:szCs w:val="24"/>
        </w:rPr>
        <w:t>摘要</w:t>
      </w:r>
    </w:p>
    <w:p>
      <w:pPr>
        <w:pStyle w:val="Normal"/>
        <w:rPr/>
      </w:pPr>
      <w:r>
        <w:rPr/>
        <w:t xml:space="preserve">针对《反恐精英 </w:t>
      </w:r>
      <w:r>
        <w:rPr/>
        <w:t>2</w:t>
      </w:r>
      <w:r>
        <w:rPr/>
        <w:t>》（</w:t>
      </w:r>
      <w:r>
        <w:rPr/>
        <w:t>CS2</w:t>
      </w:r>
      <w:r>
        <w:rPr/>
        <w:t xml:space="preserve">）职业比赛缺乏公开、可校准的胜率预测工具这一问题，本文设计并实现了一套端到端的预测系统。系统以 </w:t>
      </w:r>
      <w:r>
        <w:rPr/>
        <w:t xml:space="preserve">2015—2026 </w:t>
      </w:r>
      <w:r>
        <w:rPr/>
        <w:t xml:space="preserve">年共 </w:t>
      </w:r>
      <w:r>
        <w:rPr/>
        <w:t xml:space="preserve">68,523 </w:t>
      </w:r>
      <w:r>
        <w:rPr/>
        <w:t xml:space="preserve">场职业比赛为基础，构建了融合 </w:t>
      </w:r>
      <w:r>
        <w:rPr/>
        <w:t xml:space="preserve">Elo </w:t>
      </w:r>
      <w:r>
        <w:rPr/>
        <w:t xml:space="preserve">评分、近期状态、交手记录、赛事层级与地图级信息的特征体系，采用逻辑回归给出可校准的胜率，并据此生成公平赔率、含水位报价与凯利下注建议。在严格的时间切分评估下，模型的对数损失由 </w:t>
      </w:r>
      <w:r>
        <w:rPr/>
        <w:t xml:space="preserve">Elo </w:t>
      </w:r>
      <w:r>
        <w:rPr/>
        <w:t xml:space="preserve">基线的 </w:t>
      </w:r>
      <w:r>
        <w:rPr/>
        <w:t xml:space="preserve">0.6290 </w:t>
      </w:r>
      <w:r>
        <w:rPr/>
        <w:t xml:space="preserve">降至 </w:t>
      </w:r>
      <w:r>
        <w:rPr/>
        <w:t>0.6211</w:t>
      </w:r>
      <w:r>
        <w:rPr/>
        <w:t xml:space="preserve">，准确率达到 </w:t>
      </w:r>
      <w:r>
        <w:rPr/>
        <w:t>65.4%</w:t>
      </w:r>
      <w:r>
        <w:rPr/>
        <w:t xml:space="preserve">，期望校准误差保持在 </w:t>
      </w:r>
      <w:r>
        <w:rPr/>
        <w:t xml:space="preserve">2% </w:t>
      </w:r>
      <w:r>
        <w:rPr/>
        <w:t>以内。系统同时包含新闻事件抽取、每日自动更新、命令行工具、</w:t>
      </w:r>
      <w:r>
        <w:rPr/>
        <w:t xml:space="preserve">HTTP </w:t>
      </w:r>
      <w:r>
        <w:rPr/>
        <w:t>接口与可视化界面，可直接用于赛前分析与赔率研究。本文还报告了特征消融结果与若干失败的优化尝试，指出在现有数据条件下模型的提升空间已接近上限，真正的瓶颈在于赔率数据而非模型结构。</w:t>
      </w:r>
    </w:p>
    <w:p>
      <w:pPr>
        <w:pStyle w:val="Normal"/>
        <w:ind w:hanging="0"/>
        <w:rPr/>
      </w:pPr>
      <w:r>
        <w:rPr>
          <w:b/>
          <w:bCs/>
        </w:rPr>
        <w:t>关键词：</w:t>
      </w:r>
      <w:r>
        <w:rPr/>
        <w:t>电子竞技；胜率预测；</w:t>
      </w:r>
      <w:r>
        <w:rPr/>
        <w:t xml:space="preserve">Elo </w:t>
      </w:r>
      <w:r>
        <w:rPr/>
        <w:t>评分；逻辑回归；赔率；凯利公式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Cambria Math" w:hAnsi="Cambria Math" w:eastAsia="SimHei"/>
          <w:b/>
          <w:sz w:val="32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r>
            <w:fldChar w:fldCharType="begin"/>
          </w:r>
          <w:r>
            <w:rPr>
              <w:rStyle w:val="Style10"/>
              <w:i w:val="false"/>
              <w:iCs w:val="false"/>
            </w:rPr>
            <w:instrText xml:space="preserve"> TOC \o "1-3" \h</w:instrText>
          </w:r>
          <w:r>
            <w:rPr>
              <w:rStyle w:val="Style10"/>
              <w:i w:val="false"/>
              <w:iCs w:val="false"/>
            </w:rPr>
            <w:fldChar w:fldCharType="separate"/>
          </w:r>
          <w:hyperlink w:anchor="__RefHeading___Toc6112_2302016644" w:tooltip="一、引言">
            <w:r>
              <w:rPr>
                <w:rStyle w:val="Style10"/>
                <w:i w:val="false"/>
                <w:iCs w:val="false"/>
              </w:rPr>
              <w:t>一、引言</w:t>
            </w:r>
            <w:r>
              <w:rPr>
                <w:rStyle w:val="Style10"/>
              </w:rPr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14_2302016644" w:tooltip="1.1 研究背景">
            <w:r>
              <w:rPr>
                <w:rStyle w:val="Style10"/>
                <w:i w:val="false"/>
                <w:iCs w:val="false"/>
              </w:rPr>
              <w:t xml:space="preserve">1.1 </w:t>
            </w:r>
            <w:r>
              <w:rPr>
                <w:rStyle w:val="Style10"/>
                <w:i w:val="false"/>
                <w:iCs w:val="false"/>
              </w:rPr>
              <w:t>研究背景</w:t>
            </w:r>
            <w:r>
              <w:rPr>
                <w:rStyle w:val="Style10"/>
              </w:rPr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16_2302016644" w:tooltip="1.2 研究内容与贡献">
            <w:r>
              <w:rPr>
                <w:rStyle w:val="Style10"/>
                <w:i w:val="false"/>
                <w:iCs w:val="false"/>
              </w:rPr>
              <w:t xml:space="preserve">1.2 </w:t>
            </w:r>
            <w:r>
              <w:rPr>
                <w:rStyle w:val="Style10"/>
                <w:i w:val="false"/>
                <w:iCs w:val="false"/>
              </w:rPr>
              <w:t>研究内容与贡献</w:t>
            </w:r>
            <w:r>
              <w:rPr>
                <w:rStyle w:val="Style10"/>
              </w:rPr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18_2302016644" w:tooltip="二、相关工作">
            <w:r>
              <w:rPr>
                <w:rStyle w:val="Style10"/>
                <w:i w:val="false"/>
                <w:iCs w:val="false"/>
              </w:rPr>
              <w:t>二、相关工作</w:t>
            </w:r>
            <w:r>
              <w:rPr>
                <w:rStyle w:val="Style10"/>
              </w:rPr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20_2302016644" w:tooltip="2.1 评分模型">
            <w:r>
              <w:rPr>
                <w:rStyle w:val="Style10"/>
                <w:i w:val="false"/>
                <w:iCs w:val="false"/>
              </w:rPr>
              <w:t xml:space="preserve">2.1 </w:t>
            </w:r>
            <w:r>
              <w:rPr>
                <w:rStyle w:val="Style10"/>
                <w:i w:val="false"/>
                <w:iCs w:val="false"/>
              </w:rPr>
              <w:t>评分模型</w:t>
            </w:r>
            <w:r>
              <w:rPr>
                <w:rStyle w:val="Style10"/>
              </w:rPr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22_2302016644" w:tooltip="2.2 特征工程与机器学习">
            <w:r>
              <w:rPr>
                <w:rStyle w:val="Style10"/>
                <w:i w:val="false"/>
                <w:iCs w:val="false"/>
              </w:rPr>
              <w:t xml:space="preserve">2.2 </w:t>
            </w:r>
            <w:r>
              <w:rPr>
                <w:rStyle w:val="Style10"/>
                <w:i w:val="false"/>
                <w:iCs w:val="false"/>
              </w:rPr>
              <w:t>特征工程与机器学习</w:t>
            </w:r>
            <w:r>
              <w:rPr>
                <w:rStyle w:val="Style10"/>
              </w:rPr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24_2302016644" w:tooltip="2.3 赔率与资金管理">
            <w:r>
              <w:rPr>
                <w:rStyle w:val="Style10"/>
                <w:i w:val="false"/>
                <w:iCs w:val="false"/>
              </w:rPr>
              <w:t xml:space="preserve">2.3 </w:t>
            </w:r>
            <w:r>
              <w:rPr>
                <w:rStyle w:val="Style10"/>
                <w:i w:val="false"/>
                <w:iCs w:val="false"/>
              </w:rPr>
              <w:t>赔率与资金管理</w:t>
            </w:r>
            <w:r>
              <w:rPr>
                <w:rStyle w:val="Style10"/>
              </w:rPr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26_2302016644" w:tooltip="三、数据">
            <w:r>
              <w:rPr>
                <w:rStyle w:val="Style10"/>
                <w:i w:val="false"/>
                <w:iCs w:val="false"/>
              </w:rPr>
              <w:t>三、数据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28_2302016644" w:tooltip="3.1 数据来源">
            <w:r>
              <w:rPr>
                <w:rStyle w:val="Style10"/>
                <w:i w:val="false"/>
                <w:iCs w:val="false"/>
              </w:rPr>
              <w:t xml:space="preserve">3.1 </w:t>
            </w:r>
            <w:r>
              <w:rPr>
                <w:rStyle w:val="Style10"/>
                <w:i w:val="false"/>
                <w:iCs w:val="false"/>
              </w:rPr>
              <w:t>数据来源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30_2302016644" w:tooltip="3.2 数据清洗">
            <w:r>
              <w:rPr>
                <w:rStyle w:val="Style10"/>
                <w:i w:val="false"/>
                <w:iCs w:val="false"/>
              </w:rPr>
              <w:t xml:space="preserve">3.2 </w:t>
            </w:r>
            <w:r>
              <w:rPr>
                <w:rStyle w:val="Style10"/>
                <w:i w:val="false"/>
                <w:iCs w:val="false"/>
              </w:rPr>
              <w:t>数据清洗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32_2302016644" w:tooltip="3.3 防泄漏设计">
            <w:r>
              <w:rPr>
                <w:rStyle w:val="Style10"/>
                <w:i w:val="false"/>
                <w:iCs w:val="false"/>
              </w:rPr>
              <w:t xml:space="preserve">3.3 </w:t>
            </w:r>
            <w:r>
              <w:rPr>
                <w:rStyle w:val="Style10"/>
                <w:i w:val="false"/>
                <w:iCs w:val="false"/>
              </w:rPr>
              <w:t>防泄漏设计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34_2302016644" w:tooltip="四、方法">
            <w:r>
              <w:rPr>
                <w:rStyle w:val="Style10"/>
                <w:i w:val="false"/>
                <w:iCs w:val="false"/>
              </w:rPr>
              <w:t>四、方法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36_2302016644" w:tooltip="4.1 问题形式化">
            <w:r>
              <w:rPr>
                <w:rStyle w:val="Style10"/>
                <w:i w:val="false"/>
                <w:iCs w:val="false"/>
              </w:rPr>
              <w:t xml:space="preserve">4.1 </w:t>
            </w:r>
            <w:r>
              <w:rPr>
                <w:rStyle w:val="Style10"/>
                <w:i w:val="false"/>
                <w:iCs w:val="false"/>
              </w:rPr>
              <w:t>问题形式化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38_2302016644" w:tooltip="4.2 Elo 评分模型">
            <w:r>
              <w:rPr>
                <w:rStyle w:val="Style10"/>
                <w:i w:val="false"/>
                <w:iCs w:val="false"/>
              </w:rPr>
              <w:t xml:space="preserve">4.2 Elo </w:t>
            </w:r>
            <w:r>
              <w:rPr>
                <w:rStyle w:val="Style10"/>
                <w:i w:val="false"/>
                <w:iCs w:val="false"/>
              </w:rPr>
              <w:t>评分模型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40_2302016644" w:tooltip="4.3 特征体系">
            <w:r>
              <w:rPr>
                <w:rStyle w:val="Style10"/>
                <w:i w:val="false"/>
                <w:iCs w:val="false"/>
              </w:rPr>
              <w:t xml:space="preserve">4.3 </w:t>
            </w:r>
            <w:r>
              <w:rPr>
                <w:rStyle w:val="Style10"/>
                <w:i w:val="false"/>
                <w:iCs w:val="false"/>
              </w:rPr>
              <w:t>特征体系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42_2302016644" w:tooltip="4.4 逻辑回归与校准">
            <w:r>
              <w:rPr>
                <w:rStyle w:val="Style10"/>
                <w:i w:val="false"/>
                <w:iCs w:val="false"/>
              </w:rPr>
              <w:t xml:space="preserve">4.4 </w:t>
            </w:r>
            <w:r>
              <w:rPr>
                <w:rStyle w:val="Style10"/>
                <w:i w:val="false"/>
                <w:iCs w:val="false"/>
              </w:rPr>
              <w:t>逻辑回归与校准</w:t>
            </w:r>
            <w:r>
              <w:rPr>
                <w:rStyle w:val="Style10"/>
              </w:rPr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44_2302016644" w:tooltip="4.5 地图级 Elo 与 veto 模拟">
            <w:r>
              <w:rPr>
                <w:rStyle w:val="Style10"/>
                <w:i w:val="false"/>
                <w:iCs w:val="false"/>
              </w:rPr>
              <w:t xml:space="preserve">4.5 </w:t>
            </w:r>
            <w:r>
              <w:rPr>
                <w:rStyle w:val="Style10"/>
                <w:i w:val="false"/>
                <w:iCs w:val="false"/>
              </w:rPr>
              <w:t xml:space="preserve">地图级 </w:t>
            </w:r>
            <w:r>
              <w:rPr>
                <w:rStyle w:val="Style10"/>
                <w:i w:val="false"/>
                <w:iCs w:val="false"/>
              </w:rPr>
              <w:t xml:space="preserve">Elo </w:t>
            </w:r>
            <w:r>
              <w:rPr>
                <w:rStyle w:val="Style10"/>
                <w:i w:val="false"/>
                <w:iCs w:val="false"/>
              </w:rPr>
              <w:t xml:space="preserve">与 </w:t>
            </w:r>
            <w:r>
              <w:rPr>
                <w:rStyle w:val="Style10"/>
                <w:i w:val="false"/>
                <w:iCs w:val="false"/>
              </w:rPr>
              <w:t xml:space="preserve">veto </w:t>
            </w:r>
            <w:r>
              <w:rPr>
                <w:rStyle w:val="Style10"/>
                <w:i w:val="false"/>
                <w:iCs w:val="false"/>
              </w:rPr>
              <w:t>模拟</w:t>
            </w:r>
            <w:r>
              <w:rPr>
                <w:rStyle w:val="Style10"/>
              </w:rPr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46_2302016644" w:tooltip="4.6 新闻事件抽取">
            <w:r>
              <w:rPr>
                <w:rStyle w:val="Style10"/>
                <w:i w:val="false"/>
                <w:iCs w:val="false"/>
              </w:rPr>
              <w:t xml:space="preserve">4.6 </w:t>
            </w:r>
            <w:r>
              <w:rPr>
                <w:rStyle w:val="Style10"/>
                <w:i w:val="false"/>
                <w:iCs w:val="false"/>
              </w:rPr>
              <w:t>新闻事件抽取</w:t>
            </w:r>
            <w:r>
              <w:rPr>
                <w:rStyle w:val="Style10"/>
              </w:rPr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48_2302016644" w:tooltip="4.7 赔率生成与凯利公式">
            <w:r>
              <w:rPr>
                <w:rStyle w:val="Style10"/>
                <w:i w:val="false"/>
                <w:iCs w:val="false"/>
              </w:rPr>
              <w:t xml:space="preserve">4.7 </w:t>
            </w:r>
            <w:r>
              <w:rPr>
                <w:rStyle w:val="Style10"/>
                <w:i w:val="false"/>
                <w:iCs w:val="false"/>
              </w:rPr>
              <w:t>赔率生成与凯利公式</w:t>
            </w:r>
            <w:r>
              <w:rPr>
                <w:rStyle w:val="Style10"/>
              </w:rPr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50_2302016644" w:tooltip="五、实验">
            <w:r>
              <w:rPr>
                <w:rStyle w:val="Style10"/>
                <w:i w:val="false"/>
                <w:iCs w:val="false"/>
              </w:rPr>
              <w:t>五、实验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52_2302016644" w:tooltip="5.1 评估协议">
            <w:r>
              <w:rPr>
                <w:rStyle w:val="Style10"/>
                <w:i w:val="false"/>
                <w:iCs w:val="false"/>
              </w:rPr>
              <w:t xml:space="preserve">5.1 </w:t>
            </w:r>
            <w:r>
              <w:rPr>
                <w:rStyle w:val="Style10"/>
                <w:i w:val="false"/>
                <w:iCs w:val="false"/>
              </w:rPr>
              <w:t>评估协议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54_2302016644" w:tooltip="5.2 主结果">
            <w:r>
              <w:rPr>
                <w:rStyle w:val="Style10"/>
                <w:i w:val="false"/>
                <w:iCs w:val="false"/>
              </w:rPr>
              <w:t xml:space="preserve">5.2 </w:t>
            </w:r>
            <w:r>
              <w:rPr>
                <w:rStyle w:val="Style10"/>
                <w:i w:val="false"/>
                <w:iCs w:val="false"/>
              </w:rPr>
              <w:t>主结果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56_2302016644" w:tooltip="5.3 消融实验">
            <w:r>
              <w:rPr>
                <w:rStyle w:val="Style10"/>
                <w:i w:val="false"/>
                <w:iCs w:val="false"/>
              </w:rPr>
              <w:t xml:space="preserve">5.3 </w:t>
            </w:r>
            <w:r>
              <w:rPr>
                <w:rStyle w:val="Style10"/>
                <w:i w:val="false"/>
                <w:iCs w:val="false"/>
              </w:rPr>
              <w:t>消融实验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58_2302016644" w:tooltip="5.4 结果分析">
            <w:r>
              <w:rPr>
                <w:rStyle w:val="Style10"/>
                <w:i w:val="false"/>
                <w:iCs w:val="false"/>
              </w:rPr>
              <w:t xml:space="preserve">5.4 </w:t>
            </w:r>
            <w:r>
              <w:rPr>
                <w:rStyle w:val="Style10"/>
                <w:i w:val="false"/>
                <w:iCs w:val="false"/>
              </w:rPr>
              <w:t>结果分析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60_2302016644" w:tooltip="六、系统实现">
            <w:r>
              <w:rPr>
                <w:rStyle w:val="Style10"/>
                <w:i w:val="false"/>
                <w:iCs w:val="false"/>
              </w:rPr>
              <w:t>六、系统实现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62_2302016644" w:tooltip="6.1 总体架构">
            <w:r>
              <w:rPr>
                <w:rStyle w:val="Style10"/>
                <w:i w:val="false"/>
                <w:iCs w:val="false"/>
              </w:rPr>
              <w:t xml:space="preserve">6.1 </w:t>
            </w:r>
            <w:r>
              <w:rPr>
                <w:rStyle w:val="Style10"/>
                <w:i w:val="false"/>
                <w:iCs w:val="false"/>
              </w:rPr>
              <w:t>总体架构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64_2302016644" w:tooltip="6.2 命令行与接口">
            <w:r>
              <w:rPr>
                <w:rStyle w:val="Style10"/>
                <w:i w:val="false"/>
                <w:iCs w:val="false"/>
              </w:rPr>
              <w:t xml:space="preserve">6.2 </w:t>
            </w:r>
            <w:r>
              <w:rPr>
                <w:rStyle w:val="Style10"/>
                <w:i w:val="false"/>
                <w:iCs w:val="false"/>
              </w:rPr>
              <w:t>命令行与接口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66_2302016644" w:tooltip="6.3 可视化界面">
            <w:r>
              <w:rPr>
                <w:rStyle w:val="Style10"/>
                <w:i w:val="false"/>
                <w:iCs w:val="false"/>
              </w:rPr>
              <w:t xml:space="preserve">6.3 </w:t>
            </w:r>
            <w:r>
              <w:rPr>
                <w:rStyle w:val="Style10"/>
                <w:i w:val="false"/>
                <w:iCs w:val="false"/>
              </w:rPr>
              <w:t>可视化界面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68_2302016644" w:tooltip="6.4 每日更新">
            <w:r>
              <w:rPr>
                <w:rStyle w:val="Style10"/>
                <w:i w:val="false"/>
                <w:iCs w:val="false"/>
              </w:rPr>
              <w:t xml:space="preserve">6.4 </w:t>
            </w:r>
            <w:r>
              <w:rPr>
                <w:rStyle w:val="Style10"/>
                <w:i w:val="false"/>
                <w:iCs w:val="false"/>
              </w:rPr>
              <w:t>每日更新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70_2302016644" w:tooltip="七、局限与展望">
            <w:r>
              <w:rPr>
                <w:rStyle w:val="Style10"/>
                <w:i w:val="false"/>
                <w:iCs w:val="false"/>
              </w:rPr>
              <w:t>七、局限与展望</w:t>
            </w:r>
            <w:r>
              <w:rPr>
                <w:rStyle w:val="Style10"/>
              </w:rPr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72_2302016644" w:tooltip="7.1 数据局限">
            <w:r>
              <w:rPr>
                <w:rStyle w:val="Style10"/>
                <w:i w:val="false"/>
                <w:iCs w:val="false"/>
              </w:rPr>
              <w:t xml:space="preserve">7.1 </w:t>
            </w:r>
            <w:r>
              <w:rPr>
                <w:rStyle w:val="Style10"/>
                <w:i w:val="false"/>
                <w:iCs w:val="false"/>
              </w:rPr>
              <w:t>数据局限</w:t>
            </w:r>
            <w:r>
              <w:rPr>
                <w:rStyle w:val="Style10"/>
              </w:rPr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74_2302016644" w:tooltip="7.2 模型局限">
            <w:r>
              <w:rPr>
                <w:rStyle w:val="Style10"/>
                <w:i w:val="false"/>
                <w:iCs w:val="false"/>
              </w:rPr>
              <w:t xml:space="preserve">7.2 </w:t>
            </w:r>
            <w:r>
              <w:rPr>
                <w:rStyle w:val="Style10"/>
                <w:i w:val="false"/>
                <w:iCs w:val="false"/>
              </w:rPr>
              <w:t>模型局限</w:t>
            </w:r>
            <w:r>
              <w:rPr>
                <w:rStyle w:val="Style10"/>
              </w:rPr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6176_2302016644" w:tooltip="7.3 未来工作">
            <w:r>
              <w:rPr>
                <w:rStyle w:val="Style10"/>
                <w:i w:val="false"/>
                <w:iCs w:val="false"/>
              </w:rPr>
              <w:t xml:space="preserve">7.3 </w:t>
            </w:r>
            <w:r>
              <w:rPr>
                <w:rStyle w:val="Style10"/>
                <w:i w:val="false"/>
                <w:iCs w:val="false"/>
              </w:rPr>
              <w:t>未来工作</w:t>
            </w:r>
            <w:r>
              <w:rPr>
                <w:rStyle w:val="Style10"/>
              </w:rPr>
              <w:tab/>
              <w:t>11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78_2302016644" w:tooltip="八、结论">
            <w:r>
              <w:rPr>
                <w:rStyle w:val="Style10"/>
                <w:i w:val="false"/>
                <w:iCs w:val="false"/>
              </w:rPr>
              <w:t>八、结论</w:t>
            </w:r>
            <w:r>
              <w:rPr>
                <w:rStyle w:val="Style10"/>
              </w:rPr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6180_2302016644" w:tooltip="参考文献">
            <w:r>
              <w:rPr>
                <w:rStyle w:val="Style10"/>
                <w:i w:val="false"/>
                <w:iCs w:val="false"/>
              </w:rPr>
              <w:t>参考文献</w:t>
            </w:r>
            <w:r>
              <w:rPr>
                <w:rStyle w:val="Style10"/>
              </w:rPr>
              <w:tab/>
              <w:t>13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0" w:name="__RefHeading___Toc6112_2302016644"/>
      <w:bookmarkStart w:id="1" w:name="_Toc1"/>
      <w:bookmarkEnd w:id="0"/>
      <w:r>
        <w:rPr>
          <w:rFonts w:ascii="Cambria Math" w:hAnsi="Cambria Math"/>
          <w:b/>
          <w:bCs/>
          <w:i w:val="false"/>
          <w:iCs w:val="false"/>
        </w:rPr>
        <w:t>一、引言</w:t>
      </w:r>
      <w:bookmarkEnd w:id="1"/>
    </w:p>
    <w:p>
      <w:pPr>
        <w:pStyle w:val="Heading2"/>
        <w:ind w:hanging="0"/>
        <w:rPr/>
      </w:pPr>
      <w:bookmarkStart w:id="2" w:name="__RefHeading___Toc6114_2302016644"/>
      <w:bookmarkStart w:id="3" w:name="_Toc2"/>
      <w:bookmarkEnd w:id="2"/>
      <w:r>
        <w:rPr>
          <w:rFonts w:eastAsia="SimHei"/>
          <w:b/>
          <w:bCs/>
          <w:i w:val="false"/>
          <w:iCs w:val="false"/>
        </w:rPr>
        <w:t xml:space="preserve">1.1 </w:t>
      </w:r>
      <w:r>
        <w:rPr>
          <w:rFonts w:ascii="Cambria Math" w:hAnsi="Cambria Math"/>
          <w:b/>
          <w:bCs/>
          <w:i w:val="false"/>
          <w:iCs w:val="false"/>
        </w:rPr>
        <w:t>研究背景</w:t>
      </w:r>
      <w:bookmarkEnd w:id="3"/>
    </w:p>
    <w:p>
      <w:pPr>
        <w:pStyle w:val="Normal"/>
        <w:rPr/>
      </w:pPr>
      <w:r>
        <w:rPr/>
        <w:t>电子竞技赛事的商业化程度在过去十年显著提高，围绕比赛结果的预测与投注需求随之增长。与足球、篮球等传统项目相比，</w:t>
      </w:r>
      <w:r>
        <w:rPr/>
        <w:t xml:space="preserve">CS2 </w:t>
      </w:r>
      <w:r>
        <w:rPr/>
        <w:t>的公开数据呈现出「赛果易得、过程数据难得」的特点：比赛结果可以从多个公开渠道批量获取，而地图比分、阵容变动、选手状态等细粒度信息则分散在不同站点，且往往带有反爬限制。</w:t>
      </w:r>
    </w:p>
    <w:p>
      <w:pPr>
        <w:pStyle w:val="Normal"/>
        <w:rPr/>
      </w:pPr>
      <w:r>
        <w:rPr/>
        <w:t>这一数据格局决定了预测系统的设计必须回答三个问题：第一，如何在有限特征下得到校准良好的概率；第二，如何避免使用未来信息；第三，如何把概率转化为可解释的赔率与下注建议。</w:t>
      </w:r>
    </w:p>
    <w:p>
      <w:pPr>
        <w:pStyle w:val="Heading2"/>
        <w:ind w:hanging="0"/>
        <w:rPr/>
      </w:pPr>
      <w:bookmarkStart w:id="4" w:name="__RefHeading___Toc6116_2302016644"/>
      <w:bookmarkStart w:id="5" w:name="_Toc3"/>
      <w:bookmarkEnd w:id="4"/>
      <w:r>
        <w:rPr>
          <w:rFonts w:eastAsia="SimHei"/>
          <w:b/>
          <w:bCs/>
          <w:i w:val="false"/>
          <w:iCs w:val="false"/>
        </w:rPr>
        <w:t xml:space="preserve">1.2 </w:t>
      </w:r>
      <w:r>
        <w:rPr>
          <w:rFonts w:ascii="Cambria Math" w:hAnsi="Cambria Math"/>
          <w:b/>
          <w:bCs/>
          <w:i w:val="false"/>
          <w:iCs w:val="false"/>
        </w:rPr>
        <w:t>研究内容与贡献</w:t>
      </w:r>
      <w:bookmarkEnd w:id="5"/>
    </w:p>
    <w:p>
      <w:pPr>
        <w:pStyle w:val="Normal"/>
        <w:rPr/>
      </w:pPr>
      <w:r>
        <w:rPr/>
        <w:t>本文的主要工作包括：</w:t>
      </w:r>
    </w:p>
    <w:p>
      <w:pPr>
        <w:pStyle w:val="Normal"/>
        <w:rPr/>
      </w:pPr>
      <w:r>
        <w:rPr/>
        <w:t>（</w:t>
      </w:r>
      <w:r>
        <w:rPr/>
        <w:t>1</w:t>
      </w:r>
      <w:r>
        <w:rPr/>
        <w:t xml:space="preserve">）构建了覆盖 </w:t>
      </w:r>
      <w:r>
        <w:rPr/>
        <w:t xml:space="preserve">2015—2026 </w:t>
      </w:r>
      <w:r>
        <w:rPr/>
        <w:t xml:space="preserve">年的职业比赛数据集，包含 </w:t>
      </w:r>
      <w:r>
        <w:rPr/>
        <w:t xml:space="preserve">68,523 </w:t>
      </w:r>
      <w:r>
        <w:rPr/>
        <w:t>场有效比赛、</w:t>
      </w:r>
      <w:r>
        <w:rPr/>
        <w:t xml:space="preserve">56,730 </w:t>
      </w:r>
      <w:r>
        <w:rPr/>
        <w:t xml:space="preserve">张地图与 </w:t>
      </w:r>
      <w:r>
        <w:rPr/>
        <w:t xml:space="preserve">1,097 </w:t>
      </w:r>
      <w:r>
        <w:rPr/>
        <w:t>篇新闻文章，并给出了跨源去重与队名归一的方法；</w:t>
      </w:r>
    </w:p>
    <w:p>
      <w:pPr>
        <w:pStyle w:val="Normal"/>
        <w:rPr/>
      </w:pPr>
      <w:r>
        <w:rPr/>
        <w:t>（</w:t>
      </w:r>
      <w:r>
        <w:rPr/>
        <w:t>2</w:t>
      </w:r>
      <w:r>
        <w:rPr/>
        <w:t xml:space="preserve">）设计了融合 </w:t>
      </w:r>
      <w:r>
        <w:rPr/>
        <w:t xml:space="preserve">Elo </w:t>
      </w:r>
      <w:r>
        <w:rPr/>
        <w:t xml:space="preserve">评分、对手校正状态、交手记录、赛事层级与地图级 </w:t>
      </w:r>
      <w:r>
        <w:rPr/>
        <w:t xml:space="preserve">Elo </w:t>
      </w:r>
      <w:r>
        <w:rPr/>
        <w:t>的特征体系，并采用走步式时间切分评估；</w:t>
      </w:r>
    </w:p>
    <w:p>
      <w:pPr>
        <w:pStyle w:val="Normal"/>
        <w:rPr/>
      </w:pPr>
      <w:r>
        <w:rPr/>
        <w:t>（</w:t>
      </w:r>
      <w:r>
        <w:rPr/>
        <w:t>3</w:t>
      </w:r>
      <w:r>
        <w:rPr/>
        <w:t xml:space="preserve">）实现了地图级 </w:t>
      </w:r>
      <w:r>
        <w:rPr/>
        <w:t xml:space="preserve">Elo </w:t>
      </w:r>
      <w:r>
        <w:rPr/>
        <w:t xml:space="preserve">与 </w:t>
      </w:r>
      <w:r>
        <w:rPr/>
        <w:t xml:space="preserve">veto </w:t>
      </w:r>
      <w:r>
        <w:rPr/>
        <w:t xml:space="preserve">模拟，将单图胜率组合为系列赛胜率，使对数损失进一步下降 </w:t>
      </w:r>
      <w:r>
        <w:rPr/>
        <w:t>0.0009</w:t>
      </w:r>
      <w:r>
        <w:rPr/>
        <w:t>；</w:t>
      </w:r>
    </w:p>
    <w:p>
      <w:pPr>
        <w:pStyle w:val="Normal"/>
        <w:rPr/>
      </w:pPr>
      <w:r>
        <w:rPr/>
        <w:t>（</w:t>
      </w:r>
      <w:r>
        <w:rPr/>
        <w:t>4</w:t>
      </w:r>
      <w:r>
        <w:rPr/>
        <w:t>）实现了新闻事件的自动抽取与半衰期衰减特征，以及基于凯利公式的下注建议；</w:t>
      </w:r>
    </w:p>
    <w:p>
      <w:pPr>
        <w:pStyle w:val="Normal"/>
        <w:rPr/>
      </w:pPr>
      <w:r>
        <w:rPr/>
        <w:t>（</w:t>
      </w:r>
      <w:r>
        <w:rPr/>
        <w:t>5</w:t>
      </w:r>
      <w:r>
        <w:rPr/>
        <w:t>）完成了命令行、</w:t>
      </w:r>
      <w:r>
        <w:rPr/>
        <w:t xml:space="preserve">HTTP </w:t>
      </w:r>
      <w:r>
        <w:rPr/>
        <w:t>接口、可视化界面与每日更新任务，形成可运行的系统。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6" w:name="__RefHeading___Toc6118_2302016644"/>
      <w:bookmarkStart w:id="7" w:name="_Toc4"/>
      <w:bookmarkEnd w:id="6"/>
      <w:r>
        <w:rPr>
          <w:rFonts w:ascii="Cambria Math" w:hAnsi="Cambria Math"/>
          <w:b/>
          <w:bCs/>
          <w:i w:val="false"/>
          <w:iCs w:val="false"/>
        </w:rPr>
        <w:t>二、相关工作</w:t>
      </w:r>
      <w:bookmarkEnd w:id="7"/>
    </w:p>
    <w:p>
      <w:pPr>
        <w:pStyle w:val="Heading2"/>
        <w:ind w:hanging="0"/>
        <w:rPr/>
      </w:pPr>
      <w:bookmarkStart w:id="8" w:name="__RefHeading___Toc6120_2302016644"/>
      <w:bookmarkStart w:id="9" w:name="_Toc5"/>
      <w:bookmarkEnd w:id="8"/>
      <w:r>
        <w:rPr>
          <w:rFonts w:eastAsia="SimHei"/>
          <w:b/>
          <w:bCs/>
          <w:i w:val="false"/>
          <w:iCs w:val="false"/>
        </w:rPr>
        <w:t xml:space="preserve">2.1 </w:t>
      </w:r>
      <w:r>
        <w:rPr>
          <w:rFonts w:ascii="Cambria Math" w:hAnsi="Cambria Math"/>
          <w:b/>
          <w:bCs/>
          <w:i w:val="false"/>
          <w:iCs w:val="false"/>
        </w:rPr>
        <w:t>评分模型</w:t>
      </w:r>
      <w:bookmarkEnd w:id="9"/>
    </w:p>
    <w:p>
      <w:pPr>
        <w:pStyle w:val="Normal"/>
        <w:rPr/>
      </w:pPr>
      <w:r>
        <w:rPr/>
        <w:t xml:space="preserve">Elo </w:t>
      </w:r>
      <w:r>
        <w:rPr/>
        <w:t xml:space="preserve">评分由 </w:t>
      </w:r>
      <w:r>
        <w:rPr/>
        <w:t xml:space="preserve">Elo </w:t>
      </w:r>
      <w:r>
        <w:rPr/>
        <w:t>提出并广泛用于棋类与国际象棋比赛，其核心是用期望胜率与结果之差更新评分。</w:t>
      </w:r>
      <w:r>
        <w:rPr/>
        <w:t xml:space="preserve">Glickman </w:t>
      </w:r>
      <w:r>
        <w:rPr/>
        <w:t xml:space="preserve">提出的 </w:t>
      </w:r>
      <w:r>
        <w:rPr/>
        <w:t xml:space="preserve">Glicko </w:t>
      </w:r>
      <w:r>
        <w:rPr/>
        <w:t>体系进一步引入评分偏差，用以表达「样本不足时的不确定性」。在团队项目中，由于阵容变动与版本更迭，评分需要引入时间衰减，常见做法是向均值回归或按半衰期加权。</w:t>
      </w:r>
    </w:p>
    <w:p>
      <w:pPr>
        <w:pStyle w:val="Heading2"/>
        <w:ind w:hanging="0"/>
        <w:rPr/>
      </w:pPr>
      <w:bookmarkStart w:id="10" w:name="__RefHeading___Toc6122_2302016644"/>
      <w:bookmarkStart w:id="11" w:name="_Toc6"/>
      <w:bookmarkEnd w:id="10"/>
      <w:r>
        <w:rPr>
          <w:rFonts w:eastAsia="SimHei"/>
          <w:b/>
          <w:bCs/>
          <w:i w:val="false"/>
          <w:iCs w:val="false"/>
        </w:rPr>
        <w:t xml:space="preserve">2.2 </w:t>
      </w:r>
      <w:r>
        <w:rPr>
          <w:rFonts w:ascii="Cambria Math" w:hAnsi="Cambria Math"/>
          <w:b/>
          <w:bCs/>
          <w:i w:val="false"/>
          <w:iCs w:val="false"/>
        </w:rPr>
        <w:t>特征工程与机器学习</w:t>
      </w:r>
      <w:bookmarkEnd w:id="11"/>
    </w:p>
    <w:p>
      <w:pPr>
        <w:pStyle w:val="Normal"/>
        <w:rPr/>
      </w:pPr>
      <w:r>
        <w:rPr/>
        <w:t>体育预测的常用特征包括近期状态、主客场、休息天数、交手记录与赛事重要性。梯度提升树在特征存在非线性交互时通常优于线性模型，但在样本量有限、特征以线性可加为主时，逻辑回归往往更稳健。概率校准方面，</w:t>
      </w:r>
      <w:r>
        <w:rPr/>
        <w:t xml:space="preserve">Platt </w:t>
      </w:r>
      <w:r>
        <w:rPr/>
        <w:t>缩放与等渗回归是两种常用后处理方法。</w:t>
      </w:r>
    </w:p>
    <w:p>
      <w:pPr>
        <w:pStyle w:val="Heading2"/>
        <w:ind w:hanging="0"/>
        <w:rPr/>
      </w:pPr>
      <w:bookmarkStart w:id="12" w:name="__RefHeading___Toc6124_2302016644"/>
      <w:bookmarkStart w:id="13" w:name="_Toc7"/>
      <w:bookmarkEnd w:id="12"/>
      <w:r>
        <w:rPr>
          <w:rFonts w:eastAsia="SimHei"/>
          <w:b/>
          <w:bCs/>
          <w:i w:val="false"/>
          <w:iCs w:val="false"/>
        </w:rPr>
        <w:t xml:space="preserve">2.3 </w:t>
      </w:r>
      <w:r>
        <w:rPr>
          <w:rFonts w:ascii="Cambria Math" w:hAnsi="Cambria Math"/>
          <w:b/>
          <w:bCs/>
          <w:i w:val="false"/>
          <w:iCs w:val="false"/>
        </w:rPr>
        <w:t>赔率与资金管理</w:t>
      </w:r>
      <w:bookmarkEnd w:id="13"/>
    </w:p>
    <w:p>
      <w:pPr>
        <w:pStyle w:val="Normal"/>
        <w:rPr/>
      </w:pPr>
      <w:r>
        <w:rPr/>
        <w:t xml:space="preserve">赔率可视为市场对概率的估计，其倒数经过去水后可作为市场隐含概率。凯利公式给出了在已知优势下使长期对数增长率最大的下注比例，实践中常用分数凯利以降低波动。评价预测质量时，对数损失与 </w:t>
      </w:r>
      <w:r>
        <w:rPr/>
        <w:t xml:space="preserve">Brier </w:t>
      </w:r>
      <w:r>
        <w:rPr/>
        <w:t>分数是严格适当的评分规则。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14" w:name="__RefHeading___Toc6126_2302016644"/>
      <w:bookmarkStart w:id="15" w:name="_Toc8"/>
      <w:bookmarkEnd w:id="14"/>
      <w:r>
        <w:rPr>
          <w:rFonts w:ascii="Cambria Math" w:hAnsi="Cambria Math"/>
          <w:b/>
          <w:bCs/>
          <w:i w:val="false"/>
          <w:iCs w:val="false"/>
        </w:rPr>
        <w:t>三、数据</w:t>
      </w:r>
      <w:bookmarkEnd w:id="15"/>
    </w:p>
    <w:p>
      <w:pPr>
        <w:pStyle w:val="Heading2"/>
        <w:ind w:hanging="0"/>
        <w:rPr/>
      </w:pPr>
      <w:bookmarkStart w:id="16" w:name="__RefHeading___Toc6128_2302016644"/>
      <w:bookmarkStart w:id="17" w:name="_Toc9"/>
      <w:bookmarkEnd w:id="16"/>
      <w:r>
        <w:rPr>
          <w:rFonts w:eastAsia="SimHei"/>
          <w:b/>
          <w:bCs/>
          <w:i w:val="false"/>
          <w:iCs w:val="false"/>
        </w:rPr>
        <w:t xml:space="preserve">3.1 </w:t>
      </w:r>
      <w:r>
        <w:rPr>
          <w:rFonts w:ascii="Cambria Math" w:hAnsi="Cambria Math"/>
          <w:b/>
          <w:bCs/>
          <w:i w:val="false"/>
          <w:iCs w:val="false"/>
        </w:rPr>
        <w:t>数据来源</w:t>
      </w:r>
      <w:bookmarkEnd w:id="17"/>
    </w:p>
    <w:p>
      <w:pPr>
        <w:pStyle w:val="Normal"/>
        <w:rPr/>
      </w:pPr>
      <w:r>
        <w:rPr/>
        <w:t xml:space="preserve">系统整合了三个公开数据源，覆盖不同时期与不同赛事层级。各来源的记录数与时间覆盖如表 </w:t>
      </w:r>
      <w:r>
        <w:rPr/>
        <w:t xml:space="preserve">3-1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3-1 </w:t>
      </w:r>
      <w:r>
        <w:rPr/>
        <w:t>数据来源构成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7"/>
        <w:gridCol w:w="2267"/>
        <w:gridCol w:w="2266"/>
        <w:gridCol w:w="2270"/>
      </w:tblGrid>
      <w:tr>
        <w:trPr>
          <w:tblHeader w:val="true"/>
        </w:trPr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来源</w:t>
            </w:r>
          </w:p>
        </w:tc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记录数</w:t>
            </w:r>
          </w:p>
        </w:tc>
        <w:tc>
          <w:tcPr>
            <w:tcW w:w="2266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时间覆盖</w:t>
            </w:r>
          </w:p>
        </w:tc>
        <w:tc>
          <w:tcPr>
            <w:tcW w:w="2270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说明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hojlund </w:t>
            </w:r>
            <w:r>
              <w:rPr>
                <w:b w:val="false"/>
                <w:bCs w:val="false"/>
              </w:rPr>
              <w:t>数据集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16,497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2015-11~2023-08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含地图</w:t>
            </w:r>
            <w:r>
              <w:rPr>
                <w:b w:val="false"/>
                <w:bCs w:val="false"/>
              </w:rPr>
              <w:t>/</w:t>
            </w:r>
            <w:r>
              <w:rPr>
                <w:b w:val="false"/>
                <w:bCs w:val="false"/>
              </w:rPr>
              <w:t>选手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HLTV </w:t>
            </w:r>
            <w:r>
              <w:rPr>
                <w:b w:val="false"/>
                <w:bCs w:val="false"/>
              </w:rPr>
              <w:t>抓取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31,413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2023-08~2026-10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赛事层级、星级</w:t>
            </w:r>
          </w:p>
        </w:tc>
      </w:tr>
      <w:tr>
        <w:trPr/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Kaggle </w:t>
            </w:r>
            <w:r>
              <w:rPr>
                <w:b w:val="false"/>
                <w:bCs w:val="false"/>
              </w:rPr>
              <w:t>数据集</w:t>
            </w:r>
          </w:p>
        </w:tc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21,599</w:t>
            </w:r>
          </w:p>
        </w:tc>
        <w:tc>
          <w:tcPr>
            <w:tcW w:w="2266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2015-11~2020-03</w:t>
            </w:r>
          </w:p>
        </w:tc>
        <w:tc>
          <w:tcPr>
            <w:tcW w:w="2270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含赔率（未用）</w:t>
            </w:r>
          </w:p>
        </w:tc>
      </w:tr>
    </w:tbl>
    <w:p>
      <w:pPr>
        <w:pStyle w:val="Normal"/>
        <w:rPr/>
      </w:pPr>
      <w:r>
        <w:rPr/>
        <w:t xml:space="preserve">原始记录合计 </w:t>
      </w:r>
      <w:r>
        <w:rPr/>
        <w:t xml:space="preserve">69,509 </w:t>
      </w:r>
      <w:r>
        <w:rPr/>
        <w:t xml:space="preserve">条，经跨源去重后保留 </w:t>
      </w:r>
      <w:r>
        <w:rPr/>
        <w:t xml:space="preserve">68,523 </w:t>
      </w:r>
      <w:r>
        <w:rPr/>
        <w:t xml:space="preserve">场，时间跨度自 </w:t>
      </w:r>
      <w:r>
        <w:rPr/>
        <w:t xml:space="preserve">2015 </w:t>
      </w:r>
      <w:r>
        <w:rPr/>
        <w:t xml:space="preserve">年 </w:t>
      </w:r>
      <w:r>
        <w:rPr/>
        <w:t xml:space="preserve">11 </w:t>
      </w:r>
      <w:r>
        <w:rPr/>
        <w:t xml:space="preserve">月至 </w:t>
      </w:r>
      <w:r>
        <w:rPr/>
        <w:t xml:space="preserve">2026 </w:t>
      </w:r>
      <w:r>
        <w:rPr/>
        <w:t xml:space="preserve">年 </w:t>
      </w:r>
      <w:r>
        <w:rPr/>
        <w:t xml:space="preserve">10 </w:t>
      </w:r>
      <w:r>
        <w:rPr/>
        <w:t xml:space="preserve">月，涉及 </w:t>
      </w:r>
      <w:r>
        <w:rPr/>
        <w:t xml:space="preserve">4,564 </w:t>
      </w:r>
      <w:r>
        <w:rPr/>
        <w:t xml:space="preserve">支战队。地图数据共 </w:t>
      </w:r>
      <w:r>
        <w:rPr/>
        <w:t xml:space="preserve">56,730 </w:t>
      </w:r>
      <w:r>
        <w:rPr/>
        <w:t xml:space="preserve">张，其中 </w:t>
      </w:r>
      <w:r>
        <w:rPr/>
        <w:t xml:space="preserve">2023 </w:t>
      </w:r>
      <w:r>
        <w:rPr/>
        <w:t xml:space="preserve">年以后 </w:t>
      </w:r>
      <w:r>
        <w:rPr/>
        <w:t xml:space="preserve">14,449 </w:t>
      </w:r>
      <w:r>
        <w:rPr/>
        <w:t>张。</w:t>
      </w:r>
    </w:p>
    <w:p>
      <w:pPr>
        <w:pStyle w:val="Heading2"/>
        <w:ind w:hanging="0"/>
        <w:rPr/>
      </w:pPr>
      <w:bookmarkStart w:id="18" w:name="__RefHeading___Toc6130_2302016644"/>
      <w:bookmarkStart w:id="19" w:name="_Toc10"/>
      <w:bookmarkEnd w:id="18"/>
      <w:r>
        <w:rPr>
          <w:rFonts w:eastAsia="SimHei"/>
          <w:b/>
          <w:bCs/>
          <w:i w:val="false"/>
          <w:iCs w:val="false"/>
        </w:rPr>
        <w:t xml:space="preserve">3.2 </w:t>
      </w:r>
      <w:r>
        <w:rPr>
          <w:rFonts w:ascii="Cambria Math" w:hAnsi="Cambria Math"/>
          <w:b/>
          <w:bCs/>
          <w:i w:val="false"/>
          <w:iCs w:val="false"/>
        </w:rPr>
        <w:t>数据清洗</w:t>
      </w:r>
      <w:bookmarkEnd w:id="19"/>
    </w:p>
    <w:p>
      <w:pPr>
        <w:pStyle w:val="Normal"/>
        <w:rPr/>
      </w:pPr>
      <w:r>
        <w:rPr/>
        <w:t>跨源合并的主要难点是队名不一致。同一支队伍在不同来源中可能写作「</w:t>
      </w:r>
      <w:r>
        <w:rPr/>
        <w:t>Falcons</w:t>
      </w:r>
      <w:r>
        <w:rPr/>
        <w:t>」「</w:t>
      </w:r>
      <w:r>
        <w:rPr/>
        <w:t>FALCONS</w:t>
      </w:r>
      <w:r>
        <w:rPr/>
        <w:t>」或「</w:t>
      </w:r>
      <w:r>
        <w:rPr/>
        <w:t>Team Falcons</w:t>
      </w:r>
      <w:r>
        <w:rPr/>
        <w:t xml:space="preserve">」，本文采用「精确匹配—去后缀匹配—前缀匹配—模糊匹配」四级策略，并对大小写变体做合并，共合并 </w:t>
      </w:r>
      <w:r>
        <w:rPr/>
        <w:t xml:space="preserve">95 </w:t>
      </w:r>
      <w:r>
        <w:rPr/>
        <w:t>组变体。</w:t>
      </w:r>
    </w:p>
    <w:p>
      <w:pPr>
        <w:pStyle w:val="Normal"/>
        <w:rPr/>
      </w:pPr>
      <w:r>
        <w:rPr/>
        <w:t xml:space="preserve">赛制字段存在误解析问题：部分数据源在单图比赛中用地图片分填充系列赛比分，导致 </w:t>
      </w:r>
      <w:r>
        <w:rPr/>
        <w:t xml:space="preserve">BO1 </w:t>
      </w:r>
      <w:r>
        <w:rPr/>
        <w:t xml:space="preserve">被误判为 </w:t>
      </w:r>
      <w:r>
        <w:rPr/>
        <w:t>BO5</w:t>
      </w:r>
      <w:r>
        <w:rPr/>
        <w:t xml:space="preserve">。本文通过判断实际地图数量加以修正，修正后 </w:t>
      </w:r>
      <w:r>
        <w:rPr/>
        <w:t xml:space="preserve">BO5 </w:t>
      </w:r>
      <w:r>
        <w:rPr/>
        <w:t xml:space="preserve">场次由 </w:t>
      </w:r>
      <w:r>
        <w:rPr/>
        <w:t xml:space="preserve">11,175 </w:t>
      </w:r>
      <w:r>
        <w:rPr/>
        <w:t xml:space="preserve">场降至 </w:t>
      </w:r>
      <w:r>
        <w:rPr/>
        <w:t xml:space="preserve">684 </w:t>
      </w:r>
      <w:r>
        <w:rPr/>
        <w:t>场。</w:t>
      </w:r>
    </w:p>
    <w:p>
      <w:pPr>
        <w:pStyle w:val="Heading2"/>
        <w:ind w:hanging="0"/>
        <w:rPr/>
      </w:pPr>
      <w:bookmarkStart w:id="20" w:name="__RefHeading___Toc6132_2302016644"/>
      <w:bookmarkStart w:id="21" w:name="_Toc11"/>
      <w:bookmarkEnd w:id="20"/>
      <w:r>
        <w:rPr>
          <w:rFonts w:eastAsia="SimHei"/>
          <w:b/>
          <w:bCs/>
          <w:i w:val="false"/>
          <w:iCs w:val="false"/>
        </w:rPr>
        <w:t xml:space="preserve">3.3 </w:t>
      </w:r>
      <w:r>
        <w:rPr>
          <w:rFonts w:ascii="Cambria Math" w:hAnsi="Cambria Math"/>
          <w:b/>
          <w:bCs/>
          <w:i w:val="false"/>
          <w:iCs w:val="false"/>
        </w:rPr>
        <w:t>防泄漏设计</w:t>
      </w:r>
      <w:bookmarkEnd w:id="21"/>
    </w:p>
    <w:p>
      <w:pPr>
        <w:pStyle w:val="Normal"/>
        <w:rPr/>
      </w:pPr>
      <w:r>
        <w:rPr/>
        <w:t>所有特征函数遵循「仅使用开赛前信息」的约束：评分按比赛日回放，新闻只取发布时间早于开赛时间的文章，赔率数据不进入特征。评估采用走步式时间切分，训练集始终早于测试集，且超参数选择不触碰测试期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22" w:name="__RefHeading___Toc6134_2302016644"/>
      <w:bookmarkStart w:id="23" w:name="_Toc12"/>
      <w:bookmarkEnd w:id="22"/>
      <w:r>
        <w:rPr>
          <w:rFonts w:ascii="Cambria Math" w:hAnsi="Cambria Math"/>
          <w:b/>
          <w:bCs/>
          <w:i w:val="false"/>
          <w:iCs w:val="false"/>
        </w:rPr>
        <w:t>四、方法</w:t>
      </w:r>
      <w:bookmarkEnd w:id="23"/>
    </w:p>
    <w:p>
      <w:pPr>
        <w:pStyle w:val="Heading2"/>
        <w:ind w:hanging="0"/>
        <w:rPr/>
      </w:pPr>
      <w:bookmarkStart w:id="24" w:name="__RefHeading___Toc6136_2302016644"/>
      <w:bookmarkStart w:id="25" w:name="_Toc13"/>
      <w:bookmarkEnd w:id="24"/>
      <w:r>
        <w:rPr>
          <w:rFonts w:eastAsia="SimHei"/>
          <w:b/>
          <w:bCs/>
          <w:i w:val="false"/>
          <w:iCs w:val="false"/>
        </w:rPr>
        <w:t xml:space="preserve">4.1 </w:t>
      </w:r>
      <w:r>
        <w:rPr>
          <w:rFonts w:ascii="Cambria Math" w:hAnsi="Cambria Math"/>
          <w:b/>
          <w:bCs/>
          <w:i w:val="false"/>
          <w:iCs w:val="false"/>
        </w:rPr>
        <w:t>问题形式化</w:t>
      </w:r>
      <w:bookmarkEnd w:id="25"/>
    </w:p>
    <w:p>
      <w:pPr>
        <w:pStyle w:val="Normal"/>
        <w:rPr/>
      </w:pPr>
      <w:r>
        <w:rPr/>
        <w:t xml:space="preserve">给定两支战队与赛制，预测 </w:t>
      </w:r>
      <w:r>
        <w:rPr/>
        <w:t xml:space="preserve">A </w:t>
      </w:r>
      <w:r>
        <w:rPr/>
        <w:t xml:space="preserve">队获胜的概率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>，并以对数损失作为主评价指标：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log</m:t>
                </m:r>
                <m:r>
                  <w:rPr>
                    <w:rFonts w:ascii="Cambria Math" w:hAnsi="Cambria Math"/>
                  </w:rPr>
                  <m:t xml:space="preserve">⁡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log</m:t>
                </m:r>
                <m:r>
                  <w:rPr>
                    <w:rFonts w:ascii="Cambria Math" w:hAnsi="Cambria Math"/>
                  </w:rPr>
                  <m:t xml:space="preserve">⁡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(1)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0,1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 为比赛结果。概率校准程度用期望校准误差衡量：将预测概率分箱后，计算各箱内平均预测与真实频率之差的加权平均。</w:t>
      </w:r>
    </w:p>
    <w:p>
      <w:pPr>
        <w:pStyle w:val="Heading2"/>
        <w:ind w:hanging="0"/>
        <w:rPr/>
      </w:pPr>
      <w:bookmarkStart w:id="26" w:name="__RefHeading___Toc6138_2302016644"/>
      <w:bookmarkStart w:id="27" w:name="_Toc14"/>
      <w:bookmarkEnd w:id="26"/>
      <w:r>
        <w:rPr>
          <w:rFonts w:eastAsia="SimHei"/>
          <w:b/>
          <w:bCs/>
          <w:i w:val="false"/>
          <w:iCs w:val="false"/>
        </w:rPr>
        <w:t xml:space="preserve">4.2 Elo </w:t>
      </w:r>
      <w:r>
        <w:rPr>
          <w:rFonts w:ascii="Cambria Math" w:hAnsi="Cambria Math"/>
          <w:b/>
          <w:bCs/>
          <w:i w:val="false"/>
          <w:iCs w:val="false"/>
        </w:rPr>
        <w:t>评分模型</w:t>
      </w:r>
      <w:bookmarkEnd w:id="27"/>
    </w:p>
    <w:p>
      <w:pPr>
        <w:pStyle w:val="Normal"/>
        <w:rPr/>
      </w:pPr>
      <w:r>
        <w:rPr/>
        <w:t xml:space="preserve">队伍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的评分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在每场比赛后按结果更新：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′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E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(2)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为比赛结果，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 xml:space="preserve"> 为期望胜率：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E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(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)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/</m:t>
                        </m:r>
                        <m:r>
                          <w:rPr>
                            <w:rFonts w:ascii="Cambria Math" w:hAnsi="Cambria Math"/>
                          </w:rPr>
                          <m:t xml:space="preserve">400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(3)</w:t>
            </w:r>
          </w:p>
        </w:tc>
      </w:tr>
    </w:tbl>
    <w:p>
      <w:pPr>
        <w:pStyle w:val="Normal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</w:t>
      </w:r>
      <w:r>
        <w:rPr/>
        <w:t>为更新系数，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为净胜分修正因子。为处理长期未参赛导致的评分失真，引入向均值回归的衰减：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←</m:t>
                </m:r>
                <m:r>
                  <w:rPr>
                    <w:rFonts w:ascii="Cambria Math" w:hAnsi="Cambria Math"/>
                  </w:rPr>
                  <m:t xml:space="preserve">1500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1500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⋅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Δt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/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(4)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Δt</m:t>
        </m:r>
      </m:oMath>
      <w:r>
        <w:rPr/>
        <w:t xml:space="preserve"> 为距上次参赛的天数，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为衰减半衰期。本文取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1.6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>、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按净胜图数缩放、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180</m:t>
        </m:r>
      </m:oMath>
      <w:r>
        <w:rPr/>
        <w:t xml:space="preserve"> 天。</w:t>
      </w:r>
    </w:p>
    <w:p>
      <w:pPr>
        <w:pStyle w:val="Heading2"/>
        <w:ind w:hanging="0"/>
        <w:rPr/>
      </w:pPr>
      <w:bookmarkStart w:id="28" w:name="__RefHeading___Toc6140_2302016644"/>
      <w:bookmarkStart w:id="29" w:name="_Toc15"/>
      <w:bookmarkEnd w:id="28"/>
      <w:r>
        <w:rPr>
          <w:rFonts w:eastAsia="SimHei"/>
          <w:b/>
          <w:bCs/>
          <w:i w:val="false"/>
          <w:iCs w:val="false"/>
        </w:rPr>
        <w:t xml:space="preserve">4.3 </w:t>
      </w:r>
      <w:r>
        <w:rPr>
          <w:rFonts w:ascii="Cambria Math" w:hAnsi="Cambria Math"/>
          <w:b/>
          <w:bCs/>
          <w:i w:val="false"/>
          <w:iCs w:val="false"/>
        </w:rPr>
        <w:t>特征体系</w:t>
      </w:r>
      <w:bookmarkEnd w:id="29"/>
    </w:p>
    <w:p>
      <w:pPr>
        <w:pStyle w:val="Normal"/>
        <w:rPr/>
      </w:pPr>
      <w:r>
        <w:rPr/>
        <w:t xml:space="preserve">在 </w:t>
      </w:r>
      <w:r>
        <w:rPr/>
        <w:t xml:space="preserve">Elo </w:t>
      </w:r>
      <w:r>
        <w:rPr/>
        <w:t xml:space="preserve">基础上构建 </w:t>
      </w:r>
      <w:r>
        <w:rPr/>
        <w:t xml:space="preserve">20 </w:t>
      </w:r>
      <w:r>
        <w:rPr/>
        <w:t xml:space="preserve">维基础特征，并扩展地图与选手两组特征，如表 </w:t>
      </w:r>
      <w:r>
        <w:rPr/>
        <w:t xml:space="preserve">4-1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4-1 </w:t>
      </w:r>
      <w:r>
        <w:rPr/>
        <w:t>特征体系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3"/>
        <w:gridCol w:w="3023"/>
        <w:gridCol w:w="3024"/>
      </w:tblGrid>
      <w:tr>
        <w:trPr>
          <w:tblHeader w:val="true"/>
        </w:trPr>
        <w:tc>
          <w:tcPr>
            <w:tcW w:w="3023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类别</w:t>
            </w:r>
          </w:p>
        </w:tc>
        <w:tc>
          <w:tcPr>
            <w:tcW w:w="3023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特征</w:t>
            </w:r>
          </w:p>
        </w:tc>
        <w:tc>
          <w:tcPr>
            <w:tcW w:w="302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维数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评分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Elo </w:t>
            </w:r>
            <w:r>
              <w:rPr>
                <w:b w:val="false"/>
                <w:bCs w:val="false"/>
              </w:rPr>
              <w:t xml:space="preserve">差、双方 </w:t>
            </w:r>
            <w:r>
              <w:rPr>
                <w:b w:val="false"/>
                <w:bCs w:val="false"/>
              </w:rPr>
              <w:t>Elo</w:t>
            </w:r>
            <w:r>
              <w:rPr>
                <w:b w:val="false"/>
                <w:bCs w:val="false"/>
              </w:rPr>
              <w:t>、场次数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5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状态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近 </w:t>
            </w:r>
            <w:r>
              <w:rPr>
                <w:b w:val="false"/>
                <w:bCs w:val="false"/>
              </w:rPr>
              <w:t xml:space="preserve">10 </w:t>
            </w:r>
            <w:r>
              <w:rPr>
                <w:b w:val="false"/>
                <w:bCs w:val="false"/>
              </w:rPr>
              <w:t xml:space="preserve">场、近 </w:t>
            </w:r>
            <w:r>
              <w:rPr>
                <w:b w:val="false"/>
                <w:bCs w:val="false"/>
              </w:rPr>
              <w:t xml:space="preserve">30 </w:t>
            </w:r>
            <w:r>
              <w:rPr>
                <w:b w:val="false"/>
                <w:bCs w:val="false"/>
              </w:rPr>
              <w:t>场对手校正胜率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赛程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休息天数、比赛密度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交手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交手记录（收缩估计）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赛制与赛事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BO1/BO3/BO5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>Major</w:t>
            </w:r>
            <w:r>
              <w:rPr>
                <w:b w:val="false"/>
                <w:bCs w:val="false"/>
              </w:rPr>
              <w:t>、顶级赛事、年份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6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地图胜率、样本量、系列赛概率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7</w:t>
            </w:r>
          </w:p>
        </w:tc>
      </w:tr>
      <w:tr>
        <w:trPr/>
        <w:tc>
          <w:tcPr>
            <w:tcW w:w="3023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选手</w:t>
            </w:r>
          </w:p>
        </w:tc>
        <w:tc>
          <w:tcPr>
            <w:tcW w:w="3023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阵容 </w:t>
            </w:r>
            <w:r>
              <w:rPr>
                <w:b w:val="false"/>
                <w:bCs w:val="false"/>
              </w:rPr>
              <w:t>ADR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>KAST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 xml:space="preserve">KD </w:t>
            </w:r>
            <w:r>
              <w:rPr>
                <w:b w:val="false"/>
                <w:bCs w:val="false"/>
              </w:rPr>
              <w:t>差</w:t>
            </w:r>
          </w:p>
        </w:tc>
        <w:tc>
          <w:tcPr>
            <w:tcW w:w="302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8</w:t>
            </w:r>
          </w:p>
        </w:tc>
      </w:tr>
    </w:tbl>
    <w:p>
      <w:pPr>
        <w:pStyle w:val="Normal"/>
        <w:rPr/>
      </w:pPr>
      <w:r>
        <w:rPr/>
        <w:t>其中对手校正胜率定义为实际结果与期望结果之差，用以剔除赛程强度的影响。</w:t>
      </w:r>
    </w:p>
    <w:p>
      <w:pPr>
        <w:pStyle w:val="Heading2"/>
        <w:ind w:hanging="0"/>
        <w:rPr/>
      </w:pPr>
      <w:bookmarkStart w:id="30" w:name="__RefHeading___Toc6142_2302016644"/>
      <w:bookmarkStart w:id="31" w:name="_Toc16"/>
      <w:bookmarkEnd w:id="30"/>
      <w:r>
        <w:rPr>
          <w:rFonts w:eastAsia="SimHei"/>
          <w:b/>
          <w:bCs/>
          <w:i w:val="false"/>
          <w:iCs w:val="false"/>
        </w:rPr>
        <w:t xml:space="preserve">4.4 </w:t>
      </w:r>
      <w:r>
        <w:rPr>
          <w:rFonts w:ascii="Cambria Math" w:hAnsi="Cambria Math"/>
          <w:b/>
          <w:bCs/>
          <w:i w:val="false"/>
          <w:iCs w:val="false"/>
        </w:rPr>
        <w:t>逻辑回归与校准</w:t>
      </w:r>
      <w:bookmarkEnd w:id="31"/>
    </w:p>
    <w:p>
      <w:pPr>
        <w:pStyle w:val="Normal"/>
        <w:rPr/>
      </w:pPr>
      <w:r>
        <w:rPr/>
        <w:t xml:space="preserve">模型采用带 </w:t>
      </w:r>
      <w:r>
        <w:rPr/>
        <w:t xml:space="preserve">L2 </w:t>
      </w:r>
      <w:r>
        <w:rPr/>
        <w:t>正则的逻辑回归：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|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σ</m:t>
                </m:r>
                <m:r>
                  <w:rPr>
                    <w:rFonts w:ascii="Cambria Math" w:hAnsi="Cambria Math"/>
                  </w:rPr>
                  <m:t xml:space="preserve">(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⊤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x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σ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(5)</w:t>
            </w:r>
          </w:p>
        </w:tc>
      </w:tr>
    </w:tbl>
    <w:p>
      <w:pPr>
        <w:pStyle w:val="Normal"/>
        <w:rPr/>
      </w:pPr>
      <w:r>
        <w:rPr/>
        <w:t xml:space="preserve">训练时按时间给予样本权重，半衰期为 </w:t>
      </w:r>
      <w:r>
        <w:rPr/>
        <w:t xml:space="preserve">1,500 </w:t>
      </w:r>
      <w:r>
        <w:rPr/>
        <w:t>天，使近期比赛对参数影响更大。为检验非线性建模的必要性，本文同时训练了直方图梯度提升树作为对照。</w:t>
      </w:r>
    </w:p>
    <w:p>
      <w:pPr>
        <w:pStyle w:val="Heading2"/>
        <w:ind w:hanging="0"/>
        <w:rPr/>
      </w:pPr>
      <w:bookmarkStart w:id="32" w:name="__RefHeading___Toc6144_2302016644"/>
      <w:bookmarkStart w:id="33" w:name="_Toc17"/>
      <w:bookmarkEnd w:id="32"/>
      <w:r>
        <w:rPr>
          <w:rFonts w:eastAsia="SimHei"/>
          <w:b/>
          <w:bCs/>
          <w:i w:val="false"/>
          <w:iCs w:val="false"/>
        </w:rPr>
        <w:t xml:space="preserve">4.5 </w:t>
      </w:r>
      <w:r>
        <w:rPr>
          <w:rFonts w:ascii="Cambria Math" w:hAnsi="Cambria Math"/>
          <w:b/>
          <w:bCs/>
          <w:i w:val="false"/>
          <w:iCs w:val="false"/>
        </w:rPr>
        <w:t xml:space="preserve">地图级 </w:t>
      </w:r>
      <w:r>
        <w:rPr>
          <w:rFonts w:eastAsia="SimHei"/>
          <w:b/>
          <w:bCs/>
          <w:i w:val="false"/>
          <w:iCs w:val="false"/>
        </w:rPr>
        <w:t xml:space="preserve">Elo </w:t>
      </w:r>
      <w:r>
        <w:rPr>
          <w:rFonts w:ascii="Cambria Math" w:hAnsi="Cambria Math"/>
          <w:b/>
          <w:bCs/>
          <w:i w:val="false"/>
          <w:iCs w:val="false"/>
        </w:rPr>
        <w:t xml:space="preserve">与 </w:t>
      </w:r>
      <w:r>
        <w:rPr>
          <w:rFonts w:eastAsia="SimHei"/>
          <w:b/>
          <w:bCs/>
          <w:i w:val="false"/>
          <w:iCs w:val="false"/>
        </w:rPr>
        <w:t xml:space="preserve">veto </w:t>
      </w:r>
      <w:r>
        <w:rPr>
          <w:rFonts w:ascii="Cambria Math" w:hAnsi="Cambria Math"/>
          <w:b/>
          <w:bCs/>
          <w:i w:val="false"/>
          <w:iCs w:val="false"/>
        </w:rPr>
        <w:t>模拟</w:t>
      </w:r>
      <w:bookmarkEnd w:id="33"/>
    </w:p>
    <w:p>
      <w:pPr>
        <w:pStyle w:val="Normal"/>
        <w:rPr/>
      </w:pPr>
      <w:r>
        <w:rPr/>
        <w:t xml:space="preserve">每支队伍在每张地图上维护独立评分，样本不足 </w:t>
      </w:r>
      <w:r>
        <w:rPr/>
        <w:t xml:space="preserve">5 </w:t>
      </w:r>
      <w:r>
        <w:rPr/>
        <w:t xml:space="preserve">场时向队伍评分收缩。给定地图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上的评分，单图胜率为：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(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,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,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)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/</m:t>
                        </m:r>
                        <m:r>
                          <w:rPr>
                            <w:rFonts w:ascii="Cambria Math" w:hAnsi="Cambria Math"/>
                          </w:rPr>
                          <m:t xml:space="preserve">400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(6)</w:t>
            </w:r>
          </w:p>
        </w:tc>
      </w:tr>
    </w:tbl>
    <w:p>
      <w:pPr>
        <w:pStyle w:val="Normal"/>
        <w:rPr/>
      </w:pPr>
      <w:r>
        <w:rPr/>
        <w:t xml:space="preserve">veto </w:t>
      </w:r>
      <w:r>
        <w:rPr/>
        <w:t xml:space="preserve">阶段按「相对强度」模拟：相对强度定义为单图评分与队伍平均地图评分之差，弱图先被禁用、强图先被选择，最终留下 </w:t>
      </w:r>
      <w:r>
        <w:rPr/>
        <w:t xml:space="preserve">BO1 </w:t>
      </w:r>
      <w:r>
        <w:rPr/>
        <w:t xml:space="preserve">的 </w:t>
      </w:r>
      <w:r>
        <w:rPr/>
        <w:t xml:space="preserve">1 </w:t>
      </w:r>
      <w:r>
        <w:rPr/>
        <w:t>张、</w:t>
      </w:r>
      <w:r>
        <w:rPr/>
        <w:t xml:space="preserve">BO3 </w:t>
      </w:r>
      <w:r>
        <w:rPr/>
        <w:t xml:space="preserve">的 </w:t>
      </w:r>
      <w:r>
        <w:rPr/>
        <w:t xml:space="preserve">3 </w:t>
      </w:r>
      <w:r>
        <w:rPr/>
        <w:t xml:space="preserve">张或 </w:t>
      </w:r>
      <w:r>
        <w:rPr/>
        <w:t xml:space="preserve">BO5 </w:t>
      </w:r>
      <w:r>
        <w:rPr/>
        <w:t xml:space="preserve">的 </w:t>
      </w:r>
      <w:r>
        <w:rPr/>
        <w:t xml:space="preserve">5 </w:t>
      </w:r>
      <w:r>
        <w:rPr/>
        <w:t>张地图。系列赛胜率通过动态规划合并单图胜率：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series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∏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∈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∏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∈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(7)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为取胜所需地图数。</w:t>
      </w:r>
    </w:p>
    <w:p>
      <w:pPr>
        <w:pStyle w:val="Heading2"/>
        <w:ind w:hanging="0"/>
        <w:rPr/>
      </w:pPr>
      <w:bookmarkStart w:id="34" w:name="__RefHeading___Toc6146_2302016644"/>
      <w:bookmarkStart w:id="35" w:name="_Toc18"/>
      <w:bookmarkEnd w:id="34"/>
      <w:r>
        <w:rPr>
          <w:rFonts w:eastAsia="SimHei"/>
          <w:b/>
          <w:bCs/>
          <w:i w:val="false"/>
          <w:iCs w:val="false"/>
        </w:rPr>
        <w:t xml:space="preserve">4.6 </w:t>
      </w:r>
      <w:r>
        <w:rPr>
          <w:rFonts w:ascii="Cambria Math" w:hAnsi="Cambria Math"/>
          <w:b/>
          <w:bCs/>
          <w:i w:val="false"/>
          <w:iCs w:val="false"/>
        </w:rPr>
        <w:t>新闻事件抽取</w:t>
      </w:r>
      <w:bookmarkEnd w:id="35"/>
    </w:p>
    <w:p>
      <w:pPr>
        <w:pStyle w:val="Normal"/>
        <w:rPr/>
      </w:pPr>
      <w:r>
        <w:rPr/>
        <w:t>新闻文本经大语言模型抽取为结构化事件，包括转会、伤病、教练变更、退役等类型。每条事件带有队伍、方向、强度与置信度，并按半衰期衰减为标量特征：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)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/</m:t>
                    </m:r>
                    <m:r>
                      <w:rPr>
                        <w:rFonts w:ascii="Cambria Math" w:hAnsi="Cambria Math"/>
                      </w:rPr>
                      <m:t xml:space="preserve">τ</m:t>
                    </m:r>
                  </m:sup>
                </m:sSup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(8)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为事件的有向强度，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为半衰期（取 </w:t>
      </w:r>
      <w:r>
        <w:rPr/>
        <w:t xml:space="preserve">30 </w:t>
      </w:r>
      <w:r>
        <w:rPr/>
        <w:t xml:space="preserve">天），仅统计比赛日之前 </w:t>
      </w:r>
      <w:r>
        <w:rPr/>
        <w:t xml:space="preserve">120 </w:t>
      </w:r>
      <w:r>
        <w:rPr/>
        <w:t>天内的事件。</w:t>
      </w:r>
    </w:p>
    <w:p>
      <w:pPr>
        <w:pStyle w:val="Heading2"/>
        <w:ind w:hanging="0"/>
        <w:rPr/>
      </w:pPr>
      <w:bookmarkStart w:id="36" w:name="__RefHeading___Toc6148_2302016644"/>
      <w:bookmarkStart w:id="37" w:name="_Toc19"/>
      <w:bookmarkEnd w:id="36"/>
      <w:r>
        <w:rPr>
          <w:rFonts w:eastAsia="SimHei"/>
          <w:b/>
          <w:bCs/>
          <w:i w:val="false"/>
          <w:iCs w:val="false"/>
        </w:rPr>
        <w:t xml:space="preserve">4.7 </w:t>
      </w:r>
      <w:r>
        <w:rPr>
          <w:rFonts w:ascii="Cambria Math" w:hAnsi="Cambria Math"/>
          <w:b/>
          <w:bCs/>
          <w:i w:val="false"/>
          <w:iCs w:val="false"/>
        </w:rPr>
        <w:t>赔率生成与凯利公式</w:t>
      </w:r>
      <w:bookmarkEnd w:id="37"/>
    </w:p>
    <w:p>
      <w:pPr>
        <w:pStyle w:val="Normal"/>
        <w:rPr/>
      </w:pPr>
      <w:r>
        <w:rPr/>
        <w:t xml:space="preserve">由模型概率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生成公平赔率，加上水位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后得到报价赔率；在已知可获得的赔率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</m:oMath>
      <w:r>
        <w:rPr/>
        <w:t xml:space="preserve"> 时，凯利比例如下：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o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p</m:t>
                    </m:r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∗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po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o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(9)</w:t>
            </w:r>
          </w:p>
        </w:tc>
      </w:tr>
    </w:tbl>
    <w:p>
      <w:pPr>
        <w:pStyle w:val="Normal"/>
        <w:rPr/>
      </w:pPr>
      <w:r>
        <w:rPr/>
        <w:t xml:space="preserve">实际下注比例取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min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λ</m:t>
        </m:r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sSup>
              <m:e/>
              <m:sup>
                <m:r>
                  <w:rPr>
                    <w:rFonts w:ascii="Cambria Math" w:hAnsi="Cambria Math"/>
                  </w:rPr>
                  <m:t xml:space="preserve">∗</m:t>
                </m:r>
              </m:sup>
            </m:sSup>
          </m:sup>
        </m:sSup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max</m:t>
            </m:r>
            <m:r>
              <w:rPr>
                <w:rFonts w:ascii="Cambria Math" w:hAnsi="Cambria Math"/>
              </w:rPr>
              <m:t xml:space="preserve">⁡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/>
        <w:t xml:space="preserve">，其中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 xml:space="preserve"> 为凯利折扣（默认 </w:t>
      </w:r>
      <w:r>
        <w:rPr/>
        <w:t>0.25</w:t>
      </w:r>
      <w:r>
        <w:rPr/>
        <w:t>），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max</m:t>
        </m:r>
        <m:r>
          <w:rPr>
            <w:rFonts w:ascii="Cambria Math" w:hAnsi="Cambria Math"/>
          </w:rPr>
          <m:t xml:space="preserve">⁡</m:t>
        </m:r>
      </m:oMath>
      <w:r>
        <w:rPr/>
        <w:t xml:space="preserve"> 为单场上限（默认 </w:t>
      </w:r>
      <w:r>
        <w:rPr/>
        <w:t>10%</w:t>
      </w:r>
      <w:r>
        <w:rPr/>
        <w:t xml:space="preserve">）。当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po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时不建议下注。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38" w:name="__RefHeading___Toc6150_2302016644"/>
      <w:bookmarkStart w:id="39" w:name="_Toc20"/>
      <w:bookmarkEnd w:id="38"/>
      <w:r>
        <w:rPr>
          <w:rFonts w:ascii="Cambria Math" w:hAnsi="Cambria Math"/>
          <w:b/>
          <w:bCs/>
          <w:i w:val="false"/>
          <w:iCs w:val="false"/>
        </w:rPr>
        <w:t>五、实验</w:t>
      </w:r>
      <w:bookmarkEnd w:id="39"/>
    </w:p>
    <w:p>
      <w:pPr>
        <w:pStyle w:val="Heading2"/>
        <w:ind w:hanging="0"/>
        <w:rPr/>
      </w:pPr>
      <w:bookmarkStart w:id="40" w:name="__RefHeading___Toc6152_2302016644"/>
      <w:bookmarkStart w:id="41" w:name="_Toc21"/>
      <w:bookmarkEnd w:id="40"/>
      <w:r>
        <w:rPr>
          <w:rFonts w:eastAsia="SimHei"/>
          <w:b/>
          <w:bCs/>
          <w:i w:val="false"/>
          <w:iCs w:val="false"/>
        </w:rPr>
        <w:t xml:space="preserve">5.1 </w:t>
      </w:r>
      <w:r>
        <w:rPr>
          <w:rFonts w:ascii="Cambria Math" w:hAnsi="Cambria Math"/>
          <w:b/>
          <w:bCs/>
          <w:i w:val="false"/>
          <w:iCs w:val="false"/>
        </w:rPr>
        <w:t>评估协议</w:t>
      </w:r>
      <w:bookmarkEnd w:id="41"/>
    </w:p>
    <w:p>
      <w:pPr>
        <w:pStyle w:val="Normal"/>
        <w:rPr/>
      </w:pPr>
      <w:r>
        <w:rPr/>
        <w:t xml:space="preserve">采用两个时间切分：训练集截止 </w:t>
      </w:r>
      <w:r>
        <w:rPr/>
        <w:t xml:space="preserve">2025-08-01 </w:t>
      </w:r>
      <w:r>
        <w:rPr/>
        <w:t xml:space="preserve">与 </w:t>
      </w:r>
      <w:r>
        <w:rPr/>
        <w:t>2026-09-01</w:t>
      </w:r>
      <w:r>
        <w:rPr/>
        <w:t>，测试集分别为其后全部比赛。所有模型在同一特征矩阵上训练，超参数在验证期内选定，不触碰测试期。</w:t>
      </w:r>
    </w:p>
    <w:p>
      <w:pPr>
        <w:pStyle w:val="Heading2"/>
        <w:ind w:hanging="0"/>
        <w:rPr/>
      </w:pPr>
      <w:bookmarkStart w:id="42" w:name="__RefHeading___Toc6154_2302016644"/>
      <w:bookmarkStart w:id="43" w:name="_Toc22"/>
      <w:bookmarkEnd w:id="42"/>
      <w:r>
        <w:rPr>
          <w:rFonts w:eastAsia="SimHei"/>
          <w:b/>
          <w:bCs/>
          <w:i w:val="false"/>
          <w:iCs w:val="false"/>
        </w:rPr>
        <w:t xml:space="preserve">5.2 </w:t>
      </w:r>
      <w:r>
        <w:rPr>
          <w:rFonts w:ascii="Cambria Math" w:hAnsi="Cambria Math"/>
          <w:b/>
          <w:bCs/>
          <w:i w:val="false"/>
          <w:iCs w:val="false"/>
        </w:rPr>
        <w:t>主结果</w:t>
      </w:r>
      <w:bookmarkEnd w:id="43"/>
    </w:p>
    <w:p>
      <w:pPr>
        <w:pStyle w:val="Normal"/>
        <w:rPr/>
      </w:pPr>
      <w:r>
        <w:rPr/>
        <w:t xml:space="preserve">表 </w:t>
      </w:r>
      <w:r>
        <w:rPr/>
        <w:t xml:space="preserve">5-1 </w:t>
      </w:r>
      <w:r>
        <w:rPr/>
        <w:t>主实验结果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模型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维数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2025-08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2026-09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平均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Elo </w:t>
            </w:r>
            <w:r>
              <w:rPr>
                <w:b w:val="false"/>
                <w:bCs w:val="false"/>
              </w:rPr>
              <w:t>基线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0.62999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0.62797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0.6290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LR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0.62235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0.62163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0.6220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LR+</w:t>
            </w:r>
            <w:r>
              <w:rPr>
                <w:b w:val="false"/>
                <w:bCs w:val="false"/>
              </w:rPr>
              <w:t>地图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27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0.62155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0.62057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0.6211</w:t>
            </w:r>
          </w:p>
        </w:tc>
      </w:tr>
      <w:tr>
        <w:trPr/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GBDT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27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0.62786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0.62766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0.6278</w:t>
            </w:r>
          </w:p>
        </w:tc>
      </w:tr>
    </w:tbl>
    <w:p>
      <w:pPr>
        <w:pStyle w:val="Normal"/>
        <w:rPr/>
      </w:pPr>
      <w:r>
        <w:rPr/>
        <w:t xml:space="preserve">最终模型在测试集上的准确率为 </w:t>
      </w:r>
      <w:r>
        <w:rPr/>
        <w:t xml:space="preserve">65.1% </w:t>
      </w:r>
      <w:r>
        <w:rPr/>
        <w:t xml:space="preserve">与 </w:t>
      </w:r>
      <w:r>
        <w:rPr/>
        <w:t>65.4%</w:t>
      </w:r>
      <w:r>
        <w:rPr/>
        <w:t xml:space="preserve">，期望校准误差分别为 </w:t>
      </w:r>
      <w:r>
        <w:rPr/>
        <w:t xml:space="preserve">0.85% </w:t>
      </w:r>
      <w:r>
        <w:rPr/>
        <w:t xml:space="preserve">与 </w:t>
      </w:r>
      <w:r>
        <w:rPr/>
        <w:t>1.89%</w:t>
      </w:r>
      <w:r>
        <w:rPr/>
        <w:t>。梯度提升树在两个切分上均劣于逻辑回归，说明在现有特征下线性模型更稳健。</w:t>
      </w:r>
    </w:p>
    <w:p>
      <w:pPr>
        <w:pStyle w:val="Heading2"/>
        <w:ind w:hanging="0"/>
        <w:rPr/>
      </w:pPr>
      <w:bookmarkStart w:id="44" w:name="__RefHeading___Toc6156_2302016644"/>
      <w:bookmarkStart w:id="45" w:name="_Toc23"/>
      <w:bookmarkEnd w:id="44"/>
      <w:r>
        <w:rPr>
          <w:rFonts w:eastAsia="SimHei"/>
          <w:b/>
          <w:bCs/>
          <w:i w:val="false"/>
          <w:iCs w:val="false"/>
        </w:rPr>
        <w:t xml:space="preserve">5.3 </w:t>
      </w:r>
      <w:r>
        <w:rPr>
          <w:rFonts w:ascii="Cambria Math" w:hAnsi="Cambria Math"/>
          <w:b/>
          <w:bCs/>
          <w:i w:val="false"/>
          <w:iCs w:val="false"/>
        </w:rPr>
        <w:t>消融实验</w:t>
      </w:r>
      <w:bookmarkEnd w:id="45"/>
    </w:p>
    <w:p>
      <w:pPr>
        <w:pStyle w:val="Normal"/>
        <w:rPr/>
      </w:pPr>
      <w:r>
        <w:rPr/>
        <w:t xml:space="preserve">表 </w:t>
      </w:r>
      <w:r>
        <w:rPr/>
        <w:t xml:space="preserve">5-2 </w:t>
      </w:r>
      <w:r>
        <w:rPr/>
        <w:t xml:space="preserve">特征组消融（相对 </w:t>
      </w:r>
      <w:r>
        <w:rPr/>
        <w:t xml:space="preserve">20 </w:t>
      </w:r>
      <w:r>
        <w:rPr/>
        <w:t>维基线的对数损失变化）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7"/>
        <w:gridCol w:w="2267"/>
        <w:gridCol w:w="2266"/>
        <w:gridCol w:w="2270"/>
      </w:tblGrid>
      <w:tr>
        <w:trPr>
          <w:tblHeader w:val="true"/>
        </w:trPr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特征组</w:t>
            </w:r>
          </w:p>
        </w:tc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2025-08</w:t>
            </w:r>
          </w:p>
        </w:tc>
        <w:tc>
          <w:tcPr>
            <w:tcW w:w="2266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2026-09</w:t>
            </w:r>
          </w:p>
        </w:tc>
        <w:tc>
          <w:tcPr>
            <w:tcW w:w="2270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结论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不确定度</w:t>
            </w:r>
            <w:r>
              <w:rPr>
                <w:b w:val="false"/>
                <w:bCs w:val="false"/>
              </w:rPr>
              <w:t>/</w:t>
            </w:r>
            <w:r>
              <w:rPr>
                <w:b w:val="false"/>
                <w:bCs w:val="false"/>
              </w:rPr>
              <w:t>交手</w:t>
            </w:r>
            <w:r>
              <w:rPr>
                <w:b w:val="false"/>
                <w:bCs w:val="false"/>
              </w:rPr>
              <w:t>/</w:t>
            </w:r>
            <w:r>
              <w:rPr>
                <w:b w:val="false"/>
                <w:bCs w:val="false"/>
              </w:rPr>
              <w:t>交互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-0.00039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-0.00022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几乎无增益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地图平均胜率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-0.00019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-0.00040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弱增益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地图级 </w:t>
            </w:r>
            <w:r>
              <w:rPr>
                <w:b w:val="false"/>
                <w:bCs w:val="false"/>
              </w:rPr>
              <w:t>Elo+veto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-0.00080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-0.00106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有效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选手阵容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-0.00003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+0.00025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无效</w:t>
            </w:r>
          </w:p>
        </w:tc>
      </w:tr>
      <w:tr>
        <w:trPr/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LR+Elo </w:t>
            </w:r>
            <w:r>
              <w:rPr>
                <w:b w:val="false"/>
                <w:bCs w:val="false"/>
              </w:rPr>
              <w:t>融合</w:t>
            </w:r>
          </w:p>
        </w:tc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+0.00006</w:t>
            </w:r>
          </w:p>
        </w:tc>
        <w:tc>
          <w:tcPr>
            <w:tcW w:w="2266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-0.00006</w:t>
            </w:r>
          </w:p>
        </w:tc>
        <w:tc>
          <w:tcPr>
            <w:tcW w:w="2270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无效</w:t>
            </w:r>
          </w:p>
        </w:tc>
      </w:tr>
    </w:tbl>
    <w:p>
      <w:pPr>
        <w:pStyle w:val="Heading2"/>
        <w:ind w:hanging="0"/>
        <w:rPr/>
      </w:pPr>
      <w:bookmarkStart w:id="46" w:name="__RefHeading___Toc6158_2302016644"/>
      <w:bookmarkStart w:id="47" w:name="_Toc24"/>
      <w:bookmarkEnd w:id="46"/>
      <w:r>
        <w:rPr>
          <w:rFonts w:eastAsia="SimHei"/>
          <w:b/>
          <w:bCs/>
          <w:i w:val="false"/>
          <w:iCs w:val="false"/>
        </w:rPr>
        <w:t xml:space="preserve">5.4 </w:t>
      </w:r>
      <w:r>
        <w:rPr>
          <w:rFonts w:ascii="Cambria Math" w:hAnsi="Cambria Math"/>
          <w:b/>
          <w:bCs/>
          <w:i w:val="false"/>
          <w:iCs w:val="false"/>
        </w:rPr>
        <w:t>结果分析</w:t>
      </w:r>
      <w:bookmarkEnd w:id="47"/>
    </w:p>
    <w:p>
      <w:pPr>
        <w:pStyle w:val="Normal"/>
        <w:rPr/>
      </w:pPr>
      <w:r>
        <w:rPr/>
        <w:t xml:space="preserve">实验表明，从 </w:t>
      </w:r>
      <w:r>
        <w:rPr/>
        <w:t xml:space="preserve">Elo </w:t>
      </w:r>
      <w:r>
        <w:rPr/>
        <w:t xml:space="preserve">基线到 </w:t>
      </w:r>
      <w:r>
        <w:rPr/>
        <w:t xml:space="preserve">20 </w:t>
      </w:r>
      <w:r>
        <w:rPr/>
        <w:t xml:space="preserve">维特征模型带来约 </w:t>
      </w:r>
      <w:r>
        <w:rPr/>
        <w:t xml:space="preserve">0.007 </w:t>
      </w:r>
      <w:r>
        <w:rPr/>
        <w:t xml:space="preserve">的下降，地图级特征再带来约 </w:t>
      </w:r>
      <w:r>
        <w:rPr/>
        <w:t>0.001</w:t>
      </w:r>
      <w:r>
        <w:rPr/>
        <w:t xml:space="preserve">，此后各类尝试均停留在 </w:t>
      </w:r>
      <w:r>
        <w:rPr/>
        <w:t xml:space="preserve">0.0003 </w:t>
      </w:r>
      <w:r>
        <w:rPr/>
        <w:t>量级。原因在于：</w:t>
      </w:r>
    </w:p>
    <w:p>
      <w:pPr>
        <w:pStyle w:val="Normal"/>
        <w:rPr/>
      </w:pPr>
      <w:r>
        <w:rPr/>
        <w:t xml:space="preserve">第一，多数新增信息与 </w:t>
      </w:r>
      <w:r>
        <w:rPr/>
        <w:t xml:space="preserve">Elo </w:t>
      </w:r>
      <w:r>
        <w:rPr/>
        <w:t xml:space="preserve">高度相关。地图胜率、选手数据都在很大程度上反映队伍强弱，去掉 </w:t>
      </w:r>
      <w:r>
        <w:rPr/>
        <w:t xml:space="preserve">Elo </w:t>
      </w:r>
      <w:r>
        <w:rPr/>
        <w:t>已解释的部分后残差很小。</w:t>
      </w:r>
    </w:p>
    <w:p>
      <w:pPr>
        <w:pStyle w:val="Normal"/>
        <w:rPr/>
      </w:pPr>
      <w:r>
        <w:rPr/>
        <w:t>第二，选手级特征以滚动均值形式进入模型，无法表达「谁上场」这一稀疏但关键的事件，因此增益接近于零。</w:t>
      </w:r>
    </w:p>
    <w:p>
      <w:pPr>
        <w:pStyle w:val="Normal"/>
        <w:rPr/>
      </w:pPr>
      <w:r>
        <w:rPr/>
        <w:t xml:space="preserve">第三，地图级模型在单图层面确有显著改进（单图对数损失由 </w:t>
      </w:r>
      <w:r>
        <w:rPr/>
        <w:t xml:space="preserve">0.743 </w:t>
      </w:r>
      <w:r>
        <w:rPr/>
        <w:t xml:space="preserve">降至 </w:t>
      </w:r>
      <w:r>
        <w:rPr/>
        <w:t>0.699</w:t>
      </w:r>
      <w:r>
        <w:rPr/>
        <w:t>），但该信息进入系列赛模型后被逻辑回归再次校准，最终对系列赛预测的贡献有限。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48" w:name="__RefHeading___Toc6160_2302016644"/>
      <w:bookmarkStart w:id="49" w:name="_Toc25"/>
      <w:bookmarkEnd w:id="48"/>
      <w:r>
        <w:rPr>
          <w:rFonts w:ascii="Cambria Math" w:hAnsi="Cambria Math"/>
          <w:b/>
          <w:bCs/>
          <w:i w:val="false"/>
          <w:iCs w:val="false"/>
        </w:rPr>
        <w:t>六、系统实现</w:t>
      </w:r>
      <w:bookmarkEnd w:id="49"/>
    </w:p>
    <w:p>
      <w:pPr>
        <w:pStyle w:val="Heading2"/>
        <w:ind w:hanging="0"/>
        <w:rPr/>
      </w:pPr>
      <w:bookmarkStart w:id="50" w:name="__RefHeading___Toc6162_2302016644"/>
      <w:bookmarkStart w:id="51" w:name="_Toc26"/>
      <w:bookmarkEnd w:id="50"/>
      <w:r>
        <w:rPr>
          <w:rFonts w:eastAsia="SimHei"/>
          <w:b/>
          <w:bCs/>
          <w:i w:val="false"/>
          <w:iCs w:val="false"/>
        </w:rPr>
        <w:t xml:space="preserve">6.1 </w:t>
      </w:r>
      <w:r>
        <w:rPr>
          <w:rFonts w:ascii="Cambria Math" w:hAnsi="Cambria Math"/>
          <w:b/>
          <w:bCs/>
          <w:i w:val="false"/>
          <w:iCs w:val="false"/>
        </w:rPr>
        <w:t>总体架构</w:t>
      </w:r>
      <w:bookmarkEnd w:id="51"/>
    </w:p>
    <w:p>
      <w:pPr>
        <w:pStyle w:val="Normal"/>
        <w:rPr/>
      </w:pPr>
      <w:r>
        <w:rPr/>
        <w:t>系统分为数据层、特征层、模型层与服务层。数据层负责多源采集、去重与归一；特征层按比赛回放生成特征矩阵；模型层完成训练、校准与持久化；服务层提供命令行、</w:t>
      </w:r>
      <w:r>
        <w:rPr/>
        <w:t xml:space="preserve">HTTP </w:t>
      </w:r>
      <w:r>
        <w:rPr/>
        <w:t>接口与可视化界面。</w:t>
      </w:r>
    </w:p>
    <w:p>
      <w:pPr>
        <w:pStyle w:val="Normal"/>
        <w:rPr/>
      </w:pPr>
      <w:r>
        <w:rPr/>
        <w:t xml:space="preserve">图 </w:t>
      </w:r>
      <w:r>
        <w:rPr/>
        <w:t xml:space="preserve">1 </w:t>
      </w:r>
      <w:r>
        <w:rPr/>
        <w:t>系统预测界面</w:t>
      </w:r>
    </w:p>
    <w:p>
      <w:pPr>
        <w:pStyle w:val="Normal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4381500" cy="2895600"/>
            <wp:effectExtent l="0" t="0" r="0" b="0"/>
            <wp:docPr id="1" name="dashboard.png" descr="dashboard.png&#10;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.png" descr="dashboard.png&#10;dashboard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ind w:hanging="0"/>
        <w:rPr/>
      </w:pPr>
      <w:bookmarkStart w:id="52" w:name="__RefHeading___Toc6164_2302016644"/>
      <w:bookmarkStart w:id="53" w:name="_Toc27"/>
      <w:bookmarkEnd w:id="52"/>
      <w:r>
        <w:rPr>
          <w:rFonts w:eastAsia="SimHei"/>
          <w:b/>
          <w:bCs/>
          <w:i w:val="false"/>
          <w:iCs w:val="false"/>
        </w:rPr>
        <w:t xml:space="preserve">6.2 </w:t>
      </w:r>
      <w:r>
        <w:rPr>
          <w:rFonts w:ascii="Cambria Math" w:hAnsi="Cambria Math"/>
          <w:b/>
          <w:bCs/>
          <w:i w:val="false"/>
          <w:iCs w:val="false"/>
        </w:rPr>
        <w:t>命令行与接口</w:t>
      </w:r>
      <w:bookmarkEnd w:id="53"/>
    </w:p>
    <w:p>
      <w:pPr>
        <w:pStyle w:val="Normal"/>
        <w:rPr/>
      </w:pPr>
      <w:r>
        <w:rPr/>
        <w:t>命令行提供数据导入、回测、训练、预测、抓取、每日更新等子命令。</w:t>
      </w:r>
      <w:r>
        <w:rPr/>
        <w:t xml:space="preserve">HTTP </w:t>
      </w:r>
      <w:r>
        <w:rPr/>
        <w:t xml:space="preserve">接口包括预测、战队排行、数据统计与新闻列表四类，均为只读接口，返回 </w:t>
      </w:r>
      <w:r>
        <w:rPr/>
        <w:t>JSON</w:t>
      </w:r>
      <w:r>
        <w:rPr/>
        <w:t>。</w:t>
      </w:r>
    </w:p>
    <w:p>
      <w:pPr>
        <w:pStyle w:val="Heading2"/>
        <w:ind w:hanging="0"/>
        <w:rPr/>
      </w:pPr>
      <w:bookmarkStart w:id="54" w:name="__RefHeading___Toc6166_2302016644"/>
      <w:bookmarkStart w:id="55" w:name="_Toc28"/>
      <w:bookmarkEnd w:id="54"/>
      <w:r>
        <w:rPr>
          <w:rFonts w:eastAsia="SimHei"/>
          <w:b/>
          <w:bCs/>
          <w:i w:val="false"/>
          <w:iCs w:val="false"/>
        </w:rPr>
        <w:t xml:space="preserve">6.3 </w:t>
      </w:r>
      <w:r>
        <w:rPr>
          <w:rFonts w:ascii="Cambria Math" w:hAnsi="Cambria Math"/>
          <w:b/>
          <w:bCs/>
          <w:i w:val="false"/>
          <w:iCs w:val="false"/>
        </w:rPr>
        <w:t>可视化界面</w:t>
      </w:r>
      <w:bookmarkEnd w:id="55"/>
    </w:p>
    <w:p>
      <w:pPr>
        <w:pStyle w:val="Normal"/>
        <w:rPr/>
      </w:pPr>
      <w:r>
        <w:rPr/>
        <w:t>界面为单页应用，包含比赛预测、实力榜、新闻事件与数据概览四个模块。用户输入两支战队、赛制与可选的比赛日期即可得到胜率、</w:t>
      </w:r>
      <w:r>
        <w:rPr/>
        <w:t xml:space="preserve">95% </w:t>
      </w:r>
      <w:r>
        <w:rPr/>
        <w:t>置信区间、公平赔率与主要驱动因素；输入本金与市场赔率后，系统给出凯利下注建议、期望收益、回撤中位数与破产概率。</w:t>
      </w:r>
    </w:p>
    <w:p>
      <w:pPr>
        <w:pStyle w:val="Heading2"/>
        <w:ind w:hanging="0"/>
        <w:rPr/>
      </w:pPr>
      <w:bookmarkStart w:id="56" w:name="__RefHeading___Toc6168_2302016644"/>
      <w:bookmarkStart w:id="57" w:name="_Toc29"/>
      <w:bookmarkEnd w:id="56"/>
      <w:r>
        <w:rPr>
          <w:rFonts w:eastAsia="SimHei"/>
          <w:b/>
          <w:bCs/>
          <w:i w:val="false"/>
          <w:iCs w:val="false"/>
        </w:rPr>
        <w:t xml:space="preserve">6.4 </w:t>
      </w:r>
      <w:r>
        <w:rPr>
          <w:rFonts w:ascii="Cambria Math" w:hAnsi="Cambria Math"/>
          <w:b/>
          <w:bCs/>
          <w:i w:val="false"/>
          <w:iCs w:val="false"/>
        </w:rPr>
        <w:t>每日更新</w:t>
      </w:r>
      <w:bookmarkEnd w:id="57"/>
    </w:p>
    <w:p>
      <w:pPr>
        <w:pStyle w:val="Normal"/>
        <w:rPr/>
      </w:pPr>
      <w:r>
        <w:rPr/>
        <w:t>每日任务依次执行：抓取最新赛果、判断新增数量、必要时重训模型、写入当日报告。任务通过操作系统计划任务在固定时间触发，抓取失败时保留现有模型并记录原因。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58" w:name="__RefHeading___Toc6170_2302016644"/>
      <w:bookmarkStart w:id="59" w:name="_Toc30"/>
      <w:bookmarkEnd w:id="58"/>
      <w:r>
        <w:rPr>
          <w:rFonts w:ascii="Cambria Math" w:hAnsi="Cambria Math"/>
          <w:b/>
          <w:bCs/>
          <w:i w:val="false"/>
          <w:iCs w:val="false"/>
        </w:rPr>
        <w:t>七、局限与展望</w:t>
      </w:r>
      <w:bookmarkEnd w:id="59"/>
    </w:p>
    <w:p>
      <w:pPr>
        <w:pStyle w:val="Heading2"/>
        <w:ind w:hanging="0"/>
        <w:rPr/>
      </w:pPr>
      <w:bookmarkStart w:id="60" w:name="__RefHeading___Toc6172_2302016644"/>
      <w:bookmarkStart w:id="61" w:name="_Toc31"/>
      <w:bookmarkEnd w:id="60"/>
      <w:r>
        <w:rPr>
          <w:rFonts w:eastAsia="SimHei"/>
          <w:b/>
          <w:bCs/>
          <w:i w:val="false"/>
          <w:iCs w:val="false"/>
        </w:rPr>
        <w:t xml:space="preserve">7.1 </w:t>
      </w:r>
      <w:r>
        <w:rPr>
          <w:rFonts w:ascii="Cambria Math" w:hAnsi="Cambria Math"/>
          <w:b/>
          <w:bCs/>
          <w:i w:val="false"/>
          <w:iCs w:val="false"/>
        </w:rPr>
        <w:t>数据局限</w:t>
      </w:r>
      <w:bookmarkEnd w:id="61"/>
    </w:p>
    <w:p>
      <w:pPr>
        <w:pStyle w:val="Normal"/>
        <w:rPr/>
      </w:pPr>
      <w:r>
        <w:rPr/>
        <w:t xml:space="preserve">HLTV </w:t>
      </w:r>
      <w:r>
        <w:rPr/>
        <w:t xml:space="preserve">的详情页长期受到反爬限制，导致 </w:t>
      </w:r>
      <w:r>
        <w:rPr/>
        <w:t xml:space="preserve">2023 </w:t>
      </w:r>
      <w:r>
        <w:rPr/>
        <w:t xml:space="preserve">年以后的地图数据主要依赖第三方数据集，覆盖率约为 </w:t>
      </w:r>
      <w:r>
        <w:rPr/>
        <w:t>17%</w:t>
      </w:r>
      <w:r>
        <w:rPr/>
        <w:t>。新闻数据仅覆盖约五周，无法支撑跨期验证。赔率数据因缺乏公开来源而未能纳入评估。</w:t>
      </w:r>
    </w:p>
    <w:p>
      <w:pPr>
        <w:pStyle w:val="Heading2"/>
        <w:ind w:hanging="0"/>
        <w:rPr/>
      </w:pPr>
      <w:bookmarkStart w:id="62" w:name="__RefHeading___Toc6174_2302016644"/>
      <w:bookmarkStart w:id="63" w:name="_Toc32"/>
      <w:bookmarkEnd w:id="62"/>
      <w:r>
        <w:rPr>
          <w:rFonts w:eastAsia="SimHei"/>
          <w:b/>
          <w:bCs/>
          <w:i w:val="false"/>
          <w:iCs w:val="false"/>
        </w:rPr>
        <w:t xml:space="preserve">7.2 </w:t>
      </w:r>
      <w:r>
        <w:rPr>
          <w:rFonts w:ascii="Cambria Math" w:hAnsi="Cambria Math"/>
          <w:b/>
          <w:bCs/>
          <w:i w:val="false"/>
          <w:iCs w:val="false"/>
        </w:rPr>
        <w:t>模型局限</w:t>
      </w:r>
      <w:bookmarkEnd w:id="63"/>
    </w:p>
    <w:p>
      <w:pPr>
        <w:pStyle w:val="Normal"/>
        <w:rPr/>
      </w:pPr>
      <w:r>
        <w:rPr/>
        <w:t>模型假设队伍实力可由低维评分概括，难以表达版本更迭、地图池调整等结构性变化。</w:t>
      </w:r>
      <w:r>
        <w:rPr/>
        <w:t xml:space="preserve">veto </w:t>
      </w:r>
      <w:r>
        <w:rPr/>
        <w:t xml:space="preserve">模拟采用启发式规则而非真实 </w:t>
      </w:r>
      <w:r>
        <w:rPr/>
        <w:t xml:space="preserve">BP </w:t>
      </w:r>
      <w:r>
        <w:rPr/>
        <w:t>数据，对图池克制的刻画仍较粗糙。</w:t>
      </w:r>
    </w:p>
    <w:p>
      <w:pPr>
        <w:pStyle w:val="Heading2"/>
        <w:ind w:hanging="0"/>
        <w:rPr/>
      </w:pPr>
      <w:bookmarkStart w:id="64" w:name="__RefHeading___Toc6176_2302016644"/>
      <w:bookmarkStart w:id="65" w:name="_Toc33"/>
      <w:bookmarkEnd w:id="64"/>
      <w:r>
        <w:rPr>
          <w:rFonts w:eastAsia="SimHei"/>
          <w:b/>
          <w:bCs/>
          <w:i w:val="false"/>
          <w:iCs w:val="false"/>
        </w:rPr>
        <w:t xml:space="preserve">7.3 </w:t>
      </w:r>
      <w:r>
        <w:rPr>
          <w:rFonts w:ascii="Cambria Math" w:hAnsi="Cambria Math"/>
          <w:b/>
          <w:bCs/>
          <w:i w:val="false"/>
          <w:iCs w:val="false"/>
        </w:rPr>
        <w:t>未来工作</w:t>
      </w:r>
      <w:bookmarkEnd w:id="65"/>
    </w:p>
    <w:p>
      <w:pPr>
        <w:pStyle w:val="Normal"/>
        <w:rPr/>
      </w:pPr>
      <w:r>
        <w:rPr/>
        <w:t xml:space="preserve">后续工作可从三方面展开：一是接入真实收盘赔率，计算 </w:t>
      </w:r>
      <w:r>
        <w:rPr/>
        <w:t xml:space="preserve">CLV </w:t>
      </w:r>
      <w:r>
        <w:rPr/>
        <w:t>与投资回报率，验证模型是否具备实际优势；二是积累更长时间跨度的新闻事件，检验阵容变动信息的价值；三是引入贝叶斯分层模型，用后验分布替代点估计，使低样本比赛的预测更保守。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66" w:name="__RefHeading___Toc6178_2302016644"/>
      <w:bookmarkStart w:id="67" w:name="_Toc34"/>
      <w:bookmarkEnd w:id="66"/>
      <w:r>
        <w:rPr>
          <w:rFonts w:ascii="Cambria Math" w:hAnsi="Cambria Math"/>
          <w:b/>
          <w:bCs/>
          <w:i w:val="false"/>
          <w:iCs w:val="false"/>
        </w:rPr>
        <w:t>八、结论</w:t>
      </w:r>
      <w:bookmarkEnd w:id="67"/>
    </w:p>
    <w:p>
      <w:pPr>
        <w:pStyle w:val="Normal"/>
        <w:rPr/>
      </w:pPr>
      <w:r>
        <w:rPr/>
        <w:t xml:space="preserve">本文实现了一套面向 </w:t>
      </w:r>
      <w:r>
        <w:rPr/>
        <w:t xml:space="preserve">CS2 </w:t>
      </w:r>
      <w:r>
        <w:rPr/>
        <w:t xml:space="preserve">职业比赛的胜率预测与赔率生成系统，在严格的时间切分下将对数损失由 </w:t>
      </w:r>
      <w:r>
        <w:rPr/>
        <w:t xml:space="preserve">0.6290 </w:t>
      </w:r>
      <w:r>
        <w:rPr/>
        <w:t xml:space="preserve">降至 </w:t>
      </w:r>
      <w:r>
        <w:rPr/>
        <w:t>0.6211</w:t>
      </w:r>
      <w:r>
        <w:rPr/>
        <w:t>，并提供了完整的数据、模型与服务链路。实验表明，特征工程与地图级建模能带来稳定但有限的增益，而模型结构的选择并非瓶颈。对于以投注为目标的实际应用，赔率数据的获取与评估比继续优化模型更为关键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68" w:name="__RefHeading___Toc6180_2302016644"/>
      <w:bookmarkStart w:id="69" w:name="_Toc35"/>
      <w:bookmarkEnd w:id="68"/>
      <w:r>
        <w:rPr>
          <w:rFonts w:ascii="Cambria Math" w:hAnsi="Cambria Math"/>
          <w:b/>
          <w:bCs/>
          <w:i w:val="false"/>
          <w:iCs w:val="false"/>
        </w:rPr>
        <w:t>参考文献</w:t>
      </w:r>
      <w:bookmarkEnd w:id="69"/>
    </w:p>
    <w:p>
      <w:pPr>
        <w:pStyle w:val="Reference"/>
        <w:numPr>
          <w:ilvl w:val="0"/>
          <w:numId w:val="3"/>
        </w:numPr>
        <w:rPr/>
      </w:pPr>
      <w:r>
        <w:rPr/>
        <w:t>ELO A E. The rating of chessplayers, past and present[M]. New York: Arco Publishing, 1978: 1-206.</w:t>
      </w:r>
    </w:p>
    <w:p>
      <w:pPr>
        <w:pStyle w:val="Reference"/>
        <w:numPr>
          <w:ilvl w:val="0"/>
          <w:numId w:val="1"/>
        </w:numPr>
        <w:rPr/>
      </w:pPr>
      <w:r>
        <w:rPr/>
        <w:t>GLICKMAN M E. The Glicko system[EB/OL]. (1995-01-01)[2026-10-27]. http://www.glicko.net/glicko.html.</w:t>
      </w:r>
    </w:p>
    <w:p>
      <w:pPr>
        <w:pStyle w:val="Reference"/>
        <w:numPr>
          <w:ilvl w:val="0"/>
          <w:numId w:val="1"/>
        </w:numPr>
        <w:rPr/>
      </w:pPr>
      <w:r>
        <w:rPr/>
        <w:t>GNEITING T, RAFTERY A E. Strictly proper scoring rules, prediction, and estimation[J]. Journal of the American Statistical Association, 2007, 102(477): 359-378.</w:t>
      </w:r>
    </w:p>
    <w:p>
      <w:pPr>
        <w:pStyle w:val="Reference"/>
        <w:numPr>
          <w:ilvl w:val="0"/>
          <w:numId w:val="1"/>
        </w:numPr>
        <w:rPr/>
      </w:pPr>
      <w:r>
        <w:rPr/>
        <w:t>KELLY J L. A new interpretation of information rate[J]. Bell System Technical Journal, 1956, 35(4): 917-926.</w:t>
      </w:r>
    </w:p>
    <w:p>
      <w:pPr>
        <w:pStyle w:val="Reference"/>
        <w:numPr>
          <w:ilvl w:val="0"/>
          <w:numId w:val="1"/>
        </w:numPr>
        <w:rPr/>
      </w:pPr>
      <w:r>
        <w:rPr/>
        <w:t>PLATT J. Probabilistic outputs for support vector machines and comparisons to regularized likelihood methods[C]//Advances in Large Margin Classifiers. Cambridge: MIT Press, 1999: 61-74.</w:t>
      </w:r>
    </w:p>
    <w:p>
      <w:pPr>
        <w:pStyle w:val="Reference"/>
        <w:numPr>
          <w:ilvl w:val="0"/>
          <w:numId w:val="1"/>
        </w:numPr>
        <w:rPr/>
      </w:pPr>
      <w:r>
        <w:rPr/>
        <w:t>PEDREGOSA F, VAROQUAUX G, GRAMFORT A, et al. Scikit-learn: machine learning in Python[J]. Journal of Machine Learning Research, 2011, 12: 2825-2830.</w:t>
      </w:r>
    </w:p>
    <w:p>
      <w:pPr>
        <w:pStyle w:val="Reference"/>
        <w:numPr>
          <w:ilvl w:val="0"/>
          <w:numId w:val="1"/>
        </w:numPr>
        <w:rPr/>
      </w:pPr>
      <w:r>
        <w:rPr/>
        <w:t>周志华</w:t>
      </w:r>
      <w:r>
        <w:rPr/>
        <w:t xml:space="preserve">. </w:t>
      </w:r>
      <w:r>
        <w:rPr/>
        <w:t>机器学习</w:t>
      </w:r>
      <w:r>
        <w:rPr/>
        <w:t xml:space="preserve">[M]. </w:t>
      </w:r>
      <w:r>
        <w:rPr/>
        <w:t>北京</w:t>
      </w:r>
      <w:r>
        <w:rPr/>
        <w:t xml:space="preserve">: </w:t>
      </w:r>
      <w:r>
        <w:rPr/>
        <w:t>清华大学出版社</w:t>
      </w:r>
      <w:r>
        <w:rPr/>
        <w:t>, 2016: 1-425.</w:t>
      </w:r>
    </w:p>
    <w:p>
      <w:pPr>
        <w:pStyle w:val="Reference"/>
        <w:numPr>
          <w:ilvl w:val="0"/>
          <w:numId w:val="1"/>
        </w:numPr>
        <w:rPr/>
      </w:pPr>
      <w:r>
        <w:rPr/>
        <w:t>HLTV. Counter-Strike news and matches[EB/OL]. [2026-10-27]. https://www.hltv.org.</w:t>
      </w:r>
    </w:p>
    <w:p>
      <w:pPr>
        <w:pStyle w:val="Reference"/>
        <w:numPr>
          <w:ilvl w:val="0"/>
          <w:numId w:val="1"/>
        </w:numPr>
        <w:rPr/>
      </w:pPr>
      <w:r>
        <w:rPr/>
        <w:t>Liquipedia. Counter-Strike[EB/OL]. [2026-10-27]. https://liquipedia.net/counterstrike.</w:t>
      </w:r>
    </w:p>
    <w:p>
      <w:pPr>
        <w:pStyle w:val="Reference"/>
        <w:numPr>
          <w:ilvl w:val="0"/>
          <w:numId w:val="1"/>
        </w:numPr>
        <w:rPr/>
      </w:pPr>
      <w:r>
        <w:rPr/>
        <w:t>Kaggle. Counter-Strike pro matches[EB/OL]. (2026-10-24)[2026-10-27]. https://www.kaggle.com/datasets/ektarr/counter-strike-pro-matches.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8" w:right="1418" w:gutter="0" w:header="0" w:top="1418" w:footer="708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 Math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[%1]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 Math" w:hAnsi="Cambria Math" w:eastAsia="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40" w:before="0" w:after="0"/>
      <w:ind w:firstLine="480"/>
      <w:jc w:val="left"/>
    </w:pPr>
    <w:rPr>
      <w:rFonts w:ascii="Cambria Math" w:hAnsi="Cambria Math" w:eastAsia="SimSun" w:cs="Lucida 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auto" w:line="288"/>
      <w:ind w:hanging="0"/>
      <w:jc w:val="center"/>
      <w:outlineLvl w:val="0"/>
    </w:pPr>
    <w:rPr>
      <w:rFonts w:ascii="Cambria Math" w:hAnsi="Cambria Math" w:eastAsia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lineRule="auto" w:line="360" w:before="120" w:after="120"/>
      <w:ind w:hanging="0"/>
      <w:jc w:val="left"/>
      <w:outlineLvl w:val="1"/>
    </w:pPr>
    <w:rPr>
      <w:rFonts w:ascii="Cambria Math" w:hAnsi="Cambria Math" w:eastAsia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lineRule="auto" w:line="360" w:before="120" w:after="120"/>
      <w:ind w:hanging="0"/>
      <w:jc w:val="left"/>
      <w:outlineLvl w:val="2"/>
    </w:pPr>
    <w:rPr>
      <w:rFonts w:ascii="Cambria Math" w:hAnsi="Cambria Math" w:eastAsia="Sim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脚注符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Style9">
    <w:name w:val="尾注符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character" w:styleId="Style10">
    <w:name w:val="索引链接"/>
    <w:rPr/>
  </w:style>
  <w:style w:type="paragraph" w:styleId="Style11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索引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igureCaption">
    <w:name w:val="Figure Caption"/>
    <w:basedOn w:val="Normal"/>
    <w:pPr>
      <w:spacing w:lineRule="auto" w:line="240" w:before="120" w:after="60"/>
      <w:ind w:hanging="0"/>
      <w:jc w:val="center"/>
    </w:pPr>
    <w:rPr>
      <w:rFonts w:ascii="Cambria Math" w:hAnsi="Cambria Math" w:eastAsia="SimSun"/>
      <w:b/>
      <w:bCs/>
      <w:sz w:val="22"/>
      <w:szCs w:val="22"/>
    </w:rPr>
  </w:style>
  <w:style w:type="paragraph" w:styleId="TableCaption">
    <w:name w:val="Table Caption"/>
    <w:basedOn w:val="Normal"/>
    <w:pPr>
      <w:spacing w:lineRule="auto" w:line="240" w:before="120" w:after="60"/>
      <w:ind w:hanging="0"/>
      <w:jc w:val="center"/>
    </w:pPr>
    <w:rPr>
      <w:rFonts w:ascii="Cambria Math" w:hAnsi="Cambria Math" w:eastAsia="SimSun"/>
      <w:b/>
      <w:bCs/>
      <w:sz w:val="22"/>
      <w:szCs w:val="22"/>
    </w:rPr>
  </w:style>
  <w:style w:type="paragraph" w:styleId="Reference">
    <w:name w:val="Reference"/>
    <w:basedOn w:val="Normal"/>
    <w:pPr>
      <w:spacing w:lineRule="auto" w:line="240"/>
      <w:ind w:hanging="0" w:left="480"/>
    </w:pPr>
    <w:rPr>
      <w:rFonts w:ascii="Cambria Math" w:hAnsi="Cambria Math" w:eastAsia="SimSun"/>
      <w:sz w:val="24"/>
      <w:szCs w:val="24"/>
    </w:rPr>
  </w:style>
  <w:style w:type="paragraph" w:styleId="TOC1">
    <w:name w:val="toc 1"/>
    <w:basedOn w:val="Style12"/>
    <w:pPr/>
    <w:rPr/>
  </w:style>
  <w:style w:type="paragraph" w:styleId="TOC2">
    <w:name w:val="toc 2"/>
    <w:basedOn w:val="Style12"/>
    <w:pPr/>
    <w:rPr/>
  </w:style>
  <w:style w:type="paragraph" w:styleId="Style13">
    <w:name w:val="页眉与页脚"/>
    <w:basedOn w:val="Normal"/>
    <w:pPr/>
    <w:rPr/>
  </w:style>
  <w:style w:type="paragraph" w:styleId="Footer">
    <w:name w:val="footer"/>
    <w:basedOn w:val="Style13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2026-10-27T17:07:30Z</dcterms:created>
  <dc:creator>Un-named</dc:creator>
  <dc:description/>
  <dc:language>zh-CN</dc:language>
  <cp:lastModifiedBy/>
  <dcterms:modified xsi:type="dcterms:W3CDTF">2026-10-28T01:07:39Z</dcterms:modified>
  <cp:revision>2</cp:revision>
  <dc:subject/>
  <dc:title/>
</cp:coreProperties>
</file>