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A Preliminary Whitepaper</w:t>
      </w:r>
    </w:p>
    <w:p>
      <w:pPr>
        <w:pStyle w:val="Subtitle"/>
      </w:pPr>
      <w:r>
        <w:t xml:space="preserve">Designing an Agent-Based Market with JaCaMo: Supply, Price Discovery, and the Institutional Layer</w:t>
      </w:r>
    </w:p>
    <w:p>
      <w:pPr>
        <w:pStyle w:val="Meta"/>
      </w:pPr>
      <w:r>
        <w:t xml:space="preserve">Status: Preliminary draft, revision 5. Internal review only. Not for external publication.</w:t>
      </w:r>
    </w:p>
    <w:p>
      <w:pPr>
        <w:pStyle w:val="Meta"/>
      </w:pPr>
      <w:r>
        <w:t xml:space="preserve">Note on revision 5: fourteen replicated runs, correcting one claim that revision 4 stated as structural. Total household spending and units sold are schedule-dependent, ranging from 351.25 to 429.83 and from 38 to 46 across fourteen runs, and the profit figures in Section 7.12 are one run's observations. The monetary identities remain exact in every run. Exit timing is not reproducible: firm_c retires in all fourteen runs but at one of two widely separated regimes, firm_b in five, and firm_a in one, giving ten distinct exit patterns. Revision 4 also misstated the opening-capital episode as 9 units of minted cash where the tested parameter created 21.6. Two defects were found and fixed during this revision: the exit grace period was off by a round because arrears were read after the payment attempt, and the replication harness reported runs as complete before their closing report was written. Sections 7.13 and 7.14 document both.</w:t>
      </w:r>
    </w:p>
    <w:p>
      <w:pPr>
        <w:pStyle w:val="Meta"/>
      </w:pPr>
      <w:r>
        <w:t xml:space="preserve">Subject: The town simulation (JaCaMo 1.3.1, Moise os-version 1.1, Jason 3.3.2).</w:t>
      </w:r>
    </w:p>
    <w:p>
      <w:pPr>
        <w:pStyle w:val="Meta"/>
      </w:pPr>
      <w:r>
        <w:t xml:space="preserve">Note on revision 4: producer revenue, production-cost accounting, payroll, and firm exit are implemented and verified against a complete 30-round run. Households now pay the firm that served them; firms pay labor cost, overhead, and a dividend of profit back to the households; a firm whose unpaid obligations exceed two rounds of overhead retires from the market. The circuit is closed, demand no longer terminates, and the money total remains exactly 360. Section 7.11 documents the change and the accounting error it initially introduced. Figures in earlier revision notes describe earlier drafts and are superseded.</w:t>
      </w:r>
    </w:p>
    <w:p>
      <w:pPr>
        <w:pStyle w:val="Meta"/>
      </w:pPr>
      <w:r>
        <w:t xml:space="preserve">Note on revision 2: figures updated from a complete 30-round run. Two previously unstated corrections are incorporated: unmet orders do not indicate aggregate scarcity, and the money total is conserved for the wrong reason. Two open defects discovered by that run are documented in Section 7.9 and carried in Section 8.3.</w:t>
      </w:r>
    </w:p>
    <w:p>
      <w:pPr>
        <w:pStyle w:val="Body"/>
      </w:pPr>
      <w:r>
        <w:t xml:space="preserve">This document describes the objectives, operation, and intended pedagogical use of a small agent-based economic simulation implemented in JaCaMo. It is a working draft: the software runs and its behaviour has been observed, but the model is deliberately incomplete, and this paper records both what has been shown and what has not.</w:t>
      </w:r>
    </w:p>
    <w:p>
      <w:pPr>
        <w:pStyle w:val="Heading1"/>
      </w:pPr>
      <w:r>
        <w:t xml:space="preserve">1. Abstract</w:t>
      </w:r>
    </w:p>
    <w:p>
      <w:pPr>
        <w:pStyle w:val="Body"/>
      </w:pPr>
      <w:r>
        <w:t xml:space="preserve">We describe a minimal agent-based model of a spot market. Three producer agents and six consumer agents meet in a shared environment that maintains an order book, matches orders, and publishes a price. Producers quote prices by undercutting the current lowest offer; consumers post orders against their reservation prices. The simulation is implemented in JaCaMo, a platform that separates three concerns usually conflated in agent-based work: the reasoning layer (Jason), the physical environment and its shared artifacts (CArtAgO), and the institutional layer that specifies roles, obligations, and permissions (Moise).</w:t>
      </w:r>
    </w:p>
    <w:p>
      <w:pPr>
        <w:pStyle w:val="Body"/>
      </w:pPr>
      <w:r>
        <w:t xml:space="preserve">We report the observed behaviour of the model over thirty rounds. The published price falls from 13.5 to a floor of 7.5 and stabilises there. That floor is the cost floor of the lowest-cost producer, so it is a market outcome that no individual agent computes. Money is conserved at exactly 360 units in every round. Three observations matter more than the price series itself. First, the model is now closed: households pay the firm that served them, firms pay their production costs and a dividend of profit back to the households, and demand no longer terminates. Second, and less comfortably, the wage base had to be set on profit rather than revenue, because a revenue-based wage looks identical in the aggregate and quietly converts the town into a machine for transferring household endowments to firms while conserving money perfectly throughout. Third, the first complete run satisfied every health check the project defined and was nevertheless wrong, and so was the first version of the wage mechanism. Both defects and both repairs are reported in full, because the transferable lesson is the method that found them: compute two quantities that ought to agree, and check that they do.</w:t>
      </w:r>
    </w:p>
    <w:p>
      <w:pPr>
        <w:pStyle w:val="Body"/>
      </w:pPr>
      <w:r>
        <w:t xml:space="preserve">We further argue that the institutional layer must be introduced only after the monetary flow is correct, and that a declared norm has no effect until an agent adopts the scheme and the environment provides an operation for the norm to act upon.</w:t>
      </w:r>
    </w:p>
    <w:p>
      <w:pPr>
        <w:pStyle w:val="Heading1"/>
      </w:pPr>
      <w:r>
        <w:t xml:space="preserve">2. Objectives</w:t>
      </w:r>
    </w:p>
    <w:p>
      <w:pPr>
        <w:pStyle w:val="Heading2"/>
      </w:pPr>
      <w:r>
        <w:t xml:space="preserve">2.1 Primary objectives</w:t>
      </w:r>
    </w:p>
    <w:p>
      <w:pPr>
        <w:pStyle w:val="Body"/>
      </w:pPr>
      <w:r>
        <w:t xml:space="preserve">The project has four objectives, ordered by priority.</w:t>
      </w:r>
    </w:p>
    <w:p>
      <w:pPr>
        <w:pStyle w:val="ListNum"/>
      </w:pPr>
      <w:r>
        <w:t xml:space="preserve">1. To build a runnable, inspectable agent-based market in which price is an emergent aggregate rather than a solver output. No agent in the model is told the market price. Each producer observes only the current lowest offer and decides locally; the price is whatever the matching rule publishes.</w:t>
      </w:r>
    </w:p>
    <w:p>
      <w:pPr>
        <w:pStyle w:val="ListNum"/>
      </w:pPr>
      <w:r>
        <w:t xml:space="preserve">2. To make the separation of concerns visible to the learner. The three layers of the platform are used deliberately: reasoning code lives in agent programs, shared state and operations live in environment artifacts, and institutional statements live in a separate specification file. A student can read each file and know exactly which layer it belongs to.</w:t>
      </w:r>
    </w:p>
    <w:p>
      <w:pPr>
        <w:pStyle w:val="ListNum"/>
      </w:pPr>
      <w:r>
        <w:t xml:space="preserve">3. To treat verification as a first-class activity. The model is not considered working until a run completes with zero unhandled events, zero parse failures, and zero unexecutable intentions. These are counted explicitly, not assumed.</w:t>
      </w:r>
    </w:p>
    <w:p>
      <w:pPr>
        <w:pStyle w:val="ListNum"/>
      </w:pPr>
      <w:r>
        <w:t xml:space="preserve">4. To produce a platform on which later topics can be added without modifying the market artifact: taxation, market power, employment, and collective behaviour.</w:t>
      </w:r>
    </w:p>
    <w:p>
      <w:pPr>
        <w:pStyle w:val="Heading2"/>
      </w:pPr>
      <w:r>
        <w:t xml:space="preserve">2.2 Secondary objectives</w:t>
      </w:r>
    </w:p>
    <w:p>
      <w:pPr>
        <w:pStyle w:val="ListNum"/>
      </w:pPr>
      <w:r>
        <w:t xml:space="preserve">1. To make the model auditable from outside the source. Console output is designed to be readable as a price and quantity series without instrumentation code.</w:t>
      </w:r>
    </w:p>
    <w:p>
      <w:pPr>
        <w:pStyle w:val="ListNum"/>
      </w:pPr>
      <w:r>
        <w:t xml:space="preserve">2. To document the failure modes encountered during construction, because they are the parts of agent-based modelling that textbooks omit.</w:t>
      </w:r>
    </w:p>
    <w:p>
      <w:pPr>
        <w:pStyle w:val="Heading1"/>
      </w:pPr>
      <w:r>
        <w:t xml:space="preserve">3. Scope and non-goals</w:t>
      </w:r>
    </w:p>
    <w:p>
      <w:pPr>
        <w:pStyle w:val="Body"/>
      </w:pPr>
      <w:r>
        <w:t xml:space="preserve">The following are explicitly out of scope for the current version.</w:t>
      </w:r>
    </w:p>
    <w:p>
      <w:pPr>
        <w:pStyle w:val="ListNum"/>
      </w:pPr>
      <w:r>
        <w:t xml:space="preserve">1. Equilibrium computation. The model does not solve for a general equilibrium and makes no claim of optimality.</w:t>
      </w:r>
    </w:p>
    <w:p>
      <w:pPr>
        <w:pStyle w:val="ListNum"/>
      </w:pPr>
      <w:r>
        <w:t xml:space="preserve">2. Utility maximisation. Consumers act on a reservation-price threshold, not on a computed utility function. Producers apply a fixed undercutting rule.</w:t>
      </w:r>
    </w:p>
    <w:p>
      <w:pPr>
        <w:pStyle w:val="ListNum"/>
      </w:pPr>
      <w:r>
        <w:t xml:space="preserve">3. Firm entry. Firms exist because the project file declares them. Nothing in the model decides that a firm should be created, only that an existing firm should cease trading.</w:t>
      </w:r>
    </w:p>
    <w:p>
      <w:pPr>
        <w:pStyle w:val="ListNum"/>
      </w:pPr>
      <w:r>
        <w:t xml:space="preserve">4. Income beyond wages. Households earn wages and dividends, which is what closes the circuit, but the town has no state, no credit market, and no transfers other than wages, rent, and dividends. There is no labour contract, no unemployment, and no distinction between households that work and households that do not.</w:t>
      </w:r>
    </w:p>
    <w:p>
      <w:pPr>
        <w:pStyle w:val="ListNum"/>
      </w:pPr>
      <w:r>
        <w:t xml:space="preserve">5. Statistical inference. Fourteen runs were executed and their monetary identities are exact across all of them, but exit timing is not reproducible and no exit round is reported as a finding. The timing of the settling window introduces genuine nondeterminism, discussed in Section 7.5.</w:t>
      </w:r>
    </w:p>
    <w:p>
      <w:pPr>
        <w:pStyle w:val="Heading1"/>
      </w:pPr>
      <w:r>
        <w:t xml:space="preserve">4. Background: the three layers</w:t>
      </w:r>
    </w:p>
    <w:p>
      <w:pPr>
        <w:pStyle w:val="Body"/>
      </w:pPr>
      <w:r>
        <w:t xml:space="preserve">JaCaMo is useful for teaching because it refuses to let these layers blur into one another.</w:t>
      </w:r>
    </w:p>
    <w:p>
      <w:pPr>
        <w:pStyle w:val="Heading2"/>
      </w:pPr>
      <w:r>
        <w:t xml:space="preserve">4.1 Jason: the reasoning layer</w:t>
      </w:r>
    </w:p>
    <w:p>
      <w:pPr>
        <w:pStyle w:val="Body"/>
      </w:pPr>
      <w:r>
        <w:t xml:space="preserve">Jason is the agent programming language. An agent is a set of beliefs, intentions, and rules that responds to events. The platform supplies the runtime; the reasoning is written by the modeller. In this project each firm, household, and the timekeeper is an AgentSpeak program.</w:t>
      </w:r>
    </w:p>
    <w:p>
      <w:pPr>
        <w:pStyle w:val="Heading2"/>
      </w:pPr>
      <w:r>
        <w:t xml:space="preserve">4.2 CArtAgO: the physical layer</w:t>
      </w:r>
    </w:p>
    <w:p>
      <w:pPr>
        <w:pStyle w:val="Body"/>
      </w:pPr>
      <w:r>
        <w:t xml:space="preserve">CArtAgO supplies the shared artifacts that agents read and operate on: the market and the ledger. An artifact exposes operations and observable properties. Agents never hold direct references to another agent's state; they perceive through artifacts, which makes the coupling explicit and the state inspectable.</w:t>
      </w:r>
    </w:p>
    <w:p>
      <w:pPr>
        <w:pStyle w:val="Heading2"/>
      </w:pPr>
      <w:r>
        <w:t xml:space="preserve">4.3 Moise: the institutional layer</w:t>
      </w:r>
    </w:p>
    <w:p>
      <w:pPr>
        <w:pStyle w:val="Body"/>
      </w:pPr>
      <w:r>
        <w:t xml:space="preserve">Moise describes an organisation as a specification: structural elements (roles, groups, and cardinality constraints), functional elements (schemes, which are goals decomposed into plans and missions), and normative elements (obligations, permissions, and prohibitions, attached to a role and a mission). The mechanism by which Moise reaches an agent is worth stating precisely, because it is not self-evident from the specification file. The runtime emits an obligation event to the agent; an obedient agent responds by committing to a mission, by declaring the goal achieved, and, where the obligation is withdrawn, by dropping the corresponding intention. Moise does not compute anything about the economy and never touches the market or the ledger. It decides who owes what.</w:t>
      </w:r>
    </w:p>
    <w:p>
      <w:pPr>
        <w:pStyle w:val="Body"/>
      </w:pPr>
      <w:r>
        <w:t xml:space="preserve">The critical and frequently misunderstood point is that a scheme has no effect until an agent commits to it. Declaring a goal and a norm in the specification file creates an intention-free document. In the current version, agents adopt a role but none adopts the trade scheme, so the declared obligations are never instantiated and the institutional layer is inert. This is a deliberate staging decision and it is discussed further in Section 8.</w:t>
      </w:r>
    </w:p>
    <w:p>
      <w:pPr>
        <w:pStyle w:val="Heading1"/>
      </w:pPr>
      <w:r>
        <w:t xml:space="preserve">5. Model description</w:t>
      </w:r>
    </w:p>
    <w:p>
      <w:pPr>
        <w:pStyle w:val="Heading2"/>
      </w:pPr>
      <w:r>
        <w:t xml:space="preserve">5.1 Agents</w:t>
      </w:r>
    </w:p>
    <w:p>
      <w:pPr>
        <w:pStyle w:val="ListNum"/>
      </w:pPr>
      <w:r>
        <w:t xml:space="preserve">1. Producers: three agents with unit costs of 7.0, 8.0, and 9.0 and capacity of one unit per round each. A producer quotes at the lowest current offer minus an undercutting increment of 0.5, bounded below by its own unit cost plus that increment. Each producer additionally holds two parameters introduced in revision 4: a fixed overhead of 0.5 charged every round whether or not it sells, and a wage share of 0.5 determining the fraction of positive profit returned to households as a dividend.</w:t>
      </w:r>
    </w:p>
    <w:p>
      <w:pPr>
        <w:pStyle w:val="ListNum"/>
      </w:pPr>
      <w:r>
        <w:t xml:space="preserve">2. Households: six agents, each endowed with 60 units of money at initialisation and holding a reservation price drawn from 14, 13, 12, 11, 9, and 8. A household posts an order when the prevailing price is at or below its reservation price, and pays the matched seller for the units it actually received.</w:t>
      </w:r>
    </w:p>
    <w:p>
      <w:pPr>
        <w:pStyle w:val="ListNum"/>
      </w:pPr>
      <w:r>
        <w:t xml:space="preserve">3. Timekeeper: a non-economic agent that opens each round, permits trading, allows settlement, closes the round, and reports the aggregate series.</w:t>
      </w:r>
    </w:p>
    <w:p>
      <w:pPr>
        <w:pStyle w:val="Heading2"/>
      </w:pPr>
      <w:r>
        <w:t xml:space="preserve">5.2 Environment</w:t>
      </w:r>
    </w:p>
    <w:p>
      <w:pPr>
        <w:pStyle w:val="ListNum"/>
      </w:pPr>
      <w:r>
        <w:t xml:space="preserve">1. Market artifact: maintains the order book, exposes the current price, round number, and book state, and publishes supply, demand, units sold, and unmet orders. The book state is observable as a string, and agents are required to check it before acting.</w:t>
      </w:r>
    </w:p>
    <w:p>
      <w:pPr>
        <w:pStyle w:val="ListNum"/>
      </w:pPr>
      <w:r>
        <w:t xml:space="preserve">2. Market artifact: maintains the order book, exposes the current price, round number, and book state, and publishes supply, demand, units sold, unmet orders, and the number of firms still trading. The book state is observable as a string, and agents are required to check it before acting. The artifact also records which seller served each buyer, and which firms have retired.</w:t>
      </w:r>
    </w:p>
    <w:p>
      <w:pPr>
        <w:pStyle w:val="ListNum"/>
      </w:pPr>
      <w:r>
        <w:t xml:space="preserve">3. Ledger artifact: holds accounts, performs transfers, maintains the roster of households eligible for wages, and reports total money in circulation. The ledger supplies the model's conservation constraint, and also carries each firm's unpaid obligations, which is what makes exit decidable. It should be noted that a passing conservation check is necessary but emphatically not sufficient. Section 7.4 describes a defect that left the money total perfectly conserved while the transfer mechanism underneath it was broken, and Section 7.11 describes an error that broke conservation while every price and quantity series looked entirely normal.</w:t>
      </w:r>
    </w:p>
    <w:p>
      <w:pPr>
        <w:pStyle w:val="Body"/>
      </w:pPr>
      <w:r>
        <w:t xml:space="preserve">Orders are matched richest reservation price first against cheapest offer first, and the published price is volume-weighted across matched trades. The effect of volume weighting is directly observable in the output: two rounds settle off the undercutting grid, at 8.25 and 7.75, because the published figure is a weighted average rather than any single agent's quote.</w:t>
      </w:r>
    </w:p>
    <w:p>
      <w:pPr>
        <w:pStyle w:val="Body"/>
      </w:pPr>
      <w:r>
        <w:t xml:space="preserve">One property of the implementation must be stated plainly, because it changes how the log should be read. A household that places an order pays the price it observed when it decided, which is the price settled at the close of the previous round. The price reported for round N in the timekeeper line is therefore the price at which buyers will transact in round N+1, not the price at which they transacted in round N. The reported series is offset by one round from the transactions it describes. This follows from committing to a posted price before the round's matching takes place, which is a defensible design, but it is a labelling hazard and it is not apparent from reading the output.</w:t>
      </w:r>
    </w:p>
    <w:p>
      <w:pPr>
        <w:pStyle w:val="Heading2"/>
      </w:pPr>
      <w:r>
        <w:t xml:space="preserve">5.4 The round protocol</w:t>
      </w:r>
    </w:p>
    <w:p>
      <w:pPr>
        <w:pStyle w:val="Body"/>
      </w:pPr>
      <w:r>
        <w:t xml:space="preserve">A round proceeds in four phases. The timekeeper opens the round, which resets the order book and the per-round counters, increments the round number, and signals that trading is open. Producers and households act on that signal. After the settling interval the timekeeper closes the round, at which point the order book is frozen, the aggregate quantities are published independently of one another, and settlement is signalled. Households then pay the firm that served them. The timekeeper waits again, and only then signals the separate payout phase in which firms pay their production costs and dividends to households. The second wait is load-bearing rather than decorative: a firm cannot pay wages out of revenue it has not yet received, and without the barrier a firm whose buyers were slow would attempt to pay from an empty account and report a bankruptcy that never occurred.</w:t>
      </w:r>
    </w:p>
    <w:p>
      <w:pPr>
        <w:pStyle w:val="Body"/>
      </w:pPr>
      <w:r>
        <w:t xml:space="preserve">The decision to open rounds by signal rather than by agents reacting to a perceived round number is not cosmetic. At initialisation every agent perceives the first round number, so a rule keyed on that perception fires during startup before any book state exists. The observed consequence was a class of null failures that looked like a dispatch problem in the platform but was a modelling error in the agent programs.</w:t>
      </w:r>
    </w:p>
    <w:p>
      <w:pPr>
        <w:pStyle w:val="Heading1"/>
      </w:pPr>
      <w:r>
        <w:t xml:space="preserve">6. How to use the simulation</w:t>
      </w:r>
    </w:p>
    <w:p>
      <w:pPr>
        <w:pStyle w:val="Heading2"/>
      </w:pPr>
      <w:r>
        <w:t xml:space="preserve">6.1 Requirements</w:t>
      </w:r>
    </w:p>
    <w:p>
      <w:pPr>
        <w:pStyle w:val="ListNum"/>
      </w:pPr>
      <w:r>
        <w:t xml:space="preserve">1. A Java Development Kit, version 21 or later. The build is configured for a modern JDK and does not run on older releases.</w:t>
      </w:r>
    </w:p>
    <w:p>
      <w:pPr>
        <w:pStyle w:val="ListNum"/>
      </w:pPr>
      <w:r>
        <w:t xml:space="preserve">2. No other installation. The Gradle wrapper resolves the platform dependencies on the first build, after which the project runs offline.</w:t>
      </w:r>
    </w:p>
    <w:p>
      <w:pPr>
        <w:pStyle w:val="Heading2"/>
      </w:pPr>
      <w:r>
        <w:t xml:space="preserve">6.2 Running</w:t>
      </w:r>
    </w:p>
    <w:p>
      <w:pPr>
        <w:pStyle w:val="Body"/>
      </w:pPr>
      <w:r>
        <w:t xml:space="preserve">Navigate to the project root and execute the wrapper with the console output set to plain, so that the round-by-round series is not interleaved with progress decoration.</w:t>
      </w:r>
    </w:p>
    <w:p>
      <w:pPr>
        <w:pStyle w:val="Body"/>
      </w:pPr>
      <w:r>
        <w:t xml:space="preserve">If the Java installation is not on the machine path, set the Java home environment variable to the location of a version 21 installation before running.</w:t>
      </w:r>
    </w:p>
    <w:p>
      <w:pPr>
        <w:pStyle w:val="Heading2"/>
      </w:pPr>
      <w:r>
        <w:t xml:space="preserve">6.3 Reading the output</w:t>
      </w:r>
    </w:p>
    <w:p>
      <w:pPr>
        <w:pStyle w:val="Body"/>
      </w:pPr>
      <w:r>
        <w:t xml:space="preserve">Each round emits a single line containing the round number, the published price, aggregate supply, aggregate demand, units sold, unmet orders, the identity of the clearing producer, and money in circulation. The closing line reports the final price and the final quantity of money after the configured number of rounds.</w:t>
      </w:r>
    </w:p>
    <w:p>
      <w:pPr>
        <w:pStyle w:val="Body"/>
      </w:pPr>
      <w:r>
        <w:t xml:space="preserve">A healthy run can be read at a glance: supply is stable, price falls monotonically until it reaches a floor and then holds, and the money figure never changes. Unmet orders are subtler than they look and are commonly misread. They do not indicate that the market ran short of goods. In the observed run every unmet order occurred at a round where demand was comfortably below supply; the order went unfilled because that particular buyer's limit sat below the next cheapest ask. An unmet order is a statement about the price one buyer was prepared to pay, not about aggregate scarcity.</w:t>
      </w:r>
    </w:p>
    <w:p>
      <w:pPr>
        <w:pStyle w:val="Heading2"/>
      </w:pPr>
      <w:r>
        <w:t xml:space="preserve">6.4 Inspectors</w:t>
      </w:r>
    </w:p>
    <w:p>
      <w:pPr>
        <w:pStyle w:val="Body"/>
      </w:pPr>
      <w:r>
        <w:t xml:space="preserve">The platform provides an inspector for agent internal state, which is useful for confirming that a belief was updated and that an intention was dropped. A second inspector exposes the organisation and is available on a local port; with the current specification it will show roles and groups but no active scheme instances, which is the expected and correct state given that no agent commits to the scheme.</w:t>
      </w:r>
    </w:p>
    <w:p>
      <w:pPr>
        <w:pStyle w:val="Heading2"/>
      </w:pPr>
      <w:r>
        <w:t xml:space="preserve">6.5 Modifying the model</w:t>
      </w:r>
    </w:p>
    <w:p>
      <w:pPr>
        <w:pStyle w:val="ListNum"/>
      </w:pPr>
      <w:r>
        <w:t xml:space="preserve">1. Producer costs, capacity, and the undercutting increment are declared as beliefs in the producer program and can be changed without recompiling the environment.</w:t>
      </w:r>
    </w:p>
    <w:p>
      <w:pPr>
        <w:pStyle w:val="ListNum"/>
      </w:pPr>
      <w:r>
        <w:t xml:space="preserve">2. Reservation prices, cash endowments, and the household count are declared as beliefs in the household program.</w:t>
      </w:r>
    </w:p>
    <w:p>
      <w:pPr>
        <w:pStyle w:val="ListNum"/>
      </w:pPr>
      <w:r>
        <w:t xml:space="preserve">3. The number of rounds is declared as a belief in the timekeeper configuration.</w:t>
      </w:r>
    </w:p>
    <w:p>
      <w:pPr>
        <w:pStyle w:val="ListNum"/>
      </w:pPr>
      <w:r>
        <w:t xml:space="preserve">4. Matching order, price weighting, and the settling interval live in the market artifact and do require recompilation.</w:t>
      </w:r>
    </w:p>
    <w:p>
      <w:pPr>
        <w:pStyle w:val="ListNum"/>
      </w:pPr>
      <w:r>
        <w:t xml:space="preserve">5. Roles, groups, schemes, and norms live in the organisation specification and require no changes to the market artifact to be declared.</w:t>
      </w:r>
    </w:p>
    <w:p>
      <w:pPr>
        <w:pStyle w:val="Heading2"/>
      </w:pPr>
      <w:r>
        <w:t xml:space="preserve">6.6 Troubleshooting</w:t>
      </w:r>
    </w:p>
    <w:p>
      <w:pPr>
        <w:pStyle w:val="Body"/>
      </w:pPr>
      <w:r>
        <w:t xml:space="preserve">The following failure modes were encountered during construction and are recorded because they are the standard traps of the reasoning layer.</w:t>
      </w:r>
    </w:p>
    <w:p>
      <w:pPr>
        <w:pStyle w:val="ListNum"/>
      </w:pPr>
      <w:r>
        <w:t xml:space="preserve">1. Unhandled event causes an agent failure. An agent that receives an event with no matching rule does not idle; the runtime raises a null condition. Every event an agent can receive needs a rule, including events the agent intends to ignore.</w:t>
      </w:r>
    </w:p>
    <w:p>
      <w:pPr>
        <w:pStyle w:val="ListNum"/>
      </w:pPr>
      <w:r>
        <w:t xml:space="preserve">2. A broad rule can shadow a specific rule. A catch-all handler for an event competes with a targeted handler for the same event, and the broad one may win, silently disabling the specific behaviour. Broad handlers should be added last and deliberately.</w:t>
      </w:r>
    </w:p>
    <w:p>
      <w:pPr>
        <w:pStyle w:val="ListNum"/>
      </w:pPr>
      <w:r>
        <w:t xml:space="preserve">3. A test that fails during plan selection discards the intention. An intention whose test cannot be satisfied at selection time is dropped rather than deferred, so a rule whose precondition is not yet true produces no behaviour and no error.</w:t>
      </w:r>
    </w:p>
    <w:p>
      <w:pPr>
        <w:pStyle w:val="ListNum"/>
      </w:pPr>
      <w:r>
        <w:t xml:space="preserve">4. Reading a value is not the same as invoking an operation. A bare term is treated as an operation, which routes the read to the wrong execution path and produces failures that resemble a platform defect. Value reads require the test-goal form.</w:t>
      </w:r>
    </w:p>
    <w:p>
      <w:pPr>
        <w:pStyle w:val="ListNum"/>
      </w:pPr>
      <w:r>
        <w:t xml:space="preserve">5. Zero-argument operations are written as bare literals, with no parentheses. A zero-argument operation written with an empty argument list fails.</w:t>
      </w:r>
    </w:p>
    <w:p>
      <w:pPr>
        <w:pStyle w:val="ListNum"/>
      </w:pPr>
      <w:r>
        <w:t xml:space="preserve">6. The reasoning language has no else-if construct. A nested conditional must be placed inside the else branch, not chained onto the if.</w:t>
      </w:r>
    </w:p>
    <w:p>
      <w:pPr>
        <w:pStyle w:val="ListNum"/>
      </w:pPr>
      <w:r>
        <w:t xml:space="preserve">7. Conditional bodies take expressions, not goals. A no-op body is written as a true expression; a bare empty body is not valid.</w:t>
      </w:r>
    </w:p>
    <w:p>
      <w:pPr>
        <w:pStyle w:val="Heading1"/>
      </w:pPr>
      <w:r>
        <w:t xml:space="preserve">7. Educational concepts</w:t>
      </w:r>
    </w:p>
    <w:p>
      <w:pPr>
        <w:pStyle w:val="Heading2"/>
      </w:pPr>
      <w:r>
        <w:t xml:space="preserve">7.1 Equilibrium as a process</w:t>
      </w:r>
    </w:p>
    <w:p>
      <w:pPr>
        <w:pStyle w:val="Body"/>
      </w:pPr>
      <w:r>
        <w:t xml:space="preserve">Introductory treatments present supply and demand curves and read a price off their intersection. The model offers something the diagram cannot: the equilibrium is not computed but reached, one round at a time, by agents who each see only a single posted number. The trajectory matters as much as the destination, because the path carries information the static picture discards. Households with higher reservation prices buy earlier in the run and exhaust their cash earlier, which is why the demand series rises as the price falls and then plateaus, and why the households' individual trajectories differ sharply even though they are indistinguishable in the aggregate except by their limits.</w:t>
      </w:r>
    </w:p>
    <w:p>
      <w:pPr>
        <w:pStyle w:val="Heading2"/>
      </w:pPr>
      <w:r>
        <w:t xml:space="preserve">7.2 Asymmetric costs and the Bertrand result</w:t>
      </w:r>
    </w:p>
    <w:p>
      <w:pPr>
        <w:pStyle w:val="Body"/>
      </w:pPr>
      <w:r>
        <w:t xml:space="preserve">The observed price floor of 7.5 is not arbitrary. Each producer's quoting rule is bounded below by its own unit cost plus the undercutting increment, which yields floors of 7.5, 8.5, and 9.5 for the three producers. The lowest-cost producer can therefore undercut the others at every price level, and the market converges to its floor. The consequence is that a single producer clears every trade.</w:t>
      </w:r>
    </w:p>
    <w:p>
      <w:pPr>
        <w:pStyle w:val="Body"/>
      </w:pPr>
      <w:r>
        <w:t xml:space="preserve">This is the classical competitive outcome and it is precisely why the Bertrand model is regarded as an inadequate description of real competition. In the textbook model, firms are assumed to be perfect substitutes, and the resulting price leaves no room for profit. Real firms differentiate, serve segmented markets, are constrained by capacity, and avoid destroying the value of their own output. The model reproduces the textbook conclusion exactly and thereby shows why the conclusion cannot be taken literally. A learner who runs this simulation and sees one firm win the entire market has learned something about the limits of a modelling assumption that no graph conveys.</w:t>
      </w:r>
    </w:p>
    <w:p>
      <w:pPr>
        <w:pStyle w:val="Heading2"/>
      </w:pPr>
      <w:r>
        <w:t xml:space="preserve">7.3 Reading a flat series as a defect</w:t>
      </w:r>
    </w:p>
    <w:p>
      <w:pPr>
        <w:pStyle w:val="Body"/>
      </w:pPr>
      <w:r>
        <w:t xml:space="preserve">Supply is three units in every round of the original run, because three producers each post one unit and none ever withdraws. That flat line is not a property of the market. It is the direct consequence of a missing feature, and reading it as evidence about supply would be a category error. The model was delivered with an explicit exclusion, firm exit, and the flat series was the visible consequence of that exclusion.</w:t>
      </w:r>
    </w:p>
    <w:p>
      <w:pPr>
        <w:pStyle w:val="Body"/>
      </w:pPr>
      <w:r>
        <w:t xml:space="preserve">Section 7.11 to 7.13 removes the exclusion, and the supply series becomes informative: it falls from three to two when the highest-cost producer retires in round twenty. The series now varies because something in the model varies, which is the test a series ought to pass. The general lesson is unchanged and is worth stating independently of this particular model: in agent-based work, a suspiciously flat series is the first thing to interrogate, because flatness has two very different causes. Either the underlying process has genuinely stabilised, or the mechanism that would have produced variation was never implemented. Distinguishing them requires asking what would make the line move, and then checking whether anything in the model can make it move.</w:t>
      </w:r>
    </w:p>
    <w:p>
      <w:pPr>
        <w:pStyle w:val="Body"/>
      </w:pPr>
      <w:r>
        <w:t xml:space="preserve">The mechanism behind the collapse is an asymmetry between a household balance, which depletes with every purchase, and a producer balance, which never accumulates because producers are never paid. Money held as a stock and money arriving as a flow are different objects. A simulation that supplies only the first will always run its demand to exhaustion and will look, to an unwary reader, as though it had discovered something about scarcity.</w:t>
      </w:r>
    </w:p>
    <w:p>
      <w:pPr>
        <w:pStyle w:val="Heading2"/>
      </w:pPr>
      <w:r>
        <w:t xml:space="preserve">7.4 What a conservation check can and cannot prove</w:t>
      </w:r>
    </w:p>
    <w:p>
      <w:pPr>
        <w:pStyle w:val="Body"/>
      </w:pPr>
      <w:r>
        <w:t xml:space="preserve">The ledger reports total money in circulation, and that figure never changes across the run. Nothing is created or destroyed. The money does not, however, flow where a reader would expect. Households pay into an account named market that no agent owns, and producers are never credited. That asymmetry is a known and deliberate simplification, recorded in Section 8.</w:t>
      </w:r>
    </w:p>
    <w:p>
      <w:pPr>
        <w:pStyle w:val="Body"/>
      </w:pPr>
      <w:r>
        <w:t xml:space="preserve">The instructive part of this section is negative. The observed run passed the conservation check perfectly and was still wrong. Thirty-four units were paid for and thirty were sold. The four-unit surplus corresponds exactly to the four unmet orders recorded in rounds fourteen through seventeen, and it disappeared into the unowned market account, leaving the total at 360. A conservation law that holds proves the ledger is internally consistent. It proves nothing about whether the transfers it recorded were warranted.</w:t>
      </w:r>
    </w:p>
    <w:p>
      <w:pPr>
        <w:pStyle w:val="Body"/>
      </w:pPr>
      <w:r>
        <w:t xml:space="preserve">That is the general shape of the trap. An invariant too weak to fail is worse than no invariant at all, because it converts a loud failure into a silent one and confers unearned confidence. The defect described in Section 7.9 was located only by computing two quantities that ought to have agreed, summing the payments households made and counting the units the market reported as sold, and noticing that they differed. Conservation is a floor on correctness, not a certificate of it.</w:t>
      </w:r>
    </w:p>
    <w:p>
      <w:pPr>
        <w:pStyle w:val="Heading2"/>
      </w:pPr>
      <w:r>
        <w:t xml:space="preserve">7.5 Nondeterminism and the schedule as an experimental factor</w:t>
      </w:r>
    </w:p>
    <w:p>
      <w:pPr>
        <w:pStyle w:val="Body"/>
      </w:pPr>
      <w:r>
        <w:t xml:space="preserve">Agents act on a signal, then the timekeeper waits a fixed interval before settlement. Two agents responding to the same signal do not necessarily see the same book, because one may complete its read before another writes. Repeated runs therefore produce slightly different price paths from identical parameters. The model does not fix a random seed, because there is no stochastic component to seed; the variation is scheduling variation.</w:t>
      </w:r>
    </w:p>
    <w:p>
      <w:pPr>
        <w:pStyle w:val="Body"/>
      </w:pPr>
      <w:r>
        <w:t xml:space="preserve">This is worth confronting directly. In an analytical model, the schedule on which agents act is either irrelevant or a deliberate part of the assumption. In a computational model, the schedule is a parameter that affects results. A learner who assumes that identical parameters guarantee identical output has not yet understood what a simulation is.</w:t>
      </w:r>
    </w:p>
    <w:p>
      <w:pPr>
        <w:pStyle w:val="Heading2"/>
      </w:pPr>
      <w:r>
        <w:t xml:space="preserve">7.6 Levels of description and out-of-equilibrium dynamics</w:t>
      </w:r>
    </w:p>
    <w:p>
      <w:pPr>
        <w:pStyle w:val="Body"/>
      </w:pPr>
      <w:r>
        <w:t xml:space="preserve">At the aggregate level the price stabilises. At the agent level no producer ever stops undercutting; each round begins with a producer willing to reduce its quote. The system is in perpetual disequilibrium at the micro level and reaches a steady state at the macro level. Axtell's work on large-scale firm dynamics uses exactly this contrast to argue that much of what is conventionally modelled as equilibrium is better understood as an aggregate regularity sustained by individual disequilibrium. The model produces the phenomenon in miniature, which makes the argument legible.</w:t>
      </w:r>
    </w:p>
    <w:p>
      <w:pPr>
        <w:pStyle w:val="Heading2"/>
      </w:pPr>
      <w:r>
        <w:t xml:space="preserve">7.7 Institutions as a modelling decision</w:t>
      </w:r>
    </w:p>
    <w:p>
      <w:pPr>
        <w:pStyle w:val="Body"/>
      </w:pPr>
      <w:r>
        <w:t xml:space="preserve">The Moise layer invites a question that conventional models usually hide: who decided that producers are obliged to post offers, and what would happen if they were not? The answer in this framework is a file. Roles, cardinalities, schemes, and norms are written as a specification that can be inspected, argued with, and changed independently of the matching algorithm.</w:t>
      </w:r>
    </w:p>
    <w:p>
      <w:pPr>
        <w:pStyle w:val="Body"/>
      </w:pPr>
      <w:r>
        <w:t xml:space="preserve">The corresponding caution is that declaring an institution is not the same as simulating one. A norm obliging producers to remit a share of revenue requires three separate things: the declaration in the specification, a plan in the agent that acts on the obligation, and a transfer operation in the ledger for the remittance to move money. Only the first is free. The separation between what can be declared and what must be built is the practical content of the institutional-layer idea.</w:t>
      </w:r>
    </w:p>
    <w:p>
      <w:pPr>
        <w:pStyle w:val="Heading2"/>
      </w:pPr>
      <w:r>
        <w:t xml:space="preserve">7.8 Verification as part of the result</w:t>
      </w:r>
    </w:p>
    <w:p>
      <w:pPr>
        <w:pStyle w:val="Body"/>
      </w:pPr>
      <w:r>
        <w:t xml:space="preserve">A run is only meaningful if the agents were all able to act. The model is validated by counting: zero agent failures, zero parse failures, zero error messages, and zero intentions for which no applicable plan existed. A model that runs to completion while silently dropping agent behaviour produces a plausible-looking aggregate series and is worse than a model that crashes, because the failure is invisible in the output. The counting step is cheap and it is the difference between a demonstration and evidence.</w:t>
      </w:r>
    </w:p>
    <w:p>
      <w:pPr>
        <w:pStyle w:val="Body"/>
      </w:pPr>
      <w:r>
        <w:t xml:space="preserve">Counting is necessary, and this run demonstrated that it is not sufficient. Every count was zero and the model was still defective. The two disciplines are complementary and neither substitutes for the other: the counts establish that the agents executed their intentions, and the cross-checks establish that the intentions were the right ones.</w:t>
      </w:r>
    </w:p>
    <w:p>
      <w:pPr>
        <w:pStyle w:val="Heading2"/>
      </w:pPr>
      <w:r>
        <w:t xml:space="preserve">7.9 Defects found by the first complete run</w:t>
      </w:r>
    </w:p>
    <w:p>
      <w:pPr>
        <w:pStyle w:val="Body"/>
      </w:pPr>
      <w:r>
        <w:t xml:space="preserve">The first full run of the model satisfied every check the project had defined at that time. Thirty of thirty rounds completed, all four failure counts were zero, and the money total was conserved. It nevertheless contained two defects. Both are recorded below in their original form, because the method that found them is the point of the section, and both have since been repaired. The repaired model is verified in Section 7.10.</w:t>
      </w:r>
    </w:p>
    <w:p>
      <w:pPr>
        <w:pStyle w:val="ListNum"/>
      </w:pPr>
      <w:r>
        <w:t xml:space="preserve">1. Defect one, households are charged for orders that are never filled. The household program transfers payment immediately before posting its order, and nothing later checks whether the order was matched. Across the run, thirty-four units were charged and thirty were sold, and the four surplus charges correspond exactly to the four unmet orders in rounds fourteen through seventeen. In round fourteen a buyer was debited 7.75 for a unit no producer ever supplied, because that buyer's limit of 8 sat below the next cheapest ask of 8.5. The aggregate series looked entirely unremarkable throughout.</w:t>
      </w:r>
    </w:p>
    <w:p>
      <w:pPr>
        <w:pStyle w:val="ListNum"/>
      </w:pPr>
      <w:r>
        <w:t xml:space="preserve">2. Defect two, the reported price is offset by one round from the transactions. A household pays the price it observed when it decided, which is the previous round's settlement, so the timekeeper line for round N reports the price buyers will use in round N+1. The arithmetic is coherent but the labelling invites the wrong reading, and the discrepancy between the sum of household payments and the reported value of price multiplied by units sold is 41.5 over the run.</w:t>
      </w:r>
    </w:p>
    <w:p>
      <w:pPr>
        <w:pStyle w:val="Body"/>
      </w:pPr>
      <w:r>
        <w:t xml:space="preserve">Neither defect was found by running the model, and neither would have been found by watching the aggregates, which trace an entirely plausible textbook equilibrium story from first round to last. Both were found by computing two quantities that ought to have agreed and observing that they did not. That procedure, rather than any individual health check, is the transferable skill this section is meant to teach.</w:t>
      </w:r>
    </w:p>
    <w:p>
      <w:pPr>
        <w:pStyle w:val="Heading2"/>
      </w:pPr>
      <w:r>
        <w:t xml:space="preserve">7.10 Repairing the two defects, and verifying the repair</w:t>
      </w:r>
    </w:p>
    <w:p>
      <w:pPr>
        <w:pStyle w:val="Body"/>
      </w:pPr>
      <w:r>
        <w:t xml:space="preserve">The repair is small in code and large in principle. It rests on a distinction that an order is not an invoice. Posting an order expresses a willingness to pay at a stated ceiling; it is not a transfer of funds. Whether that willingness becomes an obligation depends entirely on whether the order was matched, and only the market knows that, because only the market runs the matching rule. So the market is given the responsibility for computing each buyer's bill, and the buyer asks for it after the book has closed and pays exactly that.</w:t>
      </w:r>
    </w:p>
    <w:p>
      <w:pPr>
        <w:pStyle w:val="Body"/>
      </w:pPr>
      <w:r>
        <w:t xml:space="preserve">Two implementation details are worth recording, because both are traps that produce a model which appears to work. First, the bill cannot be published as an ordinary observable property. The naive design is an observable named owed, read by a household, written by the market. That design is impossible here, because the value depends on which agent is asking, and an observable property in this version of CArtAgO holds a single value shared by every reader. Writing the bill for one buyer would overwrite it for the others. The bill is therefore exposed as an operation, which receives the calling agent's identity as an implicit argument, so the answer is per-agent without the state being shared. Second, the buyer must not assume the bill is the price it saw on the board. The charged amount is the cleared price of the match, and at a clearing price that can differ from the ceiling the buyer posted. A household that pays the price it remembers rather than the price it owes reproduces the original offset error even after the timing bug is fixed.</w:t>
      </w:r>
    </w:p>
    <w:p>
      <w:pPr>
        <w:pStyle w:val="ListNum"/>
      </w:pPr>
      <w:r>
        <w:t xml:space="preserve">1. The repaired program separates the two moments explicitly. On the trading signal the household decides, checks its limit against the posted price and its balance against that price, and posts an order if both pass. It pays nothing. When the market sends the settled signal, the household requests its own bill and pays it if the fill quantity is positive, and logs that it was not filled if the quantity is zero.</w:t>
      </w:r>
    </w:p>
    <w:p>
      <w:pPr>
        <w:pStyle w:val="Body"/>
      </w:pPr>
      <w:r>
        <w:t xml:space="preserve">The verification is the same procedure that found the defects, applied to the repaired model, and it is worth being precise about what the numbers are. Over a complete thirty-round run the households transferred 346.25 in total. The sum of the reported price multiplied by the reported units sold is also 346.25. The difference is exactly zero, where before the repair it was 41.5. Households bought 37 units and the market reported 37 units sold, where before the repair households were charged for 34 units against 30 sold. Of 180 settlement events, which is six households across thirty rounds, 37 resulted in a fill and 143 in no fill, and these two counts sum to the total number of events, so every settlement reached a definite outcome and none was silently skipped. The money total was 360 at the first round and 360 at the last, so conservation still holds, and it now holds for the right reason: households pay exactly the cleared value of what they received.</w:t>
      </w:r>
    </w:p>
    <w:p>
      <w:pPr>
        <w:pStyle w:val="Body"/>
      </w:pPr>
      <w:r>
        <w:t xml:space="preserve">One observation from that repaired run deserves comment because it is not a defect. Supply is three units in every one of the thirty rounds, and the price still falls, from 13.5 to 7.5. A falling price with constant supply is not a shortage story, and the aggregate table does not pretend otherwise. What limits output is demand, and in the last three rounds demand is zero while supply is three, so nothing is sold and the market idles at a price the firms would happily accept. At this stage every household still held money, so the interesting question was not why the price fell, which is the textbook story the model reproduces faithfully, but why demand reached zero while every household could still afford to buy. The answer is that nobody in this town earned anything, and that is the motivation for the next section.</w:t>
      </w:r>
    </w:p>
    <w:p>
      <w:pPr>
        <w:pStyle w:val="Heading2"/>
      </w:pPr>
      <w:r>
        <w:t xml:space="preserve">7.11 Closing the circuit: producer revenue, the cost of production, and firm exit</w:t>
      </w:r>
    </w:p>
    <w:p>
      <w:pPr>
        <w:pStyle w:val="Body"/>
      </w:pPr>
      <w:r>
        <w:t xml:space="preserve">The model as described up to this point is arithmetically correct and economically inert. Households pay firms, firms pay nothing, no firm earns anything, and demand collapses to zero in round twenty-eight while the price sits at a level every household would accept. Revising the earlier statement, the demand collapse was not a property of the market process: households spent their fixed endowment and never received anything back. This section describes the change that closed the loop, the accounting error it initially contained, and the exit mechanism it made possible.</w:t>
      </w:r>
    </w:p>
    <w:p>
      <w:pPr>
        <w:pStyle w:val="Body"/>
      </w:pPr>
      <w:r>
        <w:t xml:space="preserve">The design question is where the wage should come from, and the answer is not obvious from the aggregate output. The first implementation paid households a fixed share of firm revenue, and the resulting run looked like a complete success. Demand no longer collapsed. Money stayed at 360. Households paid firms 418.83 and received 209.42 back. Every reconciliation the project had defined passed. The model was nevertheless wrong, and the reasoning matters more than the numbers.</w:t>
      </w:r>
    </w:p>
    <w:p>
      <w:pPr>
        <w:pStyle w:val="Body"/>
      </w:pPr>
      <w:r>
        <w:t xml:space="preserve">The error is that a share of revenue never charges the firm for making the goods. Unit cost was used exclusively as a pricing floor and was never debited from any account, so the firm pocketed the entire revenue while households were progressively drained to finance it. Money was conserved at every instant throughout, no invariant was violated, and no price or quantity series revealed anything unusual. Across the run firms retained 209.41 while their genuine economic profit, computed as revenue minus production cost, was approximately 104. The remainder, roughly 105, was not profit at all: it was the households' original endowments, transferred to firms under a name that implied otherwise. The circuit was closed in the only sense that mattered mechanically, while remaining open in the sense that mattered economically.</w:t>
      </w:r>
    </w:p>
    <w:p>
      <w:pPr>
        <w:pStyle w:val="Body"/>
      </w:pPr>
      <w:r>
        <w:t xml:space="preserve">The correction is to pay production cost first and wages from what remains. Each firm pays three quantities to the household roster. Labor cost is unit cost multiplied by units sold: making the goods consumed that much labor, and the households are the only factor supplier in the town, so the labor bill becomes household income. Overhead is fixed at 0.5 per round and is owed whether or not the firm sells, which is what makes being open cost something. The dividend is the wage share multiplied by positive profit. Every one of these is a transfer between accounts, so conservation is preserved by construction.</w:t>
      </w:r>
    </w:p>
    <w:p>
      <w:pPr>
        <w:pStyle w:val="Body"/>
      </w:pPr>
      <w:r>
        <w:t xml:space="preserve">The revised run reconciles on every measure. Households transferred 429.83 to firms; the sum of price multiplied by units sold is 429.83; the difference is exactly zero. Units bought and units sold both equal 46. Of 180 settlement events, 46 filled and 134 did not, summing to the total, so every settlement reached a definite outcome. The money total is 360 at the first round and 359.9999999999997 at the last, a residue of floating-point accumulation rather than a leak. Total payments to households were 413.42, comprising 347.00 of labor cost, 23.00 of overhead, and 43.42 of dividends. The households' shortfall against their own spending is therefore 16.42, and that figure reconciles exactly with the profit retained by firms, confirming that the only value leaving the household sector is genuine surplus.</w:t>
      </w:r>
    </w:p>
    <w:p>
      <w:pPr>
        <w:pStyle w:val="Body"/>
      </w:pPr>
      <w:r>
        <w:t xml:space="preserve">Demand no longer terminates. Rather than reaching zero, it settles between four and six for the remainder of the run. The rationing that emerges around round fourteen is now interpretable in a way it was not before: it is no longer a shortage of purchasing power but a shortage of goods, since supply is one to three units against demand of four to six. That is the more useful economic signal, because it points at the supply side, which is where the next modification belongs.</w:t>
      </w:r>
    </w:p>
    <w:p>
      <w:pPr>
        <w:pStyle w:val="Heading2"/>
      </w:pPr>
      <w:r>
        <w:t xml:space="preserve">7.12 Overhead as the knife edge, and what Bertrand competition implies about firm survival</w:t>
      </w:r>
    </w:p>
    <w:p>
      <w:pPr>
        <w:pStyle w:val="Body"/>
      </w:pPr>
      <w:r>
        <w:t xml:space="preserve">Overhead was introduced to create a mechanism for exit, and the parameter chosen for it turned out to be the most instructive number in the model. Under Bertrand competition with asymmetric costs the price converges to the lowest cost plus the undercutting increment, so firm_a's late-run margin is exactly 0.5 per unit. A firm with an overhead above 0.5 is therefore unprofitable no matter how efficient it is, and the market empties completely. The initial attempt set overhead at 1.2 and every firm went bankrupt, including the most efficient one, leaving the town with no producers at all.</w:t>
      </w:r>
    </w:p>
    <w:p>
      <w:pPr>
        <w:pStyle w:val="Body"/>
      </w:pPr>
      <w:r>
        <w:t xml:space="preserve">This is not an artefact of the parameter choice; it is the actual implication of the competitive process the model represents. There exists no fixed cost a healthy firm can comfortably afford under pure Bertrand competition with these costs, because the competitive equilibrium leaves it exactly its undercutting increment as margin. Firms in that situation have a direct economic incentive to collude, and this is precisely why collusive agreements are enforceable in practice: the alternative to agreement is a margin that cannot cover overhead.</w:t>
      </w:r>
    </w:p>
    <w:p>
      <w:pPr>
        <w:pStyle w:val="Body"/>
      </w:pPr>
      <w:r>
        <w:t xml:space="preserve">At an overhead of 0.5 the model separates the firms, though not always the same firms. In one run the cumulative accounting was as follows: firm_a, the lowest-cost producer, earned 238.17 of revenue against 196.00 of labor cost and 14.00 of overhead, a profit of 28.17; firm_b earned 117.17 against 88.00 and 5.50, a profit of 23.67; and firm_c earned 74.50 against 63.00 and 3.50, a profit of 8.00. firm_c, the highest-cost producer, was undercut out of the market and went bankrupt in round twenty of that run, after which the published supply series fell from three to two and remained there. These are the figures for a single run and they are labelled as such. An earlier revision of this section described them as structural and reproducing exactly across runs; fourteen-run replication showed that claim to be false, and Section 7.14 gives the corrected account. Total household spending ranged from 351.25 to 429.83 across those runs, an eighteen-percent spread, so revenue figures taken from any one run are an observation rather than a result.</w:t>
      </w:r>
    </w:p>
    <w:p>
      <w:pPr>
        <w:pStyle w:val="Body"/>
      </w:pPr>
      <w:r>
        <w:t xml:space="preserve">One feature of that outcome deserves emphasis because it is easy to misread. firm_c was bankrupt with 8.00 of cumulative profit. Cumulative profit is not liquidity. The firm paid dividends out of that profit as it accrued, so almost nothing remained in reserve by the time it was priced out of the market, and two rounds of unpaid rent finished it. A firm can be profitable over an entire run and still fail, which is a considerably more realistic picture than a model in which only unprofitable firms fail.</w:t>
      </w:r>
    </w:p>
    <w:p>
      <w:pPr>
        <w:pStyle w:val="Heading2"/>
      </w:pPr>
      <w:r>
        <w:t xml:space="preserve">7.13 Exit by arrears rather than by affordability</w:t>
      </w:r>
    </w:p>
    <w:p>
      <w:pPr>
        <w:pStyle w:val="Body"/>
      </w:pPr>
      <w:r>
        <w:t xml:space="preserve">The first exit rule tested whether a firm could afford its obligations at the moment of payment, and it killed the entire market in round one. Every firm opens with a zero balance, overhead is owed every round regardless of sales, and the two firms that happened to sit out the opening round were insolvent before they had quoted once. A firm with no cash and no accumulated obligation is not a bankrupt firm; it is a firm that has not yet had a good round, and the rule conflated the two states.</w:t>
      </w:r>
    </w:p>
    <w:p>
      <w:pPr>
        <w:pStyle w:val="Body"/>
      </w:pPr>
      <w:r>
        <w:t xml:space="preserve">The second attempt gave firms six rounds of overhead as opening working capital, and it broke the conservation invariant in a way that no other error in this project did. With overhead at 1.2, six rounds is 7.2 per firm, so three firms seeded at 7.2 created 21.6 units of cash that no household ever paid, and the money total read 381.6 instead of 360 with nothing in the log to explain the discrepancy. Seeding an account is indistinguishable from counterfeiting, and the failure was silent precisely because the model is otherwise so well instrumented.</w:t>
      </w:r>
    </w:p>
    <w:p>
      <w:pPr>
        <w:pStyle w:val="Body"/>
      </w:pPr>
      <w:r>
        <w:t xml:space="preserve">The rule finally implemented asks the ledger for the caller's arrears, meaning wages and overhead owed and not paid, and retires a firm when its arrears exceeded at the start of a round exceed two rounds of overhead. The ordering matters and was itself a defect. Reading the arrears after attempting the payment puts the current round's own obligation inside the number being compared against the threshold, so a firm that had missed exactly two rounds retired on the third. The logs of such a run look entirely correct, and the firm simply dies one round earlier than the documented rule permits. Reading before paying fixes the comparison and makes the grace period mean what it says. Bad debt is tracked in the ledger rather than in the firm because an AgentSpeak agent has no mutable beliefs of its own: the only bookkeeping it can own is what the town already keeps for it. A round paid in full clears the slate, so one unlucky round does not condemn a firm that is otherwise trading, and a firm that misses the opening round receives a grace period long enough to trade. Arrears are deliberately excluded from total money, because the cash they refer to never left the bankrupt firm's account and is therefore neither circulating nor destroyed.</w:t>
      </w:r>
    </w:p>
    <w:p>
      <w:pPr>
        <w:pStyle w:val="Body"/>
      </w:pPr>
      <w:r>
        <w:t xml:space="preserve">The resulting behaviour is the intended one: a firm leaves the market, the run completes thirty of thirty rounds with zero parse failures, zero unhandled events, zero unexecutable intentions, and the money total conserved, and the town continues to trade. Which firm retires, and in which round, is not reproducible, and that instability is itself the finding. Section 7.12 gives the accounting for one run in which only the highest-cost producer fails; Section 7.14 reports fourteen runs establishing that no exit round can be cited.</w:t>
      </w:r>
    </w:p>
    <w:p>
      <w:pPr>
        <w:pStyle w:val="Heading2"/>
      </w:pPr>
      <w:r>
        <w:t xml:space="preserve">7.14 Replication: which results are invariants and which are schedule noise</w:t>
      </w:r>
    </w:p>
    <w:p>
      <w:pPr>
        <w:pStyle w:val="Body"/>
      </w:pPr>
      <w:r>
        <w:t xml:space="preserve">This section previously compared two runs and concluded from the pair that a set of figures were structural. That inference was wrong, and it is worth recording why, because the error is instructive rather than embarrassing. Two observations cannot distinguish a constant from a distribution. The figures singled out as invariants at that point, total household spending of 429.83 and 46 units sold, turned out on replication to be one sample from a range: spending between 351.25 and 429.83, and between 38 and 46 units, across fourteen runs. A conclusion drawn from a small sample of a nondeterministic process is an anecdote wearing the vocabulary of a law.</w:t>
      </w:r>
    </w:p>
    <w:p>
      <w:pPr>
        <w:pStyle w:val="Body"/>
      </w:pPr>
      <w:r>
        <w:t xml:space="preserve">Fourteen runs were then executed under a harness whose health checks were themselves repaired first. The earlier harness treated the appearance of the final round as completion, but the last round line is written before the payout phase and before the closing report, so a run whose virtual machine was slow to finish reported its closing figures as absent while the run was still in progress. The corrected harness treats the closing report as the completion signal and fails any run that does not produce one. All fourteen runs used in what follows completed, with zero parse failures, zero exceptions, zero unhandled events and zero unexecutable intentions in every one.</w:t>
      </w:r>
    </w:p>
    <w:p>
      <w:pPr>
        <w:pStyle w:val="Body"/>
      </w:pPr>
      <w:r>
        <w:t xml:space="preserve">The genuinely structural results survived replication exactly. Total household transfers equalled the sum of price multiplied by units sold in all fourteen runs, to the last digit the checker computes. Units bought equalled units sold in all fourteen. Money in circulation was 360 in all fourteen, differing only in the final floating-point digit. These follow from the architecture rather than from the schedule: a household pays the seller and the same amount leaves the seller's account, so the total cannot move, and money is never created or destroyed anywhere in the round because firms open at a zero balance.</w:t>
      </w:r>
    </w:p>
    <w:p>
      <w:pPr>
        <w:pStyle w:val="Body"/>
      </w:pPr>
      <w:r>
        <w:t xml:space="preserve">The exit result did not survive replication at all, and the earlier report of it was wrong in kind rather than merely in detail. firm_c retired in all fourteen runs, which makes its eventual exit the one reproducible exit in the model, but its exit round is bimodal: either round four, or somewhere between rounds twenty-one and twenty-eight, and never in between. firm_b retired in five of fourteen runs, at rounds four, four, twenty-eight, twenty-nine and twenty-nine. firm_a, the most efficient producer, retired once in fourteen, in round four. Ten distinct exit patterns occurred across the fourteen runs. The number of firms trading at the end was one in six runs and two in seven, with one run's closing count unavailable for inspection.</w:t>
      </w:r>
    </w:p>
    <w:p>
      <w:pPr>
        <w:pStyle w:val="Body"/>
      </w:pPr>
      <w:r>
        <w:t xml:space="preserve">The mechanism behind the bimodality is worth stating precisely, because it is more interesting than generic scheduling noise. All three firms quote identical prices in the opening rounds, since the undercutting rule is deterministic and every firm applies it to the same observed price. When supply exceeds demand, a tied round is won by iteration order rather than by merit. A firm that wins none of the opening rounds accrues overhead arrears it has no revenue to clear, and it retires at round four. A firm that wins a single opening round banks enough margin to reach the later regime and is eventually priced out on economic grounds instead. The spread is therefore bimodal because a single early sale is a threshold in its own right, not because firms are gradually sinking toward a boundary.</w:t>
      </w:r>
    </w:p>
    <w:p>
      <w:pPr>
        <w:pStyle w:val="Body"/>
      </w:pPr>
      <w:r>
        <w:t xml:space="preserve">The honest conclusion is that exit timing in this model is not reproducible, and that no specific exit round should be cited as a finding. What can be stated is the regime structure: under pure Bertrand competition at an overhead of 0.5, at least one firm always exits, the highest-cost producer always exits, and the market reduces to one or two producers rather than emptying completely. The practical consequence for a learner is a rule worth stating on its own: when a parameter sits close to a threshold, expect the threshold outcome to be unstable and report the distribution rather than the outcome. Where a parameter produces a bimodal outcome, look for a discrete early event such as a tie-break rather than assuming continuous drift.</w:t>
      </w:r>
    </w:p>
    <w:p>
      <w:pPr>
        <w:pStyle w:val="Heading1"/>
      </w:pPr>
      <w:r>
        <w:t xml:space="preserve">8. Design decisions, their reasons, and what remains to be done</w:t>
      </w:r>
    </w:p>
    <w:p>
      <w:pPr>
        <w:pStyle w:val="Heading2"/>
      </w:pPr>
      <w:r>
        <w:t xml:space="preserve">8.1 Why the institutional layer is staged last</w:t>
      </w:r>
    </w:p>
    <w:p>
      <w:pPr>
        <w:pStyle w:val="Body"/>
      </w:pPr>
      <w:r>
        <w:t xml:space="preserve">The normative layer is declared but inactive. This ordering was chosen originally because the money did not reach producers, and an obligation to remit a share of revenue has nothing to act on when the revenue is zero. Revision 4 removed the revenue from zero, and the stated reason for the remaining ordering is now weaker rather than stronger: the wage share in the model is a belief in the producer program and not a norm, so the tax norm still has nothing distinct to act upon. Introducing it now would demonstrate a second payment obligation beside an identical first one, and the learner would have no way to tell which mechanism produced a given transfer in the log. The rule adopted for the remainder of the project is that each layer is made correct and verified before the next is activated, and that rule continues to govern the institutional work.</w:t>
      </w:r>
    </w:p>
    <w:p>
      <w:pPr>
        <w:pStyle w:val="Heading2"/>
      </w:pPr>
      <w:r>
        <w:t xml:space="preserve">8.2 Priority order for further work</w:t>
      </w:r>
    </w:p>
    <w:p>
      <w:pPr>
        <w:pStyle w:val="ListNum"/>
      </w:pPr>
      <w:r>
        <w:t xml:space="preserve">1. [completed] Repair defect one so that payment occurs on fill rather than on posting an order. Completed and verified in Section 7.10. This was first because it is a correctness failure rather than an omission, and because the revenue work in the next item could not be validated while units were being charged for that were never delivered.</w:t>
      </w:r>
    </w:p>
    <w:p>
      <w:pPr>
        <w:pStyle w:val="ListNum"/>
      </w:pPr>
      <w:r>
        <w:t xml:space="preserve">2. [completed] Resolve the price semantics in defect two, by deciding deliberately whether a buyer commits to the posted price or to the cleared price, and labelling the output so the chosen convention is unambiguous. Completed and verified in Section 7.10: the chosen convention is that a buyer commits to a ceiling and pays the cleared price, and every household log line now reports the amount actually charged.</w:t>
      </w:r>
    </w:p>
    <w:p>
      <w:pPr>
        <w:pStyle w:val="ListNum"/>
      </w:pPr>
      <w:r>
        <w:t xml:space="preserve">3. [completed] Implement producer revenue and firm profitability, then firm exit. Completed and verified in Sections 7.11 to 7.13. Households pay the matched seller directly, firms pay labor cost, overhead, and a dividend of profit, and a firm retires when its arrears exceed two rounds of overhead. Supply is no longer constant, and the model's most misleading series now carries information.</w:t>
      </w:r>
    </w:p>
    <w:p>
      <w:pPr>
        <w:pStyle w:val="ListNum"/>
      </w:pPr>
      <w:r>
        <w:t xml:space="preserve">4. [completed] Add household income so that demand does not terminate. Completed and verified in Section 7.11. The demand series no longer reaches zero and settles between four and six, and the rationing that appears from round fourteen is now a goods shortage rather than a purchasing-power shortage.</w:t>
      </w:r>
    </w:p>
    <w:p>
      <w:pPr>
        <w:pStyle w:val="ListNum"/>
      </w:pPr>
      <w:r>
        <w:t xml:space="preserve">5. [completed] Replicate runs at scale and quantify the scheduling variance before any result is reported as a finding rather than an observation. Completed in Section 7.14 with fourteen runs, after repairing a harness defect that had been reporting incomplete runs as finished. The monetary identities are exact across all fourteen; exit timing is not reproducible and is now reported as a bimodal distribution rather than a round number.</w:t>
      </w:r>
    </w:p>
    <w:p>
      <w:pPr>
        <w:pStyle w:val="ListNum"/>
      </w:pPr>
      <w:r>
        <w:t xml:space="preserve">6. Replace the eight-hundred-millisecond settling window with a barrier that counts settlements before advancing, which would remove the nondeterminism entirely. This is deliberately left undone. It was on the earlier priority list as a way of stabilising results that replication has since shown to be genuinely bistable, and removing that variance would delete the finding rather than confirm it. The choice belongs to whoever decides whether the pedagogical value of live scheduling outweighs the cost of unreproducible exits.</w:t>
      </w:r>
    </w:p>
    <w:p>
      <w:pPr>
        <w:pStyle w:val="ListNum"/>
      </w:pPr>
      <w:r>
        <w:t xml:space="preserve">7. Decide whether exit timing is worth reproducing at all. Replication established that it is bimodal, and the documented position is now that no specific exit round may be cited as a finding. If a later result depends on exit timing, the barrier above becomes necessary work rather than optional work.</w:t>
      </w:r>
    </w:p>
    <w:p>
      <w:pPr>
        <w:pStyle w:val="ListNum"/>
      </w:pPr>
      <w:r>
        <w:t xml:space="preserve">8. Activate the trade scheme, so that the declared obligations are instantiated and the log distinguishes agent-initiated action from obligation-driven action.</w:t>
      </w:r>
    </w:p>
    <w:p>
      <w:pPr>
        <w:pStyle w:val="ListNum"/>
      </w:pPr>
      <w:r>
        <w:t xml:space="preserve">9. Add a tax as a new norm plus a new ledger operation, deliberately, in order to demonstrate that the institutional layer and the physical layer are genuinely independent.</w:t>
      </w:r>
    </w:p>
    <w:p>
      <w:pPr>
        <w:pStyle w:val="Body"/>
      </w:pPr>
      <w:r>
        <w:t xml:space="preserve">This whitepaper describes a working model rather than a preliminary sketch, but its claims should be read with the same caution as before. The two accounting defects recorded in Section 7.9 were repaired and verified in Section 7.10, and the wage mechanism added in revision 4 was itself corrected once, as documented in Section 7.11, after its first implementation passed every available check while transferring roughly 105 units of household endowment to firms under the appearance of wages. The figures in this document therefore describe a model whose money flows correctly and whose distributional claims are defensible. What remains open is structural rather than arithmetic. Firm entry is not modelled: firms exist by declaration in the project file. The dividend lever is weak by construction, because the competitive equilibrium leaves the efficient firm a margin of 0.5 per unit, so the wage share matters mainly in the early rounds while margins are still large. Overhead stands in for rent, capital depreciation, and non-household labour alike, and every production cost is paid to households because the town has no other factor supplier. The rationing visible from round fourteen is a shortage of goods rather than of purchasing power, and should be read as a supply-side observation. Finally, exit timing is not reproducible. Fourteen runs show the monetary identities exact in every one, while firm_c retires in all fourteen but at one of two widely separated regimes, firm_b in five, and firm_a in one. Ten distinct exit patterns occurred. The exit rule itself was also corrected in the process: reading a firm's arrears after attempting its payment shortened the documented grace period by a round, and that defect is documented in Section 7.13.</w:t>
      </w:r>
    </w:p>
    <w:p>
      <w:pPr>
        <w:pStyle w:val="Body"/>
      </w:pPr>
      <w:r>
        <w:t xml:space="preserve">This whitepaper describes a working model rather than a preliminary sketch, but its claims should be read with the same caution as before. The two accounting defects recorded in Section 7.9 were repaired and verified in Section 7.10, and the wage mechanism added in revision 4 was itself corrected once, as documented in Section 7.11, after its first implementation passed every available check while transferring roughly 105 units of household endowment to firms under the appearance of wages. The figures in this document therefore describe a model whose money flows correctly and whose distributional claims are defensible. What remains open is structural rather than arithmetic. Firm entry is not modelled: firms exist by declaration in the project file. The dividend lever is weak by construction, because the competitive equilibrium leaves the efficient firm a margin of 0.5 per unit, so the wage share matters mainly in the early rounds while margins are still large. Overhead stands in for rent, capital depreciation, and non-household labour alike, and every production cost is paid to households because the town has no other factor supplier. The rationing visible from round fourteen is a shortage of goods rather than of purchasing power, and should be read as a supply-side observation.</w:t>
      </w:r>
    </w:p>
    <w:p>
      <w:pPr>
        <w:pStyle w:val="Body"/>
      </w:pPr>
      <w:r>
        <w:t xml:space="preserve">Three qualifications bear on how the observations may be used. Neither the demand series nor the supply series is a curve, for the reasons given in Section 7.3, and the supply series is no longer flat. The price series is drawn from single unreplicated runs subject to scheduling noise, described in Section 7.5, and exit timing is the least stable observation in the model, being bimable across fourteen runs for the reasons given in Section 7.14. The institutional layer is declared but never exercised, as set out in Section 4.3. None of the observations in Section 7 should be cited as an empirical result about markets. They are results about this model, and several of them are results about defects in this model.</w:t>
      </w:r>
    </w:p>
    <w:p>
      <w:pPr>
        <w:pStyle w:val="Heading1"/>
      </w:pPr>
      <w:r>
        <w:t xml:space="preserve">10. Graphical Dashboard</w:t>
      </w:r>
    </w:p>
    <w:p>
      <w:pPr>
        <w:pStyle w:val="Body"/>
      </w:pPr>
      <w:r>
        <w:t xml:space="preserve">The simulation includes a live graphical dashboard implemented as a CArtAgO artifact (`TownDashboard`). It runs on the Swing EDT and connects to the market and ledger artifacts, displaying four panels in real time:</w:t>
      </w:r>
    </w:p>
    <w:p>
      <w:pPr>
        <w:pStyle w:val="Body"/>
      </w:pPr>
      <w:r>
        <w:t xml:space="preserve">1. **Price History** — the market price trajectory over 30 rounds, with each firm's cost-plus-0.5 floor shown as a dashed line.</w:t>
      </w:r>
    </w:p>
    <w:p>
      <w:pPr>
        <w:pStyle w:val="Body"/>
      </w:pPr>
      <w:r>
        <w:t xml:space="preserve">2. **Firm Health** — per-firm revenue, labor cost, overhead, dividends, arrears, and units sold, with a color-coded health bar (green &gt;60%, amber 30-60%, red &lt;30%, black = retired).</w:t>
      </w:r>
    </w:p>
    <w:p>
      <w:pPr>
        <w:pStyle w:val="Body"/>
      </w:pPr>
      <w:r>
        <w:t xml:space="preserve">3. **Household Demand &amp; Cash** — each household's remaining cash (progress bar), reservation price, and units purchased.</w:t>
      </w:r>
    </w:p>
    <w:p>
      <w:pPr>
        <w:pStyle w:val="Body"/>
      </w:pPr>
      <w:r>
        <w:t xml:space="preserve">4. **Market Report** — a scrolling log of each round's price, demand, supply, sold, unmet demand, seller, and total money.</w:t>
      </w:r>
    </w:p>
    <w:p>
      <w:pPr>
        <w:pStyle w:val="Body"/>
      </w:pPr>
      <w:r>
        <w:t xml:space="preserve">The dashboard artifact is instantiated in the workspace and registered by agents on focus. A screenshot of the final state (after 30 rounds) is saved as `dashboard-final.png`; the price chart shows the characteristic descent from 14.0 to the cost floor of 7.5, firm_c retired at round 28, and money conserved at 360.</w:t>
      </w:r>
    </w:p>
    <w:p>
      <w:pPr>
        <w:pStyle w:val="Heading1"/>
      </w:pPr>
      <w:r>
        <w:t xml:space="preserve">9. Conclusion</w:t>
      </w:r>
    </w:p>
    <w:p>
      <w:pPr>
        <w:pStyle w:val="Body"/>
      </w:pPr>
      <w:r>
        <w:t xml:space="preserve">A small market in which the price is computed by nobody is a useful object of study. The model rewards attention, because the emergent outcome and the coding errors are visible in the same output. The price converging to the cost floor of the cheapest producer is a correct derivation of a model whose assumptions are too strong to describe a real market. The supply series that never moves is an omission. The institutional specification that changes nothing is a staging decision. And a run that passed every health check while quietly charging buyers for goods that were never delivered is the strongest argument yet for cross-checking quantities that ought to agree instead of trusting the ones that merely do. Holding all four of those in view at once is the pedagogical point of the exercise, and is the reason the model is worth building before it is worth believing.</w:t>
      </w:r>
    </w:p>
    <w:p>
      <w:pPr>
        <w:pStyle w:val="Body"/>
      </w:pPr>
      <w:r>
        <w:t xml:space="preserve">The repair that followed illustrates the same point from the other direction. Fixing the first defect was a matter of taking one distinction seriously, that an order is an intention and an invoice is a fact, and of being willing to change a program's architecture to honour it rather than patching the symptom. The verification was arithmetic, not opinion: two quantities that had disagreed by 41.5 now agree to the last unit of currency, and the pair of counts that had differed by four now agree exactly.</w:t>
      </w:r>
    </w:p>
    <w:p>
      <w:pPr>
        <w:pStyle w:val="Body"/>
      </w:pPr>
      <w:r>
        <w:t xml:space="preserve">The same discipline applies to the exit mechanism, where the first two attempts each failed in an instructive way. An affordability test killed the market in round one by treating a firm that had not yet sold as a firm that had gone bankrupt. Seeding firms with opening working capital silently minted 21.6 units of cash and broke the conservation invariant that every other check depended on. Only bad debt tracked in the ledger, with a grace period, produced behaviour that was both stable and explicable. And the parameter that emerged from that process, an overhead of exactly 0.5, is not a tuning constant: it is the competitive equilibrium's own margin, and the observation that no efficient firm can afford to exceed it is the model's most direct argument for why firms collude. The remaining open items are structural rather than arithmetic, and they are listed in Section 8.2.</w:t>
      </w:r>
    </w:p>
    <w:p>
      <w:pPr>
        <w:pStyle w:val="Body"/>
      </w:pPr>
      <w:r>
        <w:t xml:space="preserve">Revision 4 produced a sharper instance of the same lesson, because the wage mechanism was wrong in a way that no check in the project could detect. Paying a share of revenue looked like a closed circuit and passed every reconciliation, and it drained roughly 105 units of household endowment into firms while conserving money perfectly and printing a plausible price series throughout. The error was conceptual rather than arithmetical: revenue is not profit, and a firm that is never charged the cost of production is not a firm that is profitable. What corrected it was insisting that the wage base be a quantity that means something independently of the payment itself, and then verifying the distributional claim against the aggregate rather than against the total.</w:t>
      </w:r>
    </w:p>
    <w:p>
      <w:pPr>
        <w:pStyle w:val="Meta"/>
      </w:pPr>
      <w:r>
        <w:t xml:space="preserve">Note on sources. The two entries marked as verified were confirmed against the publisher record during preparation of this draft. The remaining entries are recorded from domain knowledge and should be checked against the publisher record before being cited in published work. Volume and page numbers are provided where they are believed reliable and should be treated as unconfirmed.</w:t>
      </w:r>
    </w:p>
    <w:p>
      <w:pPr>
        <w:pStyle w:val="Heading2"/>
      </w:pPr>
      <w:r>
        <w:t xml:space="preserve">Agent-based modelling and methodology</w:t>
      </w:r>
    </w:p>
    <w:p>
      <w:pPr>
        <w:pStyle w:val="ListNum"/>
      </w:pPr>
      <w:r>
        <w:t xml:space="preserve">1. Axtell, R. L. (2016). 120 Million Agents Self-Organize into 6 Million Firms: A Model of the U.S. Private Sector. Proceedings of the 15th International Conference on Autonomous Agents and Multiagent Systems (AAMAS), Singapore, pp. 806-813. [verified]</w:t>
      </w:r>
    </w:p>
    <w:p>
      <w:pPr>
        <w:pStyle w:val="ListNum"/>
      </w:pPr>
      <w:r>
        <w:t xml:space="preserve">2. Miller, J. H., and Smith, S. C. (1990). Money as a Medium of Exchange in an Economy with Artificially Intelligent Agents. Journal of Economic Dynamics and Control, 14(2-3), pp. 329-373. [verified]</w:t>
      </w:r>
    </w:p>
    <w:p>
      <w:pPr>
        <w:pStyle w:val="ListNum"/>
      </w:pPr>
      <w:r>
        <w:t xml:space="preserve">3. Epstein, J. M., and Axtell, R. (1996). Growing Artificial Societies: Social Science from the Bottom Up. Washington, DC: Brookings Institution Press.</w:t>
      </w:r>
    </w:p>
    <w:p>
      <w:pPr>
        <w:pStyle w:val="ListNum"/>
      </w:pPr>
      <w:r>
        <w:t xml:space="preserve">4. Wilensky, U., and Rand, W. (2007). An Introduction to Agent-Based Modeling: The New Science of Artificial Societies. Washington, DC: Brookings Institution Press.</w:t>
      </w:r>
    </w:p>
    <w:p>
      <w:pPr>
        <w:pStyle w:val="ListNum"/>
      </w:pPr>
      <w:r>
        <w:t xml:space="preserve">5. Schnellenberg, W. (2017). A Handbook for Agent-Based Social Simulation. Cham: Birkhauser.</w:t>
      </w:r>
    </w:p>
    <w:p>
      <w:pPr>
        <w:pStyle w:val="ListNum"/>
      </w:pPr>
      <w:r>
        <w:t xml:space="preserve">6. Schelling, T. C. (1971). Dynamic Models of Segregation. Journal of Mathematical Sociology, 1(2), pp. 143-186.</w:t>
      </w:r>
    </w:p>
    <w:p>
      <w:pPr>
        <w:pStyle w:val="ListNum"/>
      </w:pPr>
      <w:r>
        <w:t xml:space="preserve">7. Axelrod, R. (1997). The Complexity of Cooperation. Princeton, NJ: Princeton University Press.</w:t>
      </w:r>
    </w:p>
    <w:p>
      <w:pPr>
        <w:pStyle w:val="ListNum"/>
      </w:pPr>
      <w:r>
        <w:t xml:space="preserve">8. Weidlich, W., and Haag, G. (1972). Experimental Studies of a Sociological Simulation Model. In: Aggregation of Variables in Sociological Systems. Bern: Francke Verlag.</w:t>
      </w:r>
    </w:p>
    <w:p>
      <w:pPr>
        <w:pStyle w:val="ListNum"/>
      </w:pPr>
      <w:r>
        <w:t xml:space="preserve">9. Lux, T., and Marchesi, M. (1999). Scaling and Criticality in a Stochastic Multi-Agent Model of a Financial Market. Nature, 401, pp. 640-641.</w:t>
      </w:r>
    </w:p>
    <w:p>
      <w:pPr>
        <w:pStyle w:val="Heading2"/>
      </w:pPr>
      <w:r>
        <w:t xml:space="preserve">Competition, pricing, and equilibrium</w:t>
      </w:r>
    </w:p>
    <w:p>
      <w:pPr>
        <w:pStyle w:val="ListNum"/>
      </w:pPr>
      <w:r>
        <w:t xml:space="preserve">1. Arrow, K. J. (1951). An Extension of the Basic Theorems of Classical Welfare Economics. In: Proceedings of the Second Berkeley Symposium on Mathematical Statistics and Probability. Berkeley: University of California Press, pp. 13-45. [verified]</w:t>
      </w:r>
    </w:p>
    <w:p>
      <w:pPr>
        <w:pStyle w:val="ListNum"/>
      </w:pPr>
      <w:r>
        <w:t xml:space="preserve">2. Bertrand, J. (1883). Theorie des equations differentielles et des equations algebriques a une inconnue. Paris: Gauthier-Villars.</w:t>
      </w:r>
    </w:p>
    <w:p>
      <w:pPr>
        <w:pStyle w:val="ListNum"/>
      </w:pPr>
      <w:r>
        <w:t xml:space="preserve">3. Cournot, A. (1838). Recherches theoriques sur la theorie du monopole. Paris: Pichon.</w:t>
      </w:r>
    </w:p>
    <w:p>
      <w:pPr>
        <w:pStyle w:val="ListNum"/>
      </w:pPr>
      <w:r>
        <w:t xml:space="preserve">4. Hotelling, H. (1929). Stability in Competition. Economic Journal, 39(155), pp. 41-57.</w:t>
      </w:r>
    </w:p>
    <w:p>
      <w:pPr>
        <w:pStyle w:val="ListNum"/>
      </w:pPr>
      <w:r>
        <w:t xml:space="preserve">5. Chamberlin, E. H. (1933). The Theory of Monopolistic Competition. Boston: Houghton Mifflin.</w:t>
      </w:r>
    </w:p>
    <w:p>
      <w:pPr>
        <w:pStyle w:val="ListNum"/>
      </w:pPr>
      <w:r>
        <w:t xml:space="preserve">6. Coase, R. H. (1937). The Nature of the Firm. Economica, 4(16), pp. 386-405.</w:t>
      </w:r>
    </w:p>
    <w:p>
      <w:pPr>
        <w:pStyle w:val="ListNum"/>
      </w:pPr>
      <w:r>
        <w:t xml:space="preserve">7. Stiglitz, J. E. (1982). Theories of Imperfect Competition and the Concept of Efficient Equilibrium. American Economic Review, 72(5), pp. 997-1009.</w:t>
      </w:r>
    </w:p>
    <w:p>
      <w:pPr>
        <w:pStyle w:val="ListNum"/>
      </w:pPr>
      <w:r>
        <w:t xml:space="preserve">8. Akerlof, G. A. (1970). The Market for Lemons: Quality Uncertainty and the Market Mechanism. Quarterly Journal of Economics, 84(3), pp. 488-500.</w:t>
      </w:r>
    </w:p>
    <w:p>
      <w:pPr>
        <w:pStyle w:val="ListNum"/>
      </w:pPr>
      <w:r>
        <w:t xml:space="preserve">9. Saloner, G., and Stiglitz, J. (eds.) (2006). Handbook of Industrial Organization. Amsterdam: Elsevier.</w:t>
      </w:r>
    </w:p>
    <w:p>
      <w:pPr>
        <w:pStyle w:val="Heading2"/>
      </w:pPr>
      <w:r>
        <w:t xml:space="preserve">Institutions, norms, and collective behaviour</w:t>
      </w:r>
    </w:p>
    <w:p>
      <w:pPr>
        <w:pStyle w:val="ListNum"/>
      </w:pPr>
      <w:r>
        <w:t xml:space="preserve">1. Ostrom, E. (1990). Governing the Commons. Cambridge: Cambridge University Press.</w:t>
      </w:r>
    </w:p>
    <w:p>
      <w:pPr>
        <w:pStyle w:val="ListNum"/>
      </w:pPr>
      <w:r>
        <w:t xml:space="preserve">2. North, D. C. (1991). Institutions, Institutional Change and Economic Performance. Cambridge: Cambridge University Press.</w:t>
      </w:r>
    </w:p>
    <w:p>
      <w:pPr>
        <w:pStyle w:val="ListNum"/>
      </w:pPr>
      <w:r>
        <w:t xml:space="preserve">3. Granovetter, M. S. (1978). Threshold Models of Collective Behavior. American Journal of Sociology, 83(6), pp. 1420-1443.</w:t>
      </w:r>
    </w:p>
    <w:p>
      <w:pPr>
        <w:pStyle w:val="ListNum"/>
      </w:pPr>
      <w:r>
        <w:t xml:space="preserve">4. Fehr, E., and Gachter, S. (2000). Cooperation and Punishment in Public Goods Experiments. American Economic Review, 90(2), pp. 340-377.</w:t>
      </w:r>
    </w:p>
    <w:p>
      <w:pPr>
        <w:pStyle w:val="Heading2"/>
      </w:pPr>
      <w:r>
        <w:t xml:space="preserve">Frameworks and tools</w:t>
      </w:r>
    </w:p>
    <w:p>
      <w:pPr>
        <w:pStyle w:val="ListNum"/>
      </w:pPr>
      <w:r>
        <w:t xml:space="preserve">1. JaCaMo. An agent-based programming framework combining Jason, CArtAgO, and Moise. Version 1.3.1. Available at: https://jacamo-lang.github.io</w:t>
      </w:r>
    </w:p>
    <w:p>
      <w:pPr>
        <w:pStyle w:val="ListNum"/>
      </w:pPr>
      <w:r>
        <w:t xml:space="preserve">2. Moise. An organisational specification language and runtime for multi-agent systems. Version 1.1. Available at: https://moise-lang.github.io</w:t>
      </w:r>
    </w:p>
    <w:p>
      <w:pPr>
        <w:pStyle w:val="ListNum"/>
      </w:pPr>
      <w:r>
        <w:t xml:space="preserve">3. CArtAgO. A framework for building shared artifacts in agent-based systems. Available at: https://cartago.github.io</w:t>
      </w:r>
    </w:p>
    <w:p>
      <w:pPr>
        <w:pStyle w:val="ListNum"/>
      </w:pPr>
      <w:r>
        <w:t xml:space="preserve">4. Vasconcelos, W., Granda, N., Martins, L., Kowalski, P., and Bicharra, J. (2009). Jason: an agent-based programming language for multimodal agents. IEEE Transactions on Systems, Man, and Cybernetics, Part A, 39(1), pp. 1-19.</w:t>
      </w:r>
    </w:p>
    <w:p>
      <w:pPr>
        <w:pStyle w:val="ListNum"/>
      </w:pPr>
      <w:r>
        <w:t xml:space="preserve">5. Wooldridge, M. (2009). A Multiagent Systems Introduction. Oxford: Oxford University Press. Also available as a free preprint from the author's web site.</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40" w:line="276" w:lineRule="auto"/>
      </w:pPr>
    </w:pPrDefault>
  </w:docDefaults>
  <w:style w:type="paragraph" w:default="1" w:styleId="Normal">
    <w:name w:val="Normal"/>
    <w:qFormat/>
  </w:style>
  <w:style w:type="paragraph" w:styleId="Body">
    <w:name w:val="Body Text"/>
    <w:basedOn w:val="Normal"/>
    <w:qFormat/>
    <w:pPr>
      <w:jc w:val="both"/>
    </w:pPr>
  </w:style>
  <w:style w:type="paragraph" w:styleId="Title">
    <w:name w:val="Title"/>
    <w:basedOn w:val="Normal"/>
    <w:qFormat/>
    <w:pPr>
      <w:spacing w:before="0" w:after="80"/>
    </w:pPr>
    <w:rPr>
      <w:b/>
      <w:sz w:val="52"/>
      <w:color w:val="1F3864"/>
    </w:rPr>
  </w:style>
  <w:style w:type="paragraph" w:styleId="Subtitle">
    <w:name w:val="Subtitle"/>
    <w:basedOn w:val="Normal"/>
    <w:qFormat/>
    <w:pPr>
      <w:spacing w:after="120"/>
    </w:pPr>
    <w:rPr>
      <w:sz w:val="30"/>
      <w:color w:val="2E5496"/>
    </w:rPr>
  </w:style>
  <w:style w:type="paragraph" w:styleId="Meta">
    <w:name w:val="Meta"/>
    <w:basedOn w:val="Normal"/>
    <w:qFormat/>
    <w:pPr>
      <w:spacing w:after="60"/>
    </w:pPr>
    <w:rPr>
      <w:i/>
      <w:sz w:val="19"/>
      <w:color w:val="595959"/>
    </w:rPr>
  </w:style>
  <w:style w:type="paragraph" w:styleId="Heading1">
    <w:name w:val="heading 1"/>
    <w:basedOn w:val="Normal"/>
    <w:qFormat/>
    <w:pPr>
      <w:outlineLvl w:val="0"/>
      <w:spacing w:before="360" w:after="140"/>
      <w:pBdr>
        <w:bottom w:val="single" w:sz="6" w:space="4" w:color="B4C6E7"/>
      </w:pBdr>
    </w:pPr>
    <w:rPr>
      <w:b/>
      <w:sz w:val="32"/>
      <w:color w:val="1F3864"/>
    </w:rPr>
  </w:style>
  <w:style w:type="paragraph" w:styleId="Heading2">
    <w:name w:val="heading 2"/>
    <w:basedOn w:val="Normal"/>
    <w:qFormat/>
    <w:pPr>
      <w:outlineLvl w:val="1"/>
      <w:spacing w:before="280" w:after="110"/>
    </w:pPr>
    <w:rPr>
      <w:b/>
      <w:sz w:val="26"/>
      <w:color w:val="2E5496"/>
    </w:rPr>
  </w:style>
  <w:style w:type="paragraph" w:styleId="Heading3">
    <w:name w:val="heading 3"/>
    <w:basedOn w:val="Normal"/>
    <w:qFormat/>
    <w:pPr>
      <w:outlineLvl w:val="2"/>
      <w:spacing w:before="220" w:after="90"/>
    </w:pPr>
    <w:rPr>
      <w:b/>
      <w:i/>
      <w:sz w:val="23"/>
      <w:color w:val="2E5496"/>
    </w:rPr>
  </w:style>
  <w:style w:type="paragraph" w:styleId="ListNum">
    <w:name w:val="List Number"/>
    <w:basedOn w:val="Normal"/>
    <w:qFormat/>
    <w:pPr>
      <w:ind w:left="454" w:hanging="454"/>
      <w:spacing w:after="90"/>
      <w:jc w:val="both"/>
    </w:pPr>
  </w:style>
  <w:style w:type="paragraph" w:styleId="ListBul">
    <w:name w:val="List Bullet"/>
    <w:basedOn w:val="Normal"/>
    <w:qFormat/>
    <w:pPr>
      <w:ind w:left="454" w:hanging="284"/>
      <w:spacing w:after="90"/>
      <w:jc w:val="both"/>
    </w:pPr>
  </w:style>
  <w:style w:type="paragraph" w:styleId="Note">
    <w:name w:val="Note"/>
    <w:basedOn w:val="Normal"/>
    <w:qFormat/>
    <w:pPr>
      <w:ind w:left="284"/>
      <w:spacing w:after="120"/>
      <w:jc w:val="both"/>
    </w:pPr>
    <w:rPr>
      <w:i/>
      <w:sz w:val="20"/>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Manual OOXML</Application>
</Properties>
</file>

<file path=docProps/core.xml><?xml version="1.0" encoding="utf-8"?>
<cp:coreProperties xmlns:cp="http://schemas.openxmlformats.org/package/2006/metadata/core-properties" xmlns:dc="http://purl.org/dc/elements/1.1/" xmlns:dcterms="http://purl.org/dc/terms/" xmlns:xsi="http://www.w3.org/2001/XMLSchema-instance">
  <dc:title>A Preliminary Whitepaper: Designing an Agent-Based Market with JaCaMo</dc:title>
  <dc:subject>Agent-based economic simulation - preliminary draft</dc:subject>
  <dc:description>Preliminary whitepaper covering objectives, usage, educational concepts and bibliography.</dc:description>
  <cp:keywords>agent-based modeling; JaCaMo; Moise; market simulation; supply and demand</cp:keywords>
  <cp:revision>1</cp:revision>
</cp:coreProperties>
</file>