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BA" w:rsidRDefault="00E8766C" w:rsidP="005B2DBA">
      <w:pPr>
        <w:pStyle w:val="a3"/>
        <w:ind w:firstLine="643"/>
      </w:pPr>
      <w:r w:rsidRPr="00C751D5">
        <w:rPr>
          <w:rFonts w:hint="eastAsia"/>
        </w:rPr>
        <w:t>深圳市城市垃圾处理社会总成本分析</w:t>
      </w:r>
    </w:p>
    <w:p w:rsidR="00E8766C" w:rsidRPr="005B2DBA" w:rsidRDefault="00E8766C" w:rsidP="005B2DBA">
      <w:pPr>
        <w:pStyle w:val="10"/>
      </w:pPr>
      <w:r w:rsidRPr="005B2DBA">
        <w:rPr>
          <w:rFonts w:hint="eastAsia"/>
        </w:rPr>
        <w:t>摘要</w:t>
      </w:r>
    </w:p>
    <w:p w:rsidR="00E8766C" w:rsidRPr="00D17688" w:rsidRDefault="00E8766C" w:rsidP="005B2DBA">
      <w:pPr>
        <w:ind w:firstLine="480"/>
        <w:rPr>
          <w:rFonts w:ascii="宋体" w:hAnsi="宋体"/>
        </w:rPr>
      </w:pPr>
      <w:r w:rsidRPr="00D17688">
        <w:rPr>
          <w:rFonts w:ascii="宋体" w:hAnsi="宋体" w:hint="eastAsia"/>
        </w:rPr>
        <w:t>本文针对深圳市垃圾处理的社会总成本问题，建立深圳市垃圾处理社会总成本的分析模型，对不同模式下深圳垃圾处理的社会总成本进行了估算，并对远期垃圾处理社会总成本进行了预测分析，最终得到了深圳垃圾分类制度建设的优选模式，并对政府提出了建议。</w:t>
      </w:r>
    </w:p>
    <w:p w:rsidR="00E8766C" w:rsidRPr="00D17688" w:rsidRDefault="00E8766C" w:rsidP="00D17688">
      <w:pPr>
        <w:ind w:firstLine="480"/>
        <w:rPr>
          <w:rFonts w:ascii="宋体" w:hAnsi="宋体"/>
        </w:rPr>
      </w:pPr>
      <w:r w:rsidRPr="00D17688">
        <w:rPr>
          <w:rFonts w:ascii="宋体" w:hAnsi="宋体" w:hint="eastAsia"/>
        </w:rPr>
        <w:t>针对问题</w:t>
      </w:r>
      <w:proofErr w:type="gramStart"/>
      <w:r w:rsidRPr="00D17688">
        <w:rPr>
          <w:rFonts w:ascii="宋体" w:hAnsi="宋体" w:hint="eastAsia"/>
        </w:rPr>
        <w:t>一</w:t>
      </w:r>
      <w:proofErr w:type="gramEnd"/>
      <w:r w:rsidRPr="00D17688">
        <w:rPr>
          <w:rFonts w:ascii="宋体" w:hAnsi="宋体" w:hint="eastAsia"/>
        </w:rPr>
        <w:t>：首先根据深圳处理社会总成本的定义，将社会总成本细化分为直接成本和间接成本，直接成本和间接成本下又可细化分为各个社会单项成本，各个单项社会成本分别对应各自的分析模型，以单项社会成本分析模型为基础，可得到社会总成本的分析模型。</w:t>
      </w:r>
    </w:p>
    <w:p w:rsidR="00E8766C" w:rsidRPr="00D17688" w:rsidRDefault="00E8766C" w:rsidP="00D17688">
      <w:pPr>
        <w:ind w:firstLine="480"/>
        <w:rPr>
          <w:rFonts w:ascii="宋体" w:hAnsi="宋体"/>
        </w:rPr>
      </w:pPr>
      <w:r w:rsidRPr="00D17688">
        <w:rPr>
          <w:rFonts w:ascii="宋体" w:hAnsi="宋体" w:hint="eastAsia"/>
        </w:rPr>
        <w:t>针对问题二：根据问题一中的垃圾处理社会总成本分析模型，来完善三种不同模式下的社会总成本中的直接成本和间接成本。可以得到现状，模式</w:t>
      </w:r>
      <w:proofErr w:type="gramStart"/>
      <w:r w:rsidRPr="00D17688">
        <w:rPr>
          <w:rFonts w:ascii="宋体" w:hAnsi="宋体" w:hint="eastAsia"/>
        </w:rPr>
        <w:t>一</w:t>
      </w:r>
      <w:proofErr w:type="gramEnd"/>
      <w:r w:rsidRPr="00D17688">
        <w:rPr>
          <w:rFonts w:ascii="宋体" w:hAnsi="宋体" w:hint="eastAsia"/>
        </w:rPr>
        <w:t>，模式二，模式三下的非建设社会总成本分别为1125.39元/t、1414.24元/t、1220.1元/t、1237.69元/t。建设成本为0.433亿/年，垃圾量是影响总成本计算的重要因素，垃圾量的多少受到年末常住人口、第三产业等因素的影响，因此利用灰色关联度对影响垃圾产生量的因素进行关联度分析，分析结果表明:垃圾产生量与建成区绿化覆盖面积、每年全市常驻人口、社会销售品零售总额有着较大的关联度，基于上述影响因素建立多元回归、灰色预测模型和BP神经网络的组合预测模型，从而预测出未来十年的垃圾产生量。根据垃圾产生量，并结合问题一中的垃圾处理社会总成本的分析模型，得到未来十年深圳垃圾处理社会总成本和其变化趋势，根据各个模式下的分项分类对各个分项的成本估算，得到各个分项的比例变化情况。</w:t>
      </w:r>
    </w:p>
    <w:p w:rsidR="00E8766C" w:rsidRPr="00D17688" w:rsidRDefault="00E8766C" w:rsidP="00D17688">
      <w:pPr>
        <w:ind w:firstLine="480"/>
        <w:rPr>
          <w:rFonts w:ascii="宋体" w:hAnsi="宋体"/>
        </w:rPr>
      </w:pPr>
      <w:r w:rsidRPr="00D17688">
        <w:rPr>
          <w:rFonts w:ascii="宋体" w:hAnsi="宋体" w:hint="eastAsia"/>
        </w:rPr>
        <w:t>针对问题三：以垃圾处理社会总成本分项模型和四个不同的处理模式为基础，分析出远期成本效益与垃圾处理方式焚烧、填埋、生物处理所占比重的有关，因此对垃圾处理模式建立非线性规划模型，满足各个约束条件下，利用LINGO对该非线性模型进行计算，得到远期成本效益值为127.1亿元 ，并得到焚烧、填埋、生物处理的比重分别为25.9% 、34.2% 、39.9% ，将该优选模式与上述四种模式进行分析比较，得到该模式的远期成本效益比其他四种模式高，基于该模式，对深圳市政府提出合理化的建议。</w:t>
      </w:r>
    </w:p>
    <w:p w:rsidR="00D17688" w:rsidRDefault="00D17688" w:rsidP="00E8766C">
      <w:pPr>
        <w:overflowPunct w:val="0"/>
        <w:topLinePunct/>
        <w:autoSpaceDE w:val="0"/>
        <w:autoSpaceDN w:val="0"/>
        <w:ind w:firstLine="482"/>
        <w:rPr>
          <w:rFonts w:ascii="宋体" w:hAnsi="宋体"/>
        </w:rPr>
      </w:pPr>
      <w:r>
        <w:rPr>
          <w:rFonts w:ascii="黑体" w:eastAsia="黑体" w:hAnsi="黑体" w:hint="eastAsia"/>
          <w:b/>
        </w:rPr>
        <w:t>关键字</w:t>
      </w:r>
      <w:r w:rsidRPr="006A1D4A">
        <w:rPr>
          <w:b/>
        </w:rPr>
        <w:t>:</w:t>
      </w:r>
      <w:r w:rsidRPr="006A1D4A">
        <w:rPr>
          <w:rFonts w:hint="eastAsia"/>
        </w:rPr>
        <w:t>社会总成本分析模型</w:t>
      </w:r>
      <w:r w:rsidRPr="006A1D4A">
        <w:rPr>
          <w:rFonts w:hint="eastAsia"/>
        </w:rPr>
        <w:t xml:space="preserve"> </w:t>
      </w:r>
      <w:r>
        <w:rPr>
          <w:rFonts w:hint="eastAsia"/>
        </w:rPr>
        <w:t>多元回归</w:t>
      </w:r>
      <w:r>
        <w:rPr>
          <w:rFonts w:hint="eastAsia"/>
        </w:rPr>
        <w:t xml:space="preserve"> BP</w:t>
      </w:r>
      <w:r w:rsidRPr="006A1D4A">
        <w:rPr>
          <w:rFonts w:hint="eastAsia"/>
        </w:rPr>
        <w:t>神经网络</w:t>
      </w:r>
      <w:r w:rsidRPr="006A1D4A">
        <w:rPr>
          <w:rFonts w:hint="eastAsia"/>
        </w:rPr>
        <w:t xml:space="preserve"> </w:t>
      </w:r>
      <w:r w:rsidRPr="006A1D4A">
        <w:rPr>
          <w:rFonts w:hint="eastAsia"/>
        </w:rPr>
        <w:t>组合预测</w:t>
      </w:r>
      <w:r w:rsidRPr="006A1D4A">
        <w:rPr>
          <w:rFonts w:hint="eastAsia"/>
        </w:rPr>
        <w:t xml:space="preserve"> </w:t>
      </w:r>
      <w:r>
        <w:rPr>
          <w:rFonts w:hint="eastAsia"/>
        </w:rPr>
        <w:t>非线性规划</w:t>
      </w:r>
    </w:p>
    <w:p w:rsidR="00E8766C" w:rsidRPr="00E8766C" w:rsidRDefault="00E8766C" w:rsidP="00E8766C">
      <w:pPr>
        <w:ind w:firstLine="480"/>
      </w:pPr>
      <w:r>
        <w:br w:type="page"/>
      </w:r>
    </w:p>
    <w:p w:rsidR="009B1378" w:rsidRDefault="009B1378" w:rsidP="005B2DBA">
      <w:pPr>
        <w:pStyle w:val="10"/>
        <w:numPr>
          <w:ilvl w:val="0"/>
          <w:numId w:val="23"/>
        </w:numPr>
      </w:pPr>
      <w:r>
        <w:rPr>
          <w:rFonts w:hint="eastAsia"/>
        </w:rPr>
        <w:lastRenderedPageBreak/>
        <w:t>一级标题</w:t>
      </w:r>
    </w:p>
    <w:p w:rsidR="006703E1" w:rsidRDefault="005B2DBA" w:rsidP="005B2DBA">
      <w:pPr>
        <w:pStyle w:val="2"/>
        <w:numPr>
          <w:ilvl w:val="1"/>
          <w:numId w:val="12"/>
        </w:num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</w:t>
      </w:r>
    </w:p>
    <w:p w:rsidR="00D022A2" w:rsidRPr="00D022A2" w:rsidRDefault="00D022A2" w:rsidP="00D022A2">
      <w:pPr>
        <w:ind w:firstLine="480"/>
      </w:pPr>
    </w:p>
    <w:p w:rsidR="006703E1" w:rsidRDefault="006703E1" w:rsidP="006703E1">
      <w:pPr>
        <w:ind w:firstLine="480"/>
      </w:pPr>
      <w:r w:rsidRPr="00F92B62">
        <w:rPr>
          <w:rFonts w:hint="eastAsia"/>
        </w:rPr>
        <w:t>生活垃圾处理社会总成本是指生活垃圾处理单位在收集、运输、处理等城市生活垃圾过程所发生的费用，将垃圾处理的过程分为垃圾的投放收集，垃圾的转运，垃圾的处理，垃圾的未来治理。由于每个过程包括多个成本，不能直接计算社会成本，所以对其进行细分，将单项成本划分为直接成本和间接成本，直接</w:t>
      </w:r>
      <w:r>
        <w:rPr>
          <w:rFonts w:hint="eastAsia"/>
        </w:rPr>
        <w:t>成本包括垃圾的投放收集，土地成本、建设成本、运输成本，处理成本。</w:t>
      </w:r>
      <w:r w:rsidRPr="00F92B62">
        <w:rPr>
          <w:rFonts w:hint="eastAsia"/>
        </w:rPr>
        <w:t>间接成本指垃圾处理带来的健康损失，环境污染，政府的补贴和税收减免。社会垃圾处理总成本的等于以上各单项成本之</w:t>
      </w:r>
      <w:proofErr w:type="gramStart"/>
      <w:r w:rsidRPr="00F92B62">
        <w:rPr>
          <w:rFonts w:hint="eastAsia"/>
        </w:rPr>
        <w:t>和</w:t>
      </w:r>
      <w:proofErr w:type="gramEnd"/>
      <w:r w:rsidRPr="00F92B62">
        <w:rPr>
          <w:rFonts w:hint="eastAsia"/>
        </w:rPr>
        <w:t>。进</w:t>
      </w:r>
      <w:r w:rsidR="005B2DBA">
        <w:rPr>
          <w:rFonts w:hint="eastAsia"/>
        </w:rPr>
        <w:t>一步</w:t>
      </w:r>
      <w:proofErr w:type="gramStart"/>
      <w:r w:rsidR="005B2DBA">
        <w:rPr>
          <w:rFonts w:hint="eastAsia"/>
        </w:rPr>
        <w:t>作出</w:t>
      </w:r>
      <w:proofErr w:type="gramEnd"/>
      <w:r w:rsidR="005B2DBA">
        <w:rPr>
          <w:rFonts w:hint="eastAsia"/>
        </w:rPr>
        <w:t>垃圾处理社会总成本结构图如</w:t>
      </w:r>
      <w:r w:rsidR="005B2DBA">
        <w:fldChar w:fldCharType="begin"/>
      </w:r>
      <w:r w:rsidR="005B2DBA">
        <w:instrText xml:space="preserve"> </w:instrText>
      </w:r>
      <w:r w:rsidR="005B2DBA">
        <w:rPr>
          <w:rFonts w:hint="eastAsia"/>
        </w:rPr>
        <w:instrText>REF _Ref487105160 \h</w:instrText>
      </w:r>
      <w:r w:rsidR="005B2DBA">
        <w:instrText xml:space="preserve"> </w:instrText>
      </w:r>
      <w:r w:rsidR="005B2DBA">
        <w:fldChar w:fldCharType="separate"/>
      </w:r>
      <w:r w:rsidR="00C262BA" w:rsidRPr="005B2DBA">
        <w:rPr>
          <w:rFonts w:ascii="宋体" w:hAnsi="宋体"/>
          <w:szCs w:val="24"/>
        </w:rPr>
        <w:t xml:space="preserve">图 </w:t>
      </w:r>
      <w:r w:rsidR="00C262BA">
        <w:rPr>
          <w:rFonts w:ascii="宋体" w:hAnsi="宋体"/>
          <w:noProof/>
          <w:szCs w:val="24"/>
        </w:rPr>
        <w:t>1</w:t>
      </w:r>
      <w:r w:rsidR="00C262BA" w:rsidRPr="005B2DBA">
        <w:rPr>
          <w:rFonts w:ascii="宋体" w:hAnsi="宋体" w:hint="eastAsia"/>
          <w:szCs w:val="24"/>
        </w:rPr>
        <w:t>test</w:t>
      </w:r>
      <w:r w:rsidR="005B2DBA">
        <w:fldChar w:fldCharType="end"/>
      </w:r>
    </w:p>
    <w:p w:rsidR="005B2DBA" w:rsidRDefault="005B2DBA" w:rsidP="005B2DBA">
      <w:pPr>
        <w:ind w:firstLine="480"/>
      </w:pPr>
      <w:r>
        <w:object w:dxaOrig="15241" w:dyaOrig="11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85pt;height:322.35pt" o:ole="">
            <v:imagedata r:id="rId8" o:title=""/>
          </v:shape>
          <o:OLEObject Type="Embed" ProgID="Visio.Drawing.15" ShapeID="_x0000_i1029" DrawAspect="Content" ObjectID="_1561897525" r:id="rId9"/>
        </w:object>
      </w:r>
    </w:p>
    <w:p w:rsidR="005B2DBA" w:rsidRPr="005B2DBA" w:rsidRDefault="005B2DBA" w:rsidP="005B2DBA">
      <w:pPr>
        <w:pStyle w:val="a8"/>
        <w:ind w:firstLine="480"/>
        <w:jc w:val="center"/>
        <w:rPr>
          <w:rFonts w:ascii="宋体" w:eastAsia="宋体" w:hAnsi="宋体"/>
          <w:sz w:val="24"/>
          <w:szCs w:val="24"/>
        </w:rPr>
      </w:pPr>
      <w:bookmarkStart w:id="0" w:name="_Ref487105160"/>
      <w:r w:rsidRPr="005B2DBA">
        <w:rPr>
          <w:rFonts w:ascii="宋体" w:eastAsia="宋体" w:hAnsi="宋体"/>
          <w:sz w:val="24"/>
          <w:szCs w:val="24"/>
        </w:rPr>
        <w:t xml:space="preserve">图 </w:t>
      </w:r>
      <w:r w:rsidRPr="005B2DBA">
        <w:rPr>
          <w:rFonts w:ascii="宋体" w:eastAsia="宋体" w:hAnsi="宋体"/>
          <w:sz w:val="24"/>
          <w:szCs w:val="24"/>
        </w:rPr>
        <w:fldChar w:fldCharType="begin"/>
      </w:r>
      <w:r w:rsidRPr="005B2DBA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5B2DBA">
        <w:rPr>
          <w:rFonts w:ascii="宋体" w:eastAsia="宋体" w:hAnsi="宋体"/>
          <w:sz w:val="24"/>
          <w:szCs w:val="24"/>
        </w:rPr>
        <w:fldChar w:fldCharType="separate"/>
      </w:r>
      <w:r w:rsidR="00A532A4">
        <w:rPr>
          <w:rFonts w:ascii="宋体" w:eastAsia="宋体" w:hAnsi="宋体"/>
          <w:noProof/>
          <w:sz w:val="24"/>
          <w:szCs w:val="24"/>
        </w:rPr>
        <w:t>1</w:t>
      </w:r>
      <w:r w:rsidRPr="005B2DBA">
        <w:rPr>
          <w:rFonts w:ascii="宋体" w:eastAsia="宋体" w:hAnsi="宋体"/>
          <w:sz w:val="24"/>
          <w:szCs w:val="24"/>
        </w:rPr>
        <w:fldChar w:fldCharType="end"/>
      </w:r>
      <w:r w:rsidRPr="005B2DBA">
        <w:rPr>
          <w:rFonts w:ascii="宋体" w:eastAsia="宋体" w:hAnsi="宋体" w:hint="eastAsia"/>
          <w:sz w:val="24"/>
          <w:szCs w:val="24"/>
        </w:rPr>
        <w:t>test</w:t>
      </w:r>
      <w:bookmarkEnd w:id="0"/>
    </w:p>
    <w:p w:rsidR="005B2DBA" w:rsidRPr="005B2DBA" w:rsidRDefault="005B2DBA" w:rsidP="005B2DBA">
      <w:pPr>
        <w:pStyle w:val="3"/>
      </w:pPr>
      <w:r>
        <w:rPr>
          <w:rFonts w:hint="eastAsia"/>
        </w:rPr>
        <w:t>各个分项成本的分析模型</w:t>
      </w:r>
    </w:p>
    <w:p w:rsidR="009B1378" w:rsidRDefault="009B1378" w:rsidP="005B2DBA">
      <w:pPr>
        <w:pStyle w:val="10"/>
        <w:numPr>
          <w:ilvl w:val="0"/>
          <w:numId w:val="23"/>
        </w:numPr>
      </w:pPr>
      <w:r>
        <w:rPr>
          <w:rFonts w:hint="eastAsia"/>
        </w:rPr>
        <w:t>一级标题</w:t>
      </w:r>
    </w:p>
    <w:p w:rsidR="009B1378" w:rsidRPr="009B1378" w:rsidRDefault="009B1378" w:rsidP="005B2DBA">
      <w:pPr>
        <w:pStyle w:val="2"/>
        <w:numPr>
          <w:ilvl w:val="1"/>
          <w:numId w:val="19"/>
        </w:numPr>
      </w:pPr>
      <w:r>
        <w:rPr>
          <w:rFonts w:hint="eastAsia"/>
        </w:rPr>
        <w:t>二级标题</w:t>
      </w:r>
    </w:p>
    <w:p w:rsidR="00C262BA" w:rsidRDefault="00D022A2" w:rsidP="00C262BA">
      <w:pPr>
        <w:wordWrap w:val="0"/>
        <w:ind w:right="480" w:firstLine="480"/>
      </w:pPr>
      <w:r>
        <w:rPr>
          <w:rFonts w:hint="eastAsia"/>
        </w:rPr>
        <w:lastRenderedPageBreak/>
        <w:t>测试</w:t>
      </w:r>
      <w:r w:rsidR="00C262BA">
        <w:rPr>
          <w:rFonts w:hint="eastAsia"/>
        </w:rPr>
        <w:t>公式</w:t>
      </w:r>
      <w:r w:rsidR="00C262BA">
        <w:fldChar w:fldCharType="begin"/>
      </w:r>
      <w:r w:rsidR="00C262BA">
        <w:instrText xml:space="preserve"> </w:instrText>
      </w:r>
      <w:r w:rsidR="00C262BA">
        <w:rPr>
          <w:rFonts w:hint="eastAsia"/>
        </w:rPr>
        <w:instrText>MACROBUTTON MTEditEquationSection2</w:instrText>
      </w:r>
      <w:r w:rsidR="00C262BA">
        <w:instrText xml:space="preserve"> </w:instrText>
      </w:r>
      <w:r w:rsidR="00C262BA" w:rsidRPr="00C262BA">
        <w:rPr>
          <w:rStyle w:val="MTEquationSection"/>
        </w:rPr>
        <w:instrText>Equation Section 2</w:instrText>
      </w:r>
      <w:r w:rsidR="00C262BA">
        <w:fldChar w:fldCharType="begin"/>
      </w:r>
      <w:r w:rsidR="00C262BA">
        <w:instrText xml:space="preserve"> SEQ MTEqn \r \h \* MERGEFORMAT </w:instrText>
      </w:r>
      <w:r w:rsidR="00C262BA">
        <w:fldChar w:fldCharType="end"/>
      </w:r>
      <w:r w:rsidR="00C262BA">
        <w:fldChar w:fldCharType="begin"/>
      </w:r>
      <w:r w:rsidR="00C262BA">
        <w:instrText xml:space="preserve"> SEQ MTSec \r 2 \h \* MERGEFORMAT </w:instrText>
      </w:r>
      <w:r w:rsidR="00C262BA">
        <w:fldChar w:fldCharType="end"/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1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</w:instrText>
      </w:r>
      <w:r w:rsidR="00F251C4">
        <w:instrText xml:space="preserve">MAT </w:instrText>
      </w:r>
      <w:r w:rsidR="00F251C4">
        <w:fldChar w:fldCharType="separate"/>
      </w:r>
      <w:r w:rsidR="00C262BA">
        <w:rPr>
          <w:noProof/>
        </w:rPr>
        <w:instrText>3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4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</w:instrText>
      </w:r>
      <w:r w:rsidR="00F251C4">
        <w:instrText xml:space="preserve">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5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6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7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8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9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 MERGEFORMAT </w:instrText>
      </w:r>
      <w:r w:rsidR="00F251C4">
        <w:fldChar w:fldCharType="separate"/>
      </w:r>
      <w:r w:rsidR="00C262BA">
        <w:rPr>
          <w:noProof/>
        </w:rPr>
        <w:instrText>10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  <w:r w:rsidR="00C262BA">
        <w:fldChar w:fldCharType="begin"/>
      </w:r>
      <w:r w:rsidR="00C262BA">
        <w:instrText xml:space="preserve"> MACROBUTTON MTPlaceRef \* MERGEFORMAT </w:instrText>
      </w:r>
      <w:r w:rsidR="00C262BA">
        <w:fldChar w:fldCharType="begin"/>
      </w:r>
      <w:r w:rsidR="00C262BA">
        <w:instrText xml:space="preserve"> SEQ MTEqn \h \* MERGEFORMAT </w:instrText>
      </w:r>
      <w:r w:rsidR="00C262BA">
        <w:fldChar w:fldCharType="end"/>
      </w:r>
      <w:r w:rsidR="00C262BA">
        <w:instrText>(</w:instrText>
      </w:r>
      <w:r w:rsidR="00F251C4">
        <w:fldChar w:fldCharType="begin"/>
      </w:r>
      <w:r w:rsidR="00F251C4">
        <w:instrText xml:space="preserve"> SEQ MTSec \c \* Arabic \* MERGEFORMAT </w:instrText>
      </w:r>
      <w:r w:rsidR="00F251C4">
        <w:fldChar w:fldCharType="separate"/>
      </w:r>
      <w:r w:rsidR="00C262BA">
        <w:rPr>
          <w:noProof/>
        </w:rPr>
        <w:instrText>2</w:instrText>
      </w:r>
      <w:r w:rsidR="00F251C4">
        <w:rPr>
          <w:noProof/>
        </w:rPr>
        <w:fldChar w:fldCharType="end"/>
      </w:r>
      <w:r w:rsidR="00C262BA">
        <w:instrText>.</w:instrText>
      </w:r>
      <w:r w:rsidR="00F251C4">
        <w:fldChar w:fldCharType="begin"/>
      </w:r>
      <w:r w:rsidR="00F251C4">
        <w:instrText xml:space="preserve"> SEQ MTEqn \c \* Arabic \*</w:instrText>
      </w:r>
      <w:r w:rsidR="00F251C4">
        <w:instrText xml:space="preserve"> MERGEFORMAT </w:instrText>
      </w:r>
      <w:r w:rsidR="00F251C4">
        <w:fldChar w:fldCharType="separate"/>
      </w:r>
      <w:r w:rsidR="00C262BA">
        <w:rPr>
          <w:noProof/>
        </w:rPr>
        <w:instrText>11</w:instrText>
      </w:r>
      <w:r w:rsidR="00F251C4">
        <w:rPr>
          <w:noProof/>
        </w:rPr>
        <w:fldChar w:fldCharType="end"/>
      </w:r>
      <w:r w:rsidR="00C262BA">
        <w:instrText>)</w:instrText>
      </w:r>
      <w:r w:rsidR="00C262BA">
        <w:fldChar w:fldCharType="end"/>
      </w:r>
    </w:p>
    <w:p w:rsidR="00A532A4" w:rsidRDefault="00A532A4" w:rsidP="00A532A4">
      <w:pPr>
        <w:keepNext/>
        <w:ind w:right="480" w:firstLine="480"/>
        <w:jc w:val="center"/>
      </w:pPr>
      <w:r>
        <w:rPr>
          <w:noProof/>
        </w:rPr>
        <w:drawing>
          <wp:inline distT="0" distB="0" distL="0" distR="0" wp14:anchorId="5DBF8B27" wp14:editId="09B4F37B">
            <wp:extent cx="3955123" cy="476291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A6" w:rsidRDefault="00A532A4" w:rsidP="00A532A4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士大夫敢死队</w:t>
      </w:r>
    </w:p>
    <w:p w:rsidR="00B630A6" w:rsidRDefault="00B630A6">
      <w:pPr>
        <w:spacing w:line="320" w:lineRule="exact"/>
        <w:ind w:right="238" w:firstLineChars="0" w:firstLine="0"/>
      </w:pPr>
    </w:p>
    <w:p w:rsidR="0039235C" w:rsidRDefault="00B630A6" w:rsidP="00B630A6">
      <w:pPr>
        <w:ind w:firstLineChars="0" w:firstLine="0"/>
      </w:pPr>
      <w:r>
        <w:rPr>
          <w:rFonts w:hint="eastAsia"/>
        </w:rPr>
        <w:tab/>
      </w:r>
    </w:p>
    <w:p w:rsidR="0039235C" w:rsidRDefault="0039235C">
      <w:pPr>
        <w:spacing w:line="320" w:lineRule="exact"/>
        <w:ind w:right="238" w:firstLineChars="0" w:firstLine="0"/>
      </w:pPr>
      <w:r>
        <w:br w:type="page"/>
      </w:r>
    </w:p>
    <w:p w:rsidR="003058D6" w:rsidRDefault="00B630A6" w:rsidP="00B630A6">
      <w:pPr>
        <w:ind w:firstLineChars="0" w:firstLine="0"/>
      </w:pPr>
      <w:r>
        <w:rPr>
          <w:rFonts w:hint="eastAsia"/>
        </w:rPr>
        <w:lastRenderedPageBreak/>
        <w:t>插入文献测试</w:t>
      </w:r>
      <w:r w:rsidR="003058D6">
        <w:rPr>
          <w:rFonts w:hint="eastAsia"/>
        </w:rPr>
        <w:t>、</w:t>
      </w:r>
      <w:r w:rsidR="0039235C">
        <w:rPr>
          <w:rStyle w:val="af"/>
        </w:rPr>
        <w:t>[</w:t>
      </w:r>
      <w:r w:rsidR="0039235C">
        <w:rPr>
          <w:rStyle w:val="af"/>
        </w:rPr>
        <w:endnoteReference w:id="2"/>
      </w:r>
      <w:r w:rsidR="0039235C">
        <w:rPr>
          <w:rStyle w:val="af"/>
        </w:rPr>
        <w:t>]</w:t>
      </w:r>
    </w:p>
    <w:p w:rsidR="0039235C" w:rsidRPr="00B630A6" w:rsidRDefault="0039235C" w:rsidP="00B630A6">
      <w:pPr>
        <w:ind w:firstLineChars="0" w:firstLine="0"/>
        <w:rPr>
          <w:rFonts w:hint="eastAsia"/>
        </w:rPr>
      </w:pPr>
      <w:r>
        <w:rPr>
          <w:rFonts w:hint="eastAsia"/>
        </w:rPr>
        <w:t>插入文献测试、</w:t>
      </w:r>
      <w:r>
        <w:rPr>
          <w:rStyle w:val="af"/>
        </w:rPr>
        <w:t>[</w:t>
      </w:r>
      <w:r>
        <w:rPr>
          <w:rStyle w:val="af"/>
        </w:rPr>
        <w:endnoteReference w:id="3"/>
      </w:r>
      <w:r>
        <w:rPr>
          <w:rStyle w:val="af"/>
        </w:rPr>
        <w:t>]</w:t>
      </w:r>
    </w:p>
    <w:p w:rsidR="00B630A6" w:rsidRDefault="00B630A6" w:rsidP="00B630A6">
      <w:pPr>
        <w:pStyle w:val="10"/>
        <w:numPr>
          <w:ilvl w:val="0"/>
          <w:numId w:val="25"/>
        </w:numPr>
        <w:snapToGrid w:val="0"/>
        <w:spacing w:before="400" w:after="260" w:line="240" w:lineRule="auto"/>
        <w:ind w:right="240"/>
        <w:rPr>
          <w:rFonts w:ascii="黑体" w:hAnsi="黑体" w:cs="宋体"/>
          <w:kern w:val="0"/>
          <w:szCs w:val="28"/>
        </w:rPr>
      </w:pPr>
      <w:r w:rsidRPr="002C4884">
        <w:rPr>
          <w:rFonts w:ascii="黑体" w:hAnsi="黑体" w:cs="宋体" w:hint="eastAsia"/>
          <w:kern w:val="0"/>
          <w:szCs w:val="28"/>
        </w:rPr>
        <w:t>参考文献</w:t>
      </w:r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2" w:name="_Ref482555424"/>
      <w:bookmarkStart w:id="3" w:name="_Hlk482555233"/>
      <w:r w:rsidRPr="00B630A6">
        <w:rPr>
          <w:rFonts w:ascii="宋体" w:hAnsi="宋体" w:hint="eastAsia"/>
        </w:rPr>
        <w:t>冯思静</w:t>
      </w:r>
      <w:r w:rsidRPr="00B630A6">
        <w:rPr>
          <w:rFonts w:ascii="宋体" w:hAnsi="宋体"/>
        </w:rPr>
        <w:t>,马云东</w:t>
      </w:r>
      <w:r w:rsidRPr="00B630A6">
        <w:rPr>
          <w:rFonts w:ascii="宋体" w:hAnsi="宋体" w:hint="eastAsia"/>
        </w:rPr>
        <w:t>,</w:t>
      </w:r>
      <w:r w:rsidRPr="00B630A6">
        <w:rPr>
          <w:rFonts w:ascii="宋体" w:hAnsi="宋体"/>
        </w:rPr>
        <w:t>我国城市垃圾分类收集的经济效益分析</w:t>
      </w:r>
      <w:r w:rsidRPr="00B630A6">
        <w:rPr>
          <w:rFonts w:ascii="宋体" w:hAnsi="宋体" w:hint="eastAsia"/>
        </w:rPr>
        <w:t>,</w:t>
      </w:r>
      <w:r w:rsidRPr="00B630A6">
        <w:rPr>
          <w:rFonts w:ascii="宋体" w:hAnsi="宋体"/>
        </w:rPr>
        <w:t>江苏环境科技</w:t>
      </w:r>
      <w:r w:rsidRPr="00B630A6">
        <w:rPr>
          <w:rFonts w:ascii="宋体" w:hAnsi="宋体" w:hint="eastAsia"/>
        </w:rPr>
        <w:t>，</w:t>
      </w:r>
      <w:r w:rsidRPr="00B630A6">
        <w:rPr>
          <w:rFonts w:ascii="宋体" w:hAnsi="宋体"/>
        </w:rPr>
        <w:t>2006,19(1):49~50.</w:t>
      </w:r>
      <w:bookmarkEnd w:id="2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4" w:name="_Ref482556512"/>
      <w:r w:rsidRPr="00B630A6">
        <w:rPr>
          <w:rFonts w:ascii="宋体" w:hAnsi="宋体"/>
        </w:rPr>
        <w:t>深圳市政府,深圳市基准地价（2013年）,http://www.szpl.gov.cn/xxgk/tdgl/jzdj/2013dj/，2017/5/12.</w:t>
      </w:r>
      <w:bookmarkEnd w:id="4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5" w:name="_Ref482556552"/>
      <w:r w:rsidRPr="00B630A6">
        <w:rPr>
          <w:rFonts w:ascii="宋体" w:hAnsi="宋体"/>
        </w:rPr>
        <w:t>深圳市城市管理局，深圳市生活垃圾填埋场一览表（2016年6月），http://www.szum.gov.cn/zfwg/cgzt/hjws/hwss/201606/t20160629_3733733.htm，2017/5/12.</w:t>
      </w:r>
      <w:bookmarkEnd w:id="5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6" w:name="_Ref482556779"/>
      <w:r w:rsidRPr="00B630A6">
        <w:rPr>
          <w:rFonts w:ascii="宋体" w:hAnsi="宋体"/>
        </w:rPr>
        <w:t>姜建生，廖利，毕珠洁</w:t>
      </w:r>
      <w:r w:rsidRPr="00B630A6">
        <w:rPr>
          <w:rFonts w:ascii="宋体" w:hAnsi="宋体" w:hint="eastAsia"/>
        </w:rPr>
        <w:t>，</w:t>
      </w:r>
      <w:r w:rsidRPr="00B630A6">
        <w:rPr>
          <w:rFonts w:ascii="宋体" w:hAnsi="宋体"/>
        </w:rPr>
        <w:t>深圳市生活垃圾分类成本效益分析初探.环境卫生工程,2012,20(1):20~23.</w:t>
      </w:r>
      <w:bookmarkEnd w:id="6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7" w:name="_Ref482629468"/>
      <w:r w:rsidRPr="00B630A6">
        <w:rPr>
          <w:rFonts w:ascii="宋体" w:hAnsi="宋体"/>
        </w:rPr>
        <w:t>宋国君，杜倩倩，马本.城市生活垃圾填埋处置社会成本核算方法与应用——以北京市为例.《干旱区资源与环境》.2015,29(8):57-63.</w:t>
      </w:r>
      <w:bookmarkEnd w:id="7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8" w:name="_Ref482557019"/>
      <w:proofErr w:type="gramStart"/>
      <w:r w:rsidRPr="00B630A6">
        <w:rPr>
          <w:rFonts w:ascii="宋体" w:hAnsi="宋体"/>
        </w:rPr>
        <w:t>马诗院</w:t>
      </w:r>
      <w:proofErr w:type="gramEnd"/>
      <w:r w:rsidRPr="00B630A6">
        <w:rPr>
          <w:rFonts w:ascii="宋体" w:hAnsi="宋体"/>
        </w:rPr>
        <w:t>,马建华</w:t>
      </w:r>
      <w:r w:rsidRPr="00B630A6">
        <w:rPr>
          <w:rFonts w:ascii="宋体" w:hAnsi="宋体" w:hint="eastAsia"/>
        </w:rPr>
        <w:t>，</w:t>
      </w:r>
      <w:r w:rsidRPr="00B630A6">
        <w:rPr>
          <w:rFonts w:ascii="宋体" w:hAnsi="宋体"/>
        </w:rPr>
        <w:t>我国城市生活垃圾分类收集现状及对策[J].环境卫生工程, 2007(2):12-15.</w:t>
      </w:r>
      <w:bookmarkEnd w:id="8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9" w:name="_Ref482629241"/>
      <w:r w:rsidRPr="00B630A6">
        <w:rPr>
          <w:rFonts w:ascii="宋体" w:hAnsi="宋体"/>
        </w:rPr>
        <w:t>宋国君等. 北京城市生活垃圾焚烧社会成本评估报告. 2017.</w:t>
      </w:r>
      <w:bookmarkEnd w:id="9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0" w:name="_Ref482629662"/>
      <w:r w:rsidRPr="00B630A6">
        <w:rPr>
          <w:rFonts w:ascii="宋体" w:hAnsi="宋体"/>
        </w:rPr>
        <w:t>中华人民共和国国家发展和改革委员会，国家发展改革委关于完善</w:t>
      </w:r>
      <w:proofErr w:type="gramStart"/>
      <w:r w:rsidRPr="00B630A6">
        <w:rPr>
          <w:rFonts w:ascii="宋体" w:hAnsi="宋体"/>
        </w:rPr>
        <w:t>垃</w:t>
      </w:r>
      <w:proofErr w:type="gramEnd"/>
      <w:r w:rsidRPr="00B630A6">
        <w:rPr>
          <w:rFonts w:ascii="宋体" w:hAnsi="宋体"/>
        </w:rPr>
        <w:t>，</w:t>
      </w:r>
      <w:proofErr w:type="gramStart"/>
      <w:r w:rsidRPr="00B630A6">
        <w:rPr>
          <w:rFonts w:ascii="宋体" w:hAnsi="宋体"/>
        </w:rPr>
        <w:t>圾</w:t>
      </w:r>
      <w:proofErr w:type="gramEnd"/>
      <w:r w:rsidRPr="00B630A6">
        <w:rPr>
          <w:rFonts w:ascii="宋体" w:hAnsi="宋体"/>
        </w:rPr>
        <w:t>焚烧发电价格政策的通知http://www.sdpc.gov.cn/fzgggz/jggl/zcfg/201204/t20120410_472400.html，2017/5/12.</w:t>
      </w:r>
      <w:bookmarkEnd w:id="10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1" w:name="_Ref482629702"/>
      <w:proofErr w:type="gramStart"/>
      <w:r w:rsidRPr="00B630A6">
        <w:rPr>
          <w:rFonts w:ascii="宋体" w:hAnsi="宋体" w:hint="eastAsia"/>
        </w:rPr>
        <w:t>马迁利</w:t>
      </w:r>
      <w:proofErr w:type="gramEnd"/>
      <w:r w:rsidRPr="00B630A6">
        <w:rPr>
          <w:rFonts w:ascii="宋体" w:hAnsi="宋体"/>
        </w:rPr>
        <w:t>,李健,王璇.居民生活垃圾发生量持续增长的微观经济分析——一个时间机会成本的视角[J]. 消费经济, 2007, 23(4)：21-24.</w:t>
      </w:r>
      <w:bookmarkEnd w:id="11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r w:rsidRPr="00B630A6">
        <w:rPr>
          <w:rFonts w:ascii="宋体" w:hAnsi="宋体" w:hint="eastAsia"/>
        </w:rPr>
        <w:t>中国资源环境形势与可持续发展</w:t>
      </w:r>
      <w:r w:rsidRPr="00B630A6">
        <w:rPr>
          <w:rFonts w:ascii="宋体" w:hAnsi="宋体"/>
        </w:rPr>
        <w:t>[M]. 经济科学出版社 , 刘燕华,周宏春主编, 2001.</w:t>
      </w:r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2" w:name="_Ref482629561"/>
      <w:r w:rsidRPr="00B630A6">
        <w:rPr>
          <w:rFonts w:ascii="宋体" w:hAnsi="宋体" w:hint="eastAsia"/>
        </w:rPr>
        <w:t>广东省政府，广东省重点监控企业环境公告信息发布平台，</w:t>
      </w:r>
      <w:r w:rsidRPr="00B630A6">
        <w:rPr>
          <w:rFonts w:ascii="宋体" w:hAnsi="宋体"/>
        </w:rPr>
        <w:t>https://app.gdep.gov.cn/epinfo/</w:t>
      </w:r>
      <w:r w:rsidRPr="00B630A6">
        <w:rPr>
          <w:rFonts w:ascii="宋体" w:hAnsi="宋体" w:hint="eastAsia"/>
        </w:rPr>
        <w:t>,2017/5/</w:t>
      </w:r>
      <w:r w:rsidRPr="00B630A6">
        <w:rPr>
          <w:rFonts w:ascii="宋体" w:hAnsi="宋体"/>
        </w:rPr>
        <w:t>14</w:t>
      </w:r>
      <w:r w:rsidRPr="00B630A6">
        <w:rPr>
          <w:rFonts w:ascii="宋体" w:hAnsi="宋体" w:hint="eastAsia"/>
        </w:rPr>
        <w:t>.</w:t>
      </w:r>
      <w:bookmarkEnd w:id="12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3" w:name="_Ref482629562"/>
      <w:r w:rsidRPr="00B630A6">
        <w:rPr>
          <w:rFonts w:ascii="宋体" w:hAnsi="宋体"/>
        </w:rPr>
        <w:t>中华人民共和国国家卫生和计划委员会，中国卫生统计年鉴，http://www.nhfpc.gov.cn/zwgkzt/tjnj/list.shtml</w:t>
      </w:r>
      <w:r w:rsidRPr="00B630A6">
        <w:rPr>
          <w:rFonts w:ascii="宋体" w:hAnsi="宋体" w:hint="eastAsia"/>
        </w:rPr>
        <w:t>,</w:t>
      </w:r>
      <w:r w:rsidRPr="00B630A6">
        <w:rPr>
          <w:rFonts w:ascii="宋体" w:hAnsi="宋体"/>
        </w:rPr>
        <w:t>2015/5/14</w:t>
      </w:r>
      <w:r w:rsidRPr="00B630A6">
        <w:rPr>
          <w:rFonts w:ascii="宋体" w:hAnsi="宋体" w:hint="eastAsia"/>
        </w:rPr>
        <w:t>.</w:t>
      </w:r>
      <w:bookmarkEnd w:id="13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4" w:name="_Ref482562873"/>
      <w:r w:rsidRPr="00B630A6">
        <w:rPr>
          <w:rFonts w:ascii="宋体" w:hAnsi="宋体" w:hint="eastAsia"/>
        </w:rPr>
        <w:t>司守奎，孙兆光，数学建模算法与应用，北京：攻防工业出版社，</w:t>
      </w:r>
      <w:r w:rsidRPr="00B630A6">
        <w:rPr>
          <w:rFonts w:ascii="宋体" w:hAnsi="宋体"/>
        </w:rPr>
        <w:t>2015</w:t>
      </w:r>
      <w:bookmarkEnd w:id="14"/>
      <w:r w:rsidRPr="00B630A6">
        <w:rPr>
          <w:rFonts w:ascii="宋体" w:hAnsi="宋体"/>
        </w:rPr>
        <w:t>.</w:t>
      </w:r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5" w:name="_Ref482629862"/>
      <w:proofErr w:type="gramStart"/>
      <w:r w:rsidRPr="00B630A6">
        <w:rPr>
          <w:rFonts w:ascii="宋体" w:hAnsi="宋体"/>
        </w:rPr>
        <w:t>道客巴巴</w:t>
      </w:r>
      <w:proofErr w:type="gramEnd"/>
      <w:r w:rsidRPr="00B630A6">
        <w:rPr>
          <w:rFonts w:ascii="宋体" w:hAnsi="宋体"/>
        </w:rPr>
        <w:t>，人力资本法实例研究http://www.doc88.com/p-907234013103.html,2015/5/14</w:t>
      </w:r>
      <w:r w:rsidRPr="00B630A6">
        <w:rPr>
          <w:rFonts w:ascii="宋体" w:hAnsi="宋体" w:hint="eastAsia"/>
        </w:rPr>
        <w:t>.</w:t>
      </w:r>
      <w:bookmarkEnd w:id="15"/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proofErr w:type="gramStart"/>
      <w:r w:rsidRPr="00B630A6">
        <w:rPr>
          <w:rFonts w:ascii="宋体" w:hAnsi="宋体" w:hint="eastAsia"/>
        </w:rPr>
        <w:t>卓金武</w:t>
      </w:r>
      <w:proofErr w:type="gramEnd"/>
      <w:r w:rsidRPr="00B630A6">
        <w:rPr>
          <w:rFonts w:ascii="宋体" w:hAnsi="宋体" w:hint="eastAsia"/>
        </w:rPr>
        <w:t>，魏永生，</w:t>
      </w:r>
      <w:r w:rsidRPr="00B630A6">
        <w:rPr>
          <w:rFonts w:ascii="宋体" w:hAnsi="宋体"/>
        </w:rPr>
        <w:t>MATLAB在数学建模中的应用，北京：北京航空航天大学出版社，2011</w:t>
      </w:r>
      <w:r w:rsidRPr="00B630A6">
        <w:rPr>
          <w:rFonts w:ascii="宋体" w:hAnsi="宋体" w:hint="eastAsia"/>
        </w:rPr>
        <w:t>.</w:t>
      </w:r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6" w:name="_Ref482562904"/>
      <w:r w:rsidRPr="00B630A6">
        <w:rPr>
          <w:rFonts w:ascii="宋体" w:hAnsi="宋体" w:hint="eastAsia"/>
        </w:rPr>
        <w:t>林婉虹，周文龙，基于神经网络的时间序列预测方法，中国科技论文在线</w:t>
      </w:r>
      <w:bookmarkEnd w:id="16"/>
      <w:r w:rsidRPr="00B630A6">
        <w:rPr>
          <w:rFonts w:ascii="宋体" w:hAnsi="宋体" w:hint="eastAsia"/>
        </w:rPr>
        <w:t>.</w:t>
      </w:r>
    </w:p>
    <w:p w:rsidR="00B630A6" w:rsidRPr="00B630A6" w:rsidRDefault="00B630A6" w:rsidP="00B630A6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/>
        </w:rPr>
      </w:pPr>
      <w:bookmarkStart w:id="17" w:name="_Ref482607064"/>
      <w:r w:rsidRPr="00B630A6">
        <w:rPr>
          <w:rFonts w:ascii="宋体" w:hAnsi="宋体" w:hint="eastAsia"/>
        </w:rPr>
        <w:t>田璐，柳峰，王竹雪，张伟，</w:t>
      </w:r>
      <w:r w:rsidRPr="00B630A6">
        <w:rPr>
          <w:rFonts w:ascii="宋体" w:hAnsi="宋体" w:cs="B4+SimSun" w:hint="eastAsia"/>
          <w:kern w:val="0"/>
          <w:szCs w:val="24"/>
        </w:rPr>
        <w:t>预应力组合网架可靠性灵敏度分析方法探讨，第十一届全国现代结构工程学术探讨会</w:t>
      </w:r>
      <w:bookmarkEnd w:id="17"/>
      <w:r w:rsidRPr="00B630A6">
        <w:rPr>
          <w:rFonts w:ascii="宋体" w:hAnsi="宋体" w:cs="B4+SimSun" w:hint="eastAsia"/>
          <w:kern w:val="0"/>
          <w:szCs w:val="24"/>
        </w:rPr>
        <w:t>.</w:t>
      </w:r>
    </w:p>
    <w:bookmarkEnd w:id="3"/>
    <w:p w:rsidR="0039235C" w:rsidRDefault="0039235C" w:rsidP="0039235C">
      <w:pPr>
        <w:pStyle w:val="a8"/>
        <w:ind w:firstLineChars="0" w:firstLine="0"/>
      </w:pPr>
      <w:r>
        <w:rPr>
          <w:rStyle w:val="af"/>
        </w:rPr>
        <w:endnoteReference w:id="4"/>
      </w:r>
    </w:p>
    <w:p w:rsidR="00A532A4" w:rsidRPr="0039235C" w:rsidRDefault="00A532A4" w:rsidP="0039235C">
      <w:pPr>
        <w:spacing w:line="320" w:lineRule="exact"/>
        <w:ind w:right="238" w:firstLineChars="0" w:firstLine="0"/>
        <w:rPr>
          <w:rFonts w:eastAsia="黑体" w:hint="eastAsia"/>
          <w:sz w:val="20"/>
        </w:rPr>
      </w:pPr>
    </w:p>
    <w:sectPr w:rsidR="00A532A4" w:rsidRPr="003923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1C4" w:rsidRDefault="00F251C4" w:rsidP="0039235C">
      <w:pPr>
        <w:ind w:firstLineChars="0" w:firstLine="0"/>
      </w:pPr>
    </w:p>
  </w:endnote>
  <w:endnote w:type="continuationSeparator" w:id="0">
    <w:p w:rsidR="00F251C4" w:rsidRDefault="00F251C4" w:rsidP="0039235C">
      <w:pPr>
        <w:ind w:firstLineChars="0" w:firstLine="0"/>
      </w:pPr>
    </w:p>
  </w:endnote>
  <w:endnote w:type="continuationNotice" w:id="1">
    <w:p w:rsidR="00F251C4" w:rsidRDefault="00F251C4">
      <w:pPr>
        <w:ind w:firstLine="480"/>
      </w:pPr>
    </w:p>
  </w:endnote>
  <w:endnote w:id="2">
    <w:p w:rsidR="0039235C" w:rsidRPr="0039235C" w:rsidRDefault="0039235C" w:rsidP="0039235C">
      <w:pPr>
        <w:pStyle w:val="a5"/>
        <w:widowControl w:val="0"/>
        <w:numPr>
          <w:ilvl w:val="0"/>
          <w:numId w:val="24"/>
        </w:numPr>
        <w:wordWrap w:val="0"/>
        <w:ind w:rightChars="100" w:right="240" w:firstLineChars="0"/>
        <w:rPr>
          <w:rFonts w:ascii="宋体" w:hAnsi="宋体" w:hint="eastAsia"/>
        </w:rPr>
      </w:pPr>
      <w:bookmarkStart w:id="1" w:name="_GoBack"/>
      <w:proofErr w:type="gramStart"/>
      <w:r w:rsidRPr="00B630A6">
        <w:rPr>
          <w:rFonts w:ascii="宋体" w:hAnsi="宋体"/>
        </w:rPr>
        <w:t>道客巴巴</w:t>
      </w:r>
      <w:proofErr w:type="gramEnd"/>
      <w:r w:rsidRPr="00B630A6">
        <w:rPr>
          <w:rFonts w:ascii="宋体" w:hAnsi="宋体"/>
        </w:rPr>
        <w:t>，人力资本法实例研究http://www.doc88.com/p-907234013103.html,2015/5/14</w:t>
      </w:r>
      <w:r>
        <w:rPr>
          <w:rFonts w:ascii="宋体" w:hAnsi="宋体" w:hint="eastAsia"/>
        </w:rPr>
        <w:t>.</w:t>
      </w:r>
    </w:p>
  </w:endnote>
  <w:endnote w:id="3">
    <w:p w:rsidR="0039235C" w:rsidRDefault="0039235C" w:rsidP="0039235C">
      <w:pPr>
        <w:pStyle w:val="ad"/>
        <w:ind w:firstLineChars="0" w:firstLine="0"/>
        <w:rPr>
          <w:rFonts w:hint="eastAsia"/>
        </w:rPr>
      </w:pPr>
      <w:r w:rsidRPr="0039235C">
        <w:rPr>
          <w:rStyle w:val="af"/>
          <w:vertAlign w:val="baseline"/>
        </w:rPr>
        <w:t>[</w:t>
      </w:r>
      <w:r w:rsidRPr="0039235C">
        <w:rPr>
          <w:rStyle w:val="af"/>
          <w:vertAlign w:val="baseline"/>
        </w:rPr>
        <w:endnoteRef/>
      </w:r>
      <w:r w:rsidRPr="0039235C">
        <w:rPr>
          <w:rStyle w:val="af"/>
          <w:vertAlign w:val="baseline"/>
        </w:rPr>
        <w:t>]</w:t>
      </w:r>
      <w:r w:rsidRPr="0039235C">
        <w:t xml:space="preserve"> </w:t>
      </w:r>
    </w:p>
  </w:endnote>
  <w:endnote w:id="4">
    <w:p w:rsidR="0039235C" w:rsidRDefault="0039235C" w:rsidP="0039235C">
      <w:pPr>
        <w:pStyle w:val="ad"/>
        <w:ind w:firstLineChars="0" w:firstLine="0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4+SimSu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A6" w:rsidRDefault="00B630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A6" w:rsidRDefault="00B630A6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A6" w:rsidRDefault="00B630A6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1C4" w:rsidRDefault="00F251C4" w:rsidP="00B630A6">
      <w:pPr>
        <w:ind w:firstLine="480"/>
      </w:pPr>
      <w:r>
        <w:separator/>
      </w:r>
    </w:p>
  </w:footnote>
  <w:footnote w:type="continuationSeparator" w:id="0">
    <w:p w:rsidR="00F251C4" w:rsidRDefault="00F251C4" w:rsidP="00B630A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A6" w:rsidRDefault="00B630A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A6" w:rsidRDefault="00B630A6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0A6" w:rsidRDefault="00B630A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CC2"/>
    <w:multiLevelType w:val="multilevel"/>
    <w:tmpl w:val="D89213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3CA1221"/>
    <w:multiLevelType w:val="multilevel"/>
    <w:tmpl w:val="5C3CC4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1812560"/>
    <w:multiLevelType w:val="multilevel"/>
    <w:tmpl w:val="339417FA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C46840"/>
    <w:multiLevelType w:val="multilevel"/>
    <w:tmpl w:val="E3B096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42179F7"/>
    <w:multiLevelType w:val="hybridMultilevel"/>
    <w:tmpl w:val="40BE0F38"/>
    <w:lvl w:ilvl="0" w:tplc="23FA7E2C">
      <w:start w:val="1"/>
      <w:numFmt w:val="chineseCountingThousand"/>
      <w:lvlText w:val="%1、"/>
      <w:lvlJc w:val="left"/>
      <w:pPr>
        <w:ind w:left="1332" w:hanging="420"/>
      </w:p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5" w15:restartNumberingAfterBreak="0">
    <w:nsid w:val="1E7F1804"/>
    <w:multiLevelType w:val="hybridMultilevel"/>
    <w:tmpl w:val="7078063A"/>
    <w:lvl w:ilvl="0" w:tplc="FCFE5960">
      <w:start w:val="8"/>
      <w:numFmt w:val="chineseCountingThousand"/>
      <w:lvlText w:val="%1、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B3635"/>
    <w:multiLevelType w:val="hybridMultilevel"/>
    <w:tmpl w:val="C876CFAC"/>
    <w:lvl w:ilvl="0" w:tplc="90A809E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F23AC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7E12BB9"/>
    <w:multiLevelType w:val="multilevel"/>
    <w:tmpl w:val="C3F050C8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BAB020A"/>
    <w:multiLevelType w:val="multilevel"/>
    <w:tmpl w:val="E9F019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3552E8"/>
    <w:multiLevelType w:val="multilevel"/>
    <w:tmpl w:val="02F244FE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F3900EF"/>
    <w:multiLevelType w:val="multilevel"/>
    <w:tmpl w:val="1C9C040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4B60BD5"/>
    <w:multiLevelType w:val="hybridMultilevel"/>
    <w:tmpl w:val="B6F67BDC"/>
    <w:lvl w:ilvl="0" w:tplc="2FEE45AE">
      <w:start w:val="1"/>
      <w:numFmt w:val="chineseCountingThousand"/>
      <w:lvlText w:val="%1、"/>
      <w:lvlJc w:val="left"/>
      <w:pPr>
        <w:ind w:left="17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2" w:hanging="420"/>
      </w:pPr>
    </w:lvl>
    <w:lvl w:ilvl="2" w:tplc="0409001B" w:tentative="1">
      <w:start w:val="1"/>
      <w:numFmt w:val="lowerRoman"/>
      <w:lvlText w:val="%3."/>
      <w:lvlJc w:val="right"/>
      <w:pPr>
        <w:ind w:left="2592" w:hanging="420"/>
      </w:pPr>
    </w:lvl>
    <w:lvl w:ilvl="3" w:tplc="0409000F" w:tentative="1">
      <w:start w:val="1"/>
      <w:numFmt w:val="decimal"/>
      <w:lvlText w:val="%4."/>
      <w:lvlJc w:val="left"/>
      <w:pPr>
        <w:ind w:left="3012" w:hanging="420"/>
      </w:pPr>
    </w:lvl>
    <w:lvl w:ilvl="4" w:tplc="04090019" w:tentative="1">
      <w:start w:val="1"/>
      <w:numFmt w:val="lowerLetter"/>
      <w:lvlText w:val="%5)"/>
      <w:lvlJc w:val="left"/>
      <w:pPr>
        <w:ind w:left="3432" w:hanging="420"/>
      </w:pPr>
    </w:lvl>
    <w:lvl w:ilvl="5" w:tplc="0409001B" w:tentative="1">
      <w:start w:val="1"/>
      <w:numFmt w:val="lowerRoman"/>
      <w:lvlText w:val="%6."/>
      <w:lvlJc w:val="right"/>
      <w:pPr>
        <w:ind w:left="3852" w:hanging="420"/>
      </w:pPr>
    </w:lvl>
    <w:lvl w:ilvl="6" w:tplc="0409000F" w:tentative="1">
      <w:start w:val="1"/>
      <w:numFmt w:val="decimal"/>
      <w:lvlText w:val="%7."/>
      <w:lvlJc w:val="left"/>
      <w:pPr>
        <w:ind w:left="4272" w:hanging="420"/>
      </w:pPr>
    </w:lvl>
    <w:lvl w:ilvl="7" w:tplc="04090019" w:tentative="1">
      <w:start w:val="1"/>
      <w:numFmt w:val="lowerLetter"/>
      <w:lvlText w:val="%8)"/>
      <w:lvlJc w:val="left"/>
      <w:pPr>
        <w:ind w:left="4692" w:hanging="420"/>
      </w:pPr>
    </w:lvl>
    <w:lvl w:ilvl="8" w:tplc="0409001B" w:tentative="1">
      <w:start w:val="1"/>
      <w:numFmt w:val="lowerRoman"/>
      <w:lvlText w:val="%9."/>
      <w:lvlJc w:val="right"/>
      <w:pPr>
        <w:ind w:left="5112" w:hanging="420"/>
      </w:pPr>
    </w:lvl>
  </w:abstractNum>
  <w:abstractNum w:abstractNumId="13" w15:restartNumberingAfterBreak="0">
    <w:nsid w:val="6059785A"/>
    <w:multiLevelType w:val="hybridMultilevel"/>
    <w:tmpl w:val="DCE2551A"/>
    <w:lvl w:ilvl="0" w:tplc="EFD674C4">
      <w:start w:val="1"/>
      <w:numFmt w:val="decimal"/>
      <w:suff w:val="space"/>
      <w:lvlText w:val="[%1]"/>
      <w:lvlJc w:val="left"/>
      <w:pPr>
        <w:ind w:left="393" w:hanging="393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14" w15:restartNumberingAfterBreak="0">
    <w:nsid w:val="64E27E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A22B54"/>
    <w:multiLevelType w:val="hybridMultilevel"/>
    <w:tmpl w:val="B0A2C5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3E47B3"/>
    <w:multiLevelType w:val="multilevel"/>
    <w:tmpl w:val="5C3CC4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4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2"/>
    <w:lvlOverride w:ilvl="0">
      <w:startOverride w:val="1"/>
    </w:lvlOverride>
  </w:num>
  <w:num w:numId="23">
    <w:abstractNumId w:val="15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78"/>
    <w:rsid w:val="000C7BA1"/>
    <w:rsid w:val="00110658"/>
    <w:rsid w:val="00225555"/>
    <w:rsid w:val="003058D6"/>
    <w:rsid w:val="0032492B"/>
    <w:rsid w:val="0039235C"/>
    <w:rsid w:val="00501184"/>
    <w:rsid w:val="00520917"/>
    <w:rsid w:val="005531FC"/>
    <w:rsid w:val="005B2DBA"/>
    <w:rsid w:val="005D51CB"/>
    <w:rsid w:val="006703E1"/>
    <w:rsid w:val="006E4589"/>
    <w:rsid w:val="007C3D91"/>
    <w:rsid w:val="009B1378"/>
    <w:rsid w:val="00A532A4"/>
    <w:rsid w:val="00A8324B"/>
    <w:rsid w:val="00B630A6"/>
    <w:rsid w:val="00B63D92"/>
    <w:rsid w:val="00C262BA"/>
    <w:rsid w:val="00D022A2"/>
    <w:rsid w:val="00D17688"/>
    <w:rsid w:val="00D4479F"/>
    <w:rsid w:val="00DF0D5D"/>
    <w:rsid w:val="00E8766C"/>
    <w:rsid w:val="00F00BB1"/>
    <w:rsid w:val="00F2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B8CC7"/>
  <w15:chartTrackingRefBased/>
  <w15:docId w15:val="{D08F8481-FC87-4A45-B671-09FAF53C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宋体" w:hAnsiTheme="majorHAnsi" w:cstheme="majorBidi"/>
        <w:bCs/>
        <w:kern w:val="2"/>
        <w:sz w:val="24"/>
        <w:lang w:val="en-US" w:eastAsia="zh-CN" w:bidi="ar-SA"/>
      </w:rPr>
    </w:rPrDefault>
    <w:pPrDefault>
      <w:pPr>
        <w:spacing w:line="320" w:lineRule="exact"/>
        <w:ind w:right="23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DBA"/>
    <w:pPr>
      <w:spacing w:line="240" w:lineRule="auto"/>
      <w:ind w:right="0" w:firstLineChars="200" w:firstLine="200"/>
    </w:pPr>
  </w:style>
  <w:style w:type="paragraph" w:styleId="10">
    <w:name w:val="heading 1"/>
    <w:basedOn w:val="a"/>
    <w:next w:val="a"/>
    <w:link w:val="11"/>
    <w:autoRedefine/>
    <w:uiPriority w:val="9"/>
    <w:qFormat/>
    <w:rsid w:val="005B2DBA"/>
    <w:pPr>
      <w:widowControl w:val="0"/>
      <w:spacing w:before="240" w:after="240" w:line="240" w:lineRule="atLeast"/>
      <w:ind w:firstLineChars="0" w:firstLine="0"/>
      <w:jc w:val="center"/>
      <w:outlineLvl w:val="0"/>
    </w:pPr>
    <w:rPr>
      <w:rFonts w:eastAsia="黑体"/>
      <w:b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2DBA"/>
    <w:pPr>
      <w:numPr>
        <w:numId w:val="19"/>
      </w:numPr>
      <w:spacing w:before="60" w:after="60" w:line="416" w:lineRule="atLeast"/>
      <w:ind w:firstLineChars="0" w:firstLine="0"/>
      <w:outlineLvl w:val="1"/>
    </w:pPr>
    <w:rPr>
      <w:rFonts w:ascii="宋体" w:hAnsi="宋体"/>
      <w:b/>
      <w:bCs w:val="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B2DBA"/>
    <w:pPr>
      <w:numPr>
        <w:ilvl w:val="2"/>
        <w:numId w:val="21"/>
      </w:numPr>
      <w:spacing w:before="60" w:after="60" w:line="416" w:lineRule="atLeast"/>
      <w:ind w:firstLineChars="0" w:firstLine="0"/>
      <w:outlineLvl w:val="2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B2DBA"/>
    <w:rPr>
      <w:rFonts w:eastAsia="黑体"/>
      <w:b/>
      <w:bCs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B2DBA"/>
    <w:rPr>
      <w:rFonts w:ascii="宋体" w:eastAsia="宋体" w:hAnsi="宋体"/>
      <w:bCs w:val="0"/>
    </w:rPr>
  </w:style>
  <w:style w:type="character" w:customStyle="1" w:styleId="30">
    <w:name w:val="标题 3 字符"/>
    <w:basedOn w:val="a0"/>
    <w:link w:val="3"/>
    <w:uiPriority w:val="9"/>
    <w:rsid w:val="005B2DBA"/>
    <w:rPr>
      <w:rFonts w:eastAsia="宋体"/>
      <w:bCs w:val="0"/>
    </w:rPr>
  </w:style>
  <w:style w:type="paragraph" w:styleId="a3">
    <w:name w:val="Title"/>
    <w:basedOn w:val="a"/>
    <w:next w:val="a"/>
    <w:link w:val="a4"/>
    <w:autoRedefine/>
    <w:uiPriority w:val="10"/>
    <w:qFormat/>
    <w:rsid w:val="00E8766C"/>
    <w:pPr>
      <w:spacing w:before="240" w:after="60"/>
      <w:ind w:right="240"/>
      <w:jc w:val="center"/>
      <w:outlineLvl w:val="0"/>
    </w:pPr>
    <w:rPr>
      <w:rFonts w:ascii="黑体" w:eastAsia="黑体" w:hAnsi="黑体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E8766C"/>
    <w:rPr>
      <w:rFonts w:ascii="黑体" w:hAnsi="黑体"/>
      <w:bCs w:val="0"/>
      <w:sz w:val="32"/>
    </w:rPr>
  </w:style>
  <w:style w:type="paragraph" w:styleId="a5">
    <w:name w:val="List Paragraph"/>
    <w:basedOn w:val="a"/>
    <w:uiPriority w:val="34"/>
    <w:qFormat/>
    <w:rsid w:val="009B1378"/>
    <w:pPr>
      <w:ind w:firstLine="420"/>
    </w:pPr>
  </w:style>
  <w:style w:type="paragraph" w:styleId="a6">
    <w:name w:val="Quote"/>
    <w:basedOn w:val="a"/>
    <w:next w:val="a"/>
    <w:link w:val="a7"/>
    <w:uiPriority w:val="29"/>
    <w:qFormat/>
    <w:rsid w:val="00D176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D17688"/>
    <w:rPr>
      <w:b/>
      <w:i/>
      <w:iCs/>
      <w:color w:val="404040" w:themeColor="text1" w:themeTint="BF"/>
    </w:rPr>
  </w:style>
  <w:style w:type="numbering" w:customStyle="1" w:styleId="1">
    <w:name w:val="样式1"/>
    <w:uiPriority w:val="99"/>
    <w:rsid w:val="006703E1"/>
    <w:pPr>
      <w:numPr>
        <w:numId w:val="9"/>
      </w:numPr>
    </w:pPr>
  </w:style>
  <w:style w:type="paragraph" w:styleId="a8">
    <w:name w:val="caption"/>
    <w:basedOn w:val="a"/>
    <w:next w:val="a"/>
    <w:uiPriority w:val="35"/>
    <w:unhideWhenUsed/>
    <w:qFormat/>
    <w:rsid w:val="005B2DBA"/>
    <w:rPr>
      <w:rFonts w:eastAsia="黑体"/>
      <w:sz w:val="20"/>
    </w:rPr>
  </w:style>
  <w:style w:type="character" w:customStyle="1" w:styleId="MTEquationSection">
    <w:name w:val="MTEquationSection"/>
    <w:basedOn w:val="a0"/>
    <w:rsid w:val="00C262BA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C262BA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C262BA"/>
  </w:style>
  <w:style w:type="paragraph" w:styleId="a9">
    <w:name w:val="header"/>
    <w:basedOn w:val="a"/>
    <w:link w:val="aa"/>
    <w:uiPriority w:val="99"/>
    <w:unhideWhenUsed/>
    <w:rsid w:val="00B6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630A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6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630A6"/>
    <w:rPr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39235C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39235C"/>
  </w:style>
  <w:style w:type="character" w:styleId="af">
    <w:name w:val="endnote reference"/>
    <w:basedOn w:val="a0"/>
    <w:uiPriority w:val="99"/>
    <w:semiHidden/>
    <w:unhideWhenUsed/>
    <w:rsid w:val="00392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25D8-30D0-4DAB-BE51-ED71BDCC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李晓津</dc:creator>
  <cp:keywords/>
  <dc:description/>
  <cp:lastModifiedBy>李晓津</cp:lastModifiedBy>
  <cp:revision>5</cp:revision>
  <dcterms:created xsi:type="dcterms:W3CDTF">2017-07-06T01:08:00Z</dcterms:created>
  <dcterms:modified xsi:type="dcterms:W3CDTF">2017-07-18T07:39:00Z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