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4BB6" w14:textId="77777777" w:rsidR="00B91772" w:rsidRPr="00B91772" w:rsidRDefault="00B91772" w:rsidP="00B9177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Păsările</w:t>
      </w:r>
      <w:proofErr w:type="spellEnd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tinereții</w:t>
      </w:r>
      <w:proofErr w:type="spellEnd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noastre</w:t>
      </w:r>
      <w:proofErr w:type="spellEnd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de Ion </w:t>
      </w:r>
      <w:proofErr w:type="spellStart"/>
      <w:r w:rsidRPr="00B91772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Druță</w:t>
      </w:r>
      <w:proofErr w:type="spellEnd"/>
    </w:p>
    <w:p w14:paraId="0DD15B5D" w14:textId="77777777" w:rsidR="00B91772" w:rsidRPr="00B91772" w:rsidRDefault="00B91772" w:rsidP="00B9177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Păsările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tinereții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noastre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denumirea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Druță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oară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1971.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pusă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oară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1972, pe scena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Teatrului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Luceafărul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Chișinău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3AAB4E2" w14:textId="509343AC" w:rsidR="00B91772" w:rsidRDefault="00B91772" w:rsidP="00B9177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gram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strânsă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om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întregime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Valea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Cocorilor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mătușii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Ruța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Pavel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Rusu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ambii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pasionați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pasăre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mătușii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Ruța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plăceau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cocostârcii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Pavel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Rusu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iubea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ciocârliile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are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91772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ruralitatea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presărat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arhaisme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regionalisme</w:t>
      </w:r>
      <w:proofErr w:type="spellEnd"/>
      <w:r w:rsidRPr="00B91772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C97FC59" w14:textId="680CE61C" w:rsidR="00427C8A" w:rsidRPr="00B91772" w:rsidRDefault="00427C8A" w:rsidP="00B91772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Comentariu</w:t>
      </w:r>
      <w:proofErr w:type="spellEnd"/>
    </w:p>
    <w:p w14:paraId="2EA21041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B91772">
        <w:rPr>
          <w:rFonts w:ascii="Georgia" w:hAnsi="Georgia"/>
          <w:color w:val="1A242E"/>
        </w:rPr>
        <w:t>Introducere</w:t>
      </w:r>
    </w:p>
    <w:p w14:paraId="1A564C8E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Republica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Moldova. Este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data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publicării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cuprinzătoare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corector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familiarizat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propus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!</w:t>
      </w:r>
    </w:p>
    <w:p w14:paraId="7BC3AD3D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1CD9EC35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B91772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precum „Frunze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bunătății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1971, opera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6F476838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772">
        <w:rPr>
          <w:rFonts w:ascii="Georgia" w:hAnsi="Georgia"/>
          <w:color w:val="1A242E"/>
        </w:rPr>
        <w:t>Semnificația titlului</w:t>
      </w:r>
    </w:p>
    <w:p w14:paraId="21762AAD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simbolistica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El nu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ales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ci are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simbolului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central,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4D4FEBEA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0E1A4B46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”) 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libertății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posibilităților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multiple.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pasărea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înălța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rapid,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coborî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mare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de la o mare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înălțime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involuției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manifestării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elanul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vital.</w:t>
      </w:r>
    </w:p>
    <w:p w14:paraId="21C6790D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772">
        <w:rPr>
          <w:rFonts w:ascii="Georgia" w:hAnsi="Georgia"/>
          <w:color w:val="1A242E"/>
        </w:rPr>
        <w:t>Tema </w:t>
      </w:r>
    </w:p>
    <w:p w14:paraId="561E992D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91772">
        <w:rPr>
          <w:rFonts w:ascii="Georgia" w:hAnsi="Georgia"/>
          <w:color w:val="1A242E"/>
          <w:sz w:val="26"/>
          <w:szCs w:val="26"/>
        </w:rPr>
        <w:t xml:space="preserve"> 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analizate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Este important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lastRenderedPageBreak/>
        <w:t>dramei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idealurilor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văzute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legăturii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inseparabilității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conduc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protagoniștilor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6EE728B0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3510E3DF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predominantă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continuitatea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idealurilor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legăturii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inseparabilității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Pavel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Rusu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protagoniștii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simbolurile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prevalenței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identității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tot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subminează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înrădăcinați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sacre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6402A645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772">
        <w:rPr>
          <w:rFonts w:ascii="Georgia" w:hAnsi="Georgia"/>
          <w:color w:val="1A242E"/>
        </w:rPr>
        <w:t>Rezumatul pe scurt</w:t>
      </w:r>
    </w:p>
    <w:p w14:paraId="54B1911D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redactarea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stabili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întâmplările-cheie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3B18DC87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3D0FC76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întregime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denumit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sugestiv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Cocorilor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Protagoniștii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sunt Pavel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Rusu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pasionați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Pavel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Rusu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plăceau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ciocârliile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înălțării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rapide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cântecului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înalturi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cocostârcii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legați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perspective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Dochiței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Artinei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neamul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Cojocarilor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organizeze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petrecerea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Liniștind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Aritina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plănuiască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neuitat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Las</w:t>
      </w:r>
      <w:r w:rsidRPr="00B91772">
        <w:rPr>
          <w:color w:val="1A242E"/>
          <w:sz w:val="26"/>
          <w:szCs w:val="26"/>
        </w:rPr>
        <w:t>ʼ</w:t>
      </w:r>
      <w:r w:rsidRPr="00B91772">
        <w:rPr>
          <w:rFonts w:ascii="Georgia" w:hAnsi="Georgia"/>
          <w:color w:val="1A242E"/>
          <w:sz w:val="26"/>
          <w:szCs w:val="26"/>
        </w:rPr>
        <w:t>pe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mine, nu-</w:t>
      </w:r>
      <w:proofErr w:type="spellStart"/>
      <w:r w:rsidRPr="00B91772">
        <w:rPr>
          <w:rFonts w:ascii="Georgia" w:hAnsi="Georgia" w:cs="Georgia"/>
          <w:color w:val="1A242E"/>
          <w:sz w:val="26"/>
          <w:szCs w:val="26"/>
        </w:rPr>
        <w:t>ț</w:t>
      </w:r>
      <w:r w:rsidRPr="00B9177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 w:cs="Georgia"/>
          <w:color w:val="1A242E"/>
          <w:sz w:val="26"/>
          <w:szCs w:val="26"/>
        </w:rPr>
        <w:t>î</w:t>
      </w:r>
      <w:r w:rsidRPr="00B91772">
        <w:rPr>
          <w:rFonts w:ascii="Georgia" w:hAnsi="Georgia"/>
          <w:color w:val="1A242E"/>
          <w:sz w:val="26"/>
          <w:szCs w:val="26"/>
        </w:rPr>
        <w:t>mple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capul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de-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aiestea</w:t>
      </w:r>
      <w:proofErr w:type="spellEnd"/>
      <w:r w:rsidRPr="00B91772">
        <w:rPr>
          <w:rFonts w:ascii="Georgia" w:hAnsi="Georgia" w:cs="Georgia"/>
          <w:color w:val="1A242E"/>
          <w:sz w:val="26"/>
          <w:szCs w:val="26"/>
        </w:rPr>
        <w:t>”</w:t>
      </w:r>
      <w:r w:rsidRPr="00B91772">
        <w:rPr>
          <w:rFonts w:ascii="Georgia" w:hAnsi="Georgia"/>
          <w:color w:val="1A242E"/>
          <w:sz w:val="26"/>
          <w:szCs w:val="26"/>
        </w:rPr>
        <w:t xml:space="preserve">) 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grij</w:t>
      </w:r>
      <w:r w:rsidRPr="00B91772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buc</w:t>
      </w:r>
      <w:r w:rsidRPr="00B91772">
        <w:rPr>
          <w:rFonts w:ascii="Georgia" w:hAnsi="Georgia" w:cs="Georgia"/>
          <w:color w:val="1A242E"/>
          <w:sz w:val="26"/>
          <w:szCs w:val="26"/>
        </w:rPr>
        <w:t>ă</w:t>
      </w:r>
      <w:r w:rsidRPr="00B91772">
        <w:rPr>
          <w:rFonts w:ascii="Georgia" w:hAnsi="Georgia"/>
          <w:color w:val="1A242E"/>
          <w:sz w:val="26"/>
          <w:szCs w:val="26"/>
        </w:rPr>
        <w:t>t</w:t>
      </w:r>
      <w:r w:rsidRPr="00B91772">
        <w:rPr>
          <w:rFonts w:ascii="Georgia" w:hAnsi="Georgia" w:cs="Georgia"/>
          <w:color w:val="1A242E"/>
          <w:sz w:val="26"/>
          <w:szCs w:val="26"/>
        </w:rPr>
        <w:t>ă</w:t>
      </w:r>
      <w:r w:rsidRPr="00B91772">
        <w:rPr>
          <w:rFonts w:ascii="Georgia" w:hAnsi="Georgia"/>
          <w:color w:val="1A242E"/>
          <w:sz w:val="26"/>
          <w:szCs w:val="26"/>
        </w:rPr>
        <w:t>resele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</w:t>
      </w:r>
      <w:r w:rsidRPr="00B91772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scoat</w:t>
      </w:r>
      <w:r w:rsidRPr="00B91772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</w:t>
      </w:r>
      <w:r w:rsidRPr="00B91772">
        <w:rPr>
          <w:rFonts w:ascii="Georgia" w:hAnsi="Georgia" w:cs="Georgia"/>
          <w:color w:val="1A242E"/>
          <w:sz w:val="26"/>
          <w:szCs w:val="26"/>
        </w:rPr>
        <w:t>ă</w:t>
      </w:r>
      <w:r w:rsidRPr="00B91772">
        <w:rPr>
          <w:rFonts w:ascii="Georgia" w:hAnsi="Georgia"/>
          <w:color w:val="1A242E"/>
          <w:sz w:val="26"/>
          <w:szCs w:val="26"/>
        </w:rPr>
        <w:t>citurile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pivniță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toarne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vinul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proofErr w:type="gramStart"/>
      <w:r w:rsidRPr="00B9177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garafe</w:t>
      </w:r>
      <w:proofErr w:type="spellEnd"/>
      <w:proofErr w:type="gramEnd"/>
      <w:r w:rsidRPr="00B91772">
        <w:rPr>
          <w:rFonts w:ascii="Georgia" w:hAnsi="Georgia"/>
          <w:color w:val="1A242E"/>
          <w:sz w:val="26"/>
          <w:szCs w:val="26"/>
        </w:rPr>
        <w:t>”.  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merge la </w:t>
      </w:r>
      <w:proofErr w:type="spellStart"/>
      <w:proofErr w:type="gramStart"/>
      <w:r w:rsidRPr="00B91772">
        <w:rPr>
          <w:rFonts w:ascii="Georgia" w:hAnsi="Georgia"/>
          <w:color w:val="1A242E"/>
          <w:sz w:val="26"/>
          <w:szCs w:val="26"/>
        </w:rPr>
        <w:t>țiganul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scripcar</w:t>
      </w:r>
      <w:proofErr w:type="spellEnd"/>
      <w:proofErr w:type="gramEnd"/>
      <w:r w:rsidRPr="00B91772">
        <w:rPr>
          <w:rFonts w:ascii="Georgia" w:hAnsi="Georgia"/>
          <w:color w:val="1A242E"/>
          <w:sz w:val="26"/>
          <w:szCs w:val="26"/>
        </w:rPr>
        <w:t>,  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bănuind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Găbulică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cântec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jale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cum nu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auzise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Cocorilor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bine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Aritina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mulțumită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ușurată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 Pavel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moară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împărțiseră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privise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ideal din perspective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zboare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aleg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pasăre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dragă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feluriți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ne-am ales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felurite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rădăcină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e una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–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arătură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semănătură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zare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...”.</w:t>
      </w:r>
    </w:p>
    <w:p w14:paraId="43721767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772">
        <w:rPr>
          <w:rFonts w:ascii="Georgia" w:hAnsi="Georgia"/>
          <w:color w:val="1A242E"/>
        </w:rPr>
        <w:t>Caracterizarea personajelor</w:t>
      </w:r>
    </w:p>
    <w:p w14:paraId="0AF8B0C6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cere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caracterizări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alegi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protagoniștii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Pavel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Rusu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lastRenderedPageBreak/>
        <w:t>redactarea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caracterizărilor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stabilirea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(principal/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, individual/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colectiv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). </w:t>
      </w:r>
    </w:p>
    <w:p w14:paraId="01A2540E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B7F526F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reprezentativ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înclinată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prezervarea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tradițiilor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mod direct,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protagonistei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locuiește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cocioabă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Bojdeuca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demult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ponosită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tot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locuință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îngrijește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spirit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practic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prețuiește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păstrate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dificultate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zonei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crescuse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    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  <w:t xml:space="preserve">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realizăm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comunități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vindecătoare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trupului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 Nu-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locuitorii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motivată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sinceră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a face bine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neamul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”.</w:t>
      </w:r>
    </w:p>
    <w:p w14:paraId="6E8A52C0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772">
        <w:rPr>
          <w:rFonts w:ascii="Georgia" w:hAnsi="Georgia"/>
          <w:color w:val="1A242E"/>
        </w:rPr>
        <w:t>Operă dramatică</w:t>
      </w:r>
    </w:p>
    <w:p w14:paraId="4B9580AB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a formula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demonstrația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definiția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motivezi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argumentarea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prezenței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gen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4175EFC5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647C35A0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dramatic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care pot fi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limitare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91772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un conflict dramatic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intervenind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 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  <w:t>Opera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dramatic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numărul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mare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lipsesc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spirit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un mod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un bun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zborul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sincronizare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trăiau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cocostârci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casele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venea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toamna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petreceam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ne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duceam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lastRenderedPageBreak/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hăt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țările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calde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Iarna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tânjeam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dânșii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primăvară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începea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suge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depărtarea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întorceau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dânșii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întorceau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zbuciumate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”.</w:t>
      </w:r>
      <w:r w:rsidRPr="00B91772">
        <w:rPr>
          <w:rFonts w:ascii="Georgia" w:hAnsi="Georgia"/>
          <w:color w:val="1A242E"/>
          <w:sz w:val="26"/>
          <w:szCs w:val="26"/>
        </w:rPr>
        <w:br/>
        <w:t>[...]</w:t>
      </w:r>
      <w:r w:rsidRPr="00B91772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dramatic,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succes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răsunător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0C222BE5" w14:textId="77777777" w:rsidR="00B91772" w:rsidRPr="00B91772" w:rsidRDefault="00B91772" w:rsidP="00B91772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B91772">
        <w:rPr>
          <w:rFonts w:ascii="Georgia" w:hAnsi="Georgia"/>
          <w:color w:val="1A242E"/>
        </w:rPr>
        <w:t>Concluzie</w:t>
      </w:r>
    </w:p>
    <w:p w14:paraId="15FAB1D5" w14:textId="77777777" w:rsidR="00B91772" w:rsidRPr="00B91772" w:rsidRDefault="00B91772" w:rsidP="00B91772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apela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fie la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fie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idei-cheie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privitoare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examen,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întărirea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argumentelor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4D84F05A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00057A7A" w14:textId="77777777" w:rsidR="00B91772" w:rsidRPr="00B91772" w:rsidRDefault="00B91772" w:rsidP="00B91772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B91772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Păsările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tinereții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remarcabilă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amintind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precum Lev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Tolstoi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menținut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viu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strămoșești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protagoniștii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Ruța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central,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protejează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91772">
        <w:rPr>
          <w:rFonts w:ascii="Georgia" w:hAnsi="Georgia"/>
          <w:color w:val="1A242E"/>
          <w:sz w:val="26"/>
          <w:szCs w:val="26"/>
        </w:rPr>
        <w:t>dezumanizării</w:t>
      </w:r>
      <w:proofErr w:type="spellEnd"/>
      <w:r w:rsidRPr="00B91772">
        <w:rPr>
          <w:rFonts w:ascii="Georgia" w:hAnsi="Georgia"/>
          <w:color w:val="1A242E"/>
          <w:sz w:val="26"/>
          <w:szCs w:val="26"/>
        </w:rPr>
        <w:t>.</w:t>
      </w:r>
    </w:p>
    <w:p w14:paraId="06743108" w14:textId="77777777" w:rsidR="00612C32" w:rsidRDefault="00612C32"/>
    <w:sectPr w:rsidR="00612C32" w:rsidSect="00B9177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E9"/>
    <w:rsid w:val="00427C8A"/>
    <w:rsid w:val="00612C32"/>
    <w:rsid w:val="008967E9"/>
    <w:rsid w:val="00B9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CE26"/>
  <w15:chartTrackingRefBased/>
  <w15:docId w15:val="{D2F2D6F0-C3F7-4B88-8B1A-6859DEB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B91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7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17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77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2022-02-12T11:39:00Z</dcterms:created>
  <dcterms:modified xsi:type="dcterms:W3CDTF">2022-02-12T11:40:00Z</dcterms:modified>
</cp:coreProperties>
</file>