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Ministerul Educației și Cercetării al Republicii Moldova</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IP Colegiul “Iulia Hasdeu” din Cahul</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Specialitatea </w:t>
      </w:r>
      <w:r w:rsidDel="00000000" w:rsidR="00000000" w:rsidRPr="00000000">
        <w:rPr>
          <w:rFonts w:ascii="Times New Roman" w:cs="Times New Roman" w:eastAsia="Times New Roman" w:hAnsi="Times New Roman"/>
          <w:b w:val="1"/>
          <w:i w:val="1"/>
          <w:sz w:val="32"/>
          <w:szCs w:val="32"/>
          <w:rtl w:val="0"/>
        </w:rPr>
        <w:t xml:space="preserve">Administrarea Aplicațiilor Web</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2102167</wp:posOffset>
            </wp:positionH>
            <wp:positionV relativeFrom="paragraph">
              <wp:posOffset>6985</wp:posOffset>
            </wp:positionV>
            <wp:extent cx="1767840" cy="589280"/>
            <wp:effectExtent b="0" l="0" r="0" t="0"/>
            <wp:wrapSquare wrapText="bothSides" distB="0" distT="0" distL="114300" distR="114300"/>
            <wp:docPr descr="CIHCAHUL - Colegiul Iulia Hasdeu Din Cahul" id="1311693351" name="image1.jpg"/>
            <a:graphic>
              <a:graphicData uri="http://schemas.openxmlformats.org/drawingml/2006/picture">
                <pic:pic>
                  <pic:nvPicPr>
                    <pic:cNvPr descr="CIHCAHUL - Colegiul Iulia Hasdeu Din Cahul" id="0" name="image1.jpg"/>
                    <pic:cNvPicPr preferRelativeResize="0"/>
                  </pic:nvPicPr>
                  <pic:blipFill>
                    <a:blip r:embed="rId7"/>
                    <a:srcRect b="0" l="0" r="0" t="0"/>
                    <a:stretch>
                      <a:fillRect/>
                    </a:stretch>
                  </pic:blipFill>
                  <pic:spPr>
                    <a:xfrm>
                      <a:off x="0" y="0"/>
                      <a:ext cx="1767840" cy="589280"/>
                    </a:xfrm>
                    <a:prstGeom prst="rect"/>
                    <a:ln/>
                  </pic:spPr>
                </pic:pic>
              </a:graphicData>
            </a:graphic>
          </wp:anchor>
        </w:drawing>
      </w:r>
    </w:p>
    <w:p w:rsidR="00000000" w:rsidDel="00000000" w:rsidP="00000000" w:rsidRDefault="00000000" w:rsidRPr="00000000" w14:paraId="00000006">
      <w:pPr>
        <w:jc w:val="center"/>
        <w:rPr>
          <w:rFonts w:ascii="Times New Roman" w:cs="Times New Roman" w:eastAsia="Times New Roman" w:hAnsi="Times New Roman"/>
          <w:sz w:val="160"/>
          <w:szCs w:val="160"/>
        </w:rPr>
      </w:pPr>
      <w:r w:rsidDel="00000000" w:rsidR="00000000" w:rsidRPr="00000000">
        <w:rPr>
          <w:rFonts w:ascii="Times New Roman" w:cs="Times New Roman" w:eastAsia="Times New Roman" w:hAnsi="Times New Roman"/>
          <w:sz w:val="160"/>
          <w:szCs w:val="160"/>
          <w:rtl w:val="0"/>
        </w:rPr>
        <w:t xml:space="preserve">Referat</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Tema: “Riscurile la locul de muncă”</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Studiu individual ghidat de profesor</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Disciplina: “Securitatea și sănătatea în muncă”</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tbl>
      <w:tblPr>
        <w:tblStyle w:val="Table1"/>
        <w:tblW w:w="935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rHeight w:val="396" w:hRule="atLeast"/>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efectuat: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elevă grupa AAW 2042</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Apareci Aurica</w:t>
            </w:r>
          </w:p>
        </w:tc>
      </w:tr>
      <w:tr>
        <w:trPr>
          <w:cantSplit w:val="0"/>
          <w:trHeight w:val="417"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verificat: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profesor</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Hantea Larisa</w:t>
            </w:r>
          </w:p>
        </w:tc>
      </w:tr>
    </w:tbl>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Cahul 2024</w:t>
      </w: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Cuprins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dpsk83gpmgf6">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Introducere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pyvrzco3kbi4">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Capitolul I. Principalele categorii de riscuri la locul de muncă</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fyqnsfriqu8m">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1.1. Riscuri fizice</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prt39tsjjk3i">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1.2. Riscuri chimice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p4fvm09ho35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1.3. Riscuri biologice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271n6ouqy5w">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1.4. Riscuri ergonomice</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hyfxoj5152mm">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Capitolul II. Managementul riscurilor și prevenirea accidentelor la locul de muncă</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afum4uh5jmvz">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2.1. Metode de identificare și evaluare a riscurilor</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ik7ftcbv008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2.2. Impactul riscurilor asupra sănătății și securității lucrătorilor</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evwn6ko2zf58">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Capitolul III. Exemple de practici de succes și recomandări pentru îmbunătățirea securității și sănătății la locul de muncă</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ympqoynjlcn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3.1. Studii de Caz ale Companiilor care au Implementat Măsuri Eficiente de Reducere a Riscurilor</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lkl9uwjs5lt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 Recomandări pentru Angajatori și Lucrători în Vederea Prevenirii și Gestionării Riscurilor la Locul de Muncă</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nzpfenu3mxrx">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3.3. Importanța Educației și Formării Continue în Domeniul Securității și Sănătății în Muncă</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dd89ppx625sv">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Concluzii</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1"/>
        <w:jc w:val="center"/>
        <w:rPr>
          <w:rFonts w:ascii="Times New Roman" w:cs="Times New Roman" w:eastAsia="Times New Roman" w:hAnsi="Times New Roman"/>
        </w:rPr>
      </w:pPr>
      <w:bookmarkStart w:colFirst="0" w:colLast="0" w:name="_heading=h.dpsk83gpmgf6" w:id="0"/>
      <w:bookmarkEnd w:id="0"/>
      <w:r w:rsidDel="00000000" w:rsidR="00000000" w:rsidRPr="00000000">
        <w:rPr>
          <w:rFonts w:ascii="Times New Roman" w:cs="Times New Roman" w:eastAsia="Times New Roman" w:hAnsi="Times New Roman"/>
          <w:b w:val="1"/>
          <w:color w:val="000000"/>
          <w:sz w:val="28"/>
          <w:szCs w:val="28"/>
          <w:rtl w:val="0"/>
        </w:rPr>
        <w:t xml:space="preserve">Introducere</w:t>
      </w:r>
      <w:r w:rsidDel="00000000" w:rsidR="00000000" w:rsidRPr="00000000">
        <w:rPr>
          <w:rtl w:val="0"/>
        </w:rPr>
      </w:r>
    </w:p>
    <w:p w:rsidR="00000000" w:rsidDel="00000000" w:rsidP="00000000" w:rsidRDefault="00000000" w:rsidRPr="00000000" w14:paraId="00000040">
      <w:pPr>
        <w:spacing w:after="0" w:line="36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"Siguranța la locul de muncă nu este un lucru pe care să îl consideri opțional. Este o obligație morală și legală."</w:t>
      </w:r>
    </w:p>
    <w:p w:rsidR="00000000" w:rsidDel="00000000" w:rsidP="00000000" w:rsidRDefault="00000000" w:rsidRPr="00000000" w14:paraId="00000041">
      <w:pPr>
        <w:spacing w:after="0" w:line="360" w:lineRule="auto"/>
        <w:ind w:firstLine="72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Larry Hogan</w:t>
      </w:r>
    </w:p>
    <w:p w:rsidR="00000000" w:rsidDel="00000000" w:rsidP="00000000" w:rsidRDefault="00000000" w:rsidRPr="00000000" w14:paraId="0000004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Locul de muncă este un mediu în care angajații își desfășoară activitățile zilnice pentru a-și câștiga existența și pentru a contribui la scopurile organizaționale. Cu toate acestea, acest mediu poate fi, uneori, plin de riscuri care pot pune în pericol sănătatea, siguranța și bunăstarea lucrătorilor. De aceea, în acest referat vom explora și analiza diversele riscuri la locul de muncă, identificând sursele acestora, impactul asupra angajaților și metodele de prevenire și gestionare a acestor riscuri. Este esențial să înțelegem natura și amploarea acestor riscuri pentru a promova un mediu de lucru sigur și sănătos, atât pentru angajați, cât și pentru angajatori.</w:t>
      </w:r>
    </w:p>
    <w:p w:rsidR="00000000" w:rsidDel="00000000" w:rsidP="00000000" w:rsidRDefault="00000000" w:rsidRPr="00000000" w14:paraId="0000004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Într-o eră marcată de schimbări rapide și provocări diverse, preocuparea pentru siguranța și sănătatea angajaților la locul de muncă este la fel de actuală ca întotdeauna. În lumina evoluțiilor tehnologice și a contextului pandemiei globale, înțelegerea și gestionarea riscurilor asociate activităților profesionale devin imperative pentru asigurarea unei bunăstări optime a angajaților și pentru consolidarea succesului organizațional.</w:t>
      </w:r>
    </w:p>
    <w:p w:rsidR="00000000" w:rsidDel="00000000" w:rsidP="00000000" w:rsidRDefault="00000000" w:rsidRPr="00000000" w14:paraId="0000004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lucrare are ca scop principal analiza și evidențierea complexității riscurilor la locul de muncă, subliniind importanța înțelegerii profunde a acestora și necesitatea implementării unui mediu de lucru sigur și sănătos. Prin prezentarea categoriilor de riscuri și a metodelor de prevenire și gestionare, se urmărește furnizarea unei viziuni cuprinzătoare și a unor soluții practice pentru creșterea calității condițiilor de muncă.</w:t>
      </w:r>
    </w:p>
    <w:p w:rsidR="00000000" w:rsidDel="00000000" w:rsidP="00000000" w:rsidRDefault="00000000" w:rsidRPr="00000000" w14:paraId="0000004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Obiectivele lucrării:</w:t>
      </w:r>
    </w:p>
    <w:p w:rsidR="00000000" w:rsidDel="00000000" w:rsidP="00000000" w:rsidRDefault="00000000" w:rsidRPr="00000000" w14:paraId="00000046">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Identificarea și clasificarea detaliată a principalelor categorii de riscuri la locul de muncă, inclusiv analiza efectelor acestora asupra sănătății și siguranței angajaților.</w:t>
      </w:r>
    </w:p>
    <w:p w:rsidR="00000000" w:rsidDel="00000000" w:rsidP="00000000" w:rsidRDefault="00000000" w:rsidRPr="00000000" w14:paraId="00000047">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Examinarea cadrului legislativ și a standardelor internaționale referitoare la sănătatea și siguranța în muncă, pentru a evidenția baza legală și regulamentară în vederea protejării angajaților.</w:t>
      </w:r>
    </w:p>
    <w:p w:rsidR="00000000" w:rsidDel="00000000" w:rsidP="00000000" w:rsidRDefault="00000000" w:rsidRPr="00000000" w14:paraId="00000048">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Sublinierea responsabilităților angajatorilor și ale angajaților în promovarea și menținerea unui mediu de lucru sigur, inclusiv prin participarea la programe de formare și conștientizare.</w:t>
      </w:r>
    </w:p>
    <w:p w:rsidR="00000000" w:rsidDel="00000000" w:rsidP="00000000" w:rsidRDefault="00000000" w:rsidRPr="00000000" w14:paraId="00000049">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Propunerea de soluții practice și recomandări relevante pentru optimizarea condițiilor de lucru și minimizarea riscurilor, în scopul creșterii eficienței și a satisfacției la locul de muncă.</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analiza exhaustivă a riscurilor la locul de muncă demonstrează necesitatea unei abordări meticuloase și proactive în gestionarea acestora. Prin identificarea, evaluarea și gestionarea adecvată a riscurilor, putem crea un mediu de muncă sigur și sănătos, în care angajații pot prospera și organizațiile pot atinge succesul pe termen lung. Este imperativ ca atât angajatorii, cât și angajații să adopte un angajament ferm față de respectarea normelor de siguranță și sănătate în muncă, iar implementarea unor politici și practici eficiente în acest sens să fie o prioritate constantă. Prin consolidarea colaborării și a conștientizării, putem asigura că fiecare persoană este protejată și valorizată în cadrul mediului său de lucru, contribuind astfel la o societate mai sănătoasă și mai prosperă în ansamblu.</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0" w:line="360" w:lineRule="auto"/>
        <w:jc w:val="center"/>
        <w:rPr>
          <w:rFonts w:ascii="Times New Roman" w:cs="Times New Roman" w:eastAsia="Times New Roman" w:hAnsi="Times New Roman"/>
          <w:b w:val="1"/>
          <w:color w:val="000000"/>
          <w:sz w:val="28"/>
          <w:szCs w:val="28"/>
        </w:rPr>
      </w:pPr>
      <w:bookmarkStart w:colFirst="0" w:colLast="0" w:name="_heading=h.pyvrzco3kbi4" w:id="1"/>
      <w:bookmarkEnd w:id="1"/>
      <w:r w:rsidDel="00000000" w:rsidR="00000000" w:rsidRPr="00000000">
        <w:rPr>
          <w:rFonts w:ascii="Times New Roman" w:cs="Times New Roman" w:eastAsia="Times New Roman" w:hAnsi="Times New Roman"/>
          <w:b w:val="1"/>
          <w:color w:val="000000"/>
          <w:sz w:val="28"/>
          <w:szCs w:val="28"/>
          <w:rtl w:val="0"/>
        </w:rPr>
        <w:t xml:space="preserve">Capitolul I. Principalele categorii de riscuri la locul de muncă</w:t>
      </w:r>
    </w:p>
    <w:p w:rsidR="00000000" w:rsidDel="00000000" w:rsidP="00000000" w:rsidRDefault="00000000" w:rsidRPr="00000000" w14:paraId="0000004C">
      <w:pPr>
        <w:pStyle w:val="Heading2"/>
        <w:spacing w:after="0" w:line="360" w:lineRule="auto"/>
        <w:jc w:val="both"/>
        <w:rPr>
          <w:rFonts w:ascii="Times New Roman" w:cs="Times New Roman" w:eastAsia="Times New Roman" w:hAnsi="Times New Roman"/>
          <w:b w:val="1"/>
          <w:color w:val="000000"/>
          <w:sz w:val="28"/>
          <w:szCs w:val="28"/>
        </w:rPr>
      </w:pPr>
      <w:bookmarkStart w:colFirst="0" w:colLast="0" w:name="_heading=h.fyqnsfriqu8m" w:id="2"/>
      <w:bookmarkEnd w:id="2"/>
      <w:r w:rsidDel="00000000" w:rsidR="00000000" w:rsidRPr="00000000">
        <w:rPr>
          <w:rFonts w:ascii="Times New Roman" w:cs="Times New Roman" w:eastAsia="Times New Roman" w:hAnsi="Times New Roman"/>
          <w:b w:val="1"/>
          <w:color w:val="000000"/>
          <w:sz w:val="28"/>
          <w:szCs w:val="28"/>
          <w:rtl w:val="0"/>
        </w:rPr>
        <w:t xml:space="preserve">1.1. Riscuri fizice</w:t>
      </w:r>
    </w:p>
    <w:p w:rsidR="00000000" w:rsidDel="00000000" w:rsidP="00000000" w:rsidRDefault="00000000" w:rsidRPr="00000000" w14:paraId="0000004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Locurile de muncă pot prezenta o varietate de riscuri fizice, care pot afecta sănătatea și siguranța lucrătorilor. Printre acestea, se numără zgomotul, vibrațiile și temperaturile extreme. Este crucial ca angajatorii să conștientizeze aceste riscuri și să implementeze măsuri adecvate pentru protecția lucrătorilor.</w:t>
      </w:r>
    </w:p>
    <w:p w:rsidR="00000000" w:rsidDel="00000000" w:rsidP="00000000" w:rsidRDefault="00000000" w:rsidRPr="00000000" w14:paraId="0000004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Expoziția prelungită la nivele ridicate de zgomot în mediul de lucru poate conduce la diverse afecțiuni auditive, cum ar fi surditatea profesională. Impactul său asupra sănătății lucrătorilor este considerabil, afectând nu numai auzul, ci și starea de bine generală și performanța în muncă. Astfel, este esențial ca angajatorii să adopte măsuri de prevenire și protecție, cum ar fi utilizarea echipamentelor de protecție auditivă și reducerea expunerii la sursele de zgomot prin izolarea acestora sau prin reglarea proceselor de lucru.</w:t>
      </w:r>
    </w:p>
    <w:p w:rsidR="00000000" w:rsidDel="00000000" w:rsidP="00000000" w:rsidRDefault="00000000" w:rsidRPr="00000000" w14:paraId="0000004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Expunerea repetată la vibrații mecanice, generate de utilaje industriale sau vehicule, poate avea consecințe serioase asupra sănătății lucrătorilor. Aceste vibrații pot duce la afecțiuni cum ar fi sindromul mâinilor vibrante sau alte leziuni musculo-scheletice. Pentru a minimiza riscurile, este crucial să se adopte tehnici de lucru sigure și să se utilizeze echipamente specializate, cum ar fi amortizoarele de vibrații și dispozitivele ergonomice.</w:t>
      </w:r>
    </w:p>
    <w:p w:rsidR="00000000" w:rsidDel="00000000" w:rsidP="00000000" w:rsidRDefault="00000000" w:rsidRPr="00000000" w14:paraId="0000005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Expoziția la temperaturi extreme, fie că este vorba de frig intens sau căldură excesivă, poate pune în pericol sănătatea și siguranța lucrătorilor. Dezechilibrul termic poate cauza probleme precum hipotermia, înghețurile, insolația sau epuizarea prin căldură. Pentru a gestiona acest risc, angajatorii ar trebui să asigure condiții de lucru confortabile, să ofere echipament adecvat pentru protecție împotriva temperaturilor extreme și să implementeze programe eficiente de monitorizare și intervenție în cazul expunerii la temperaturi extreme.</w:t>
      </w:r>
    </w:p>
    <w:p w:rsidR="00000000" w:rsidDel="00000000" w:rsidP="00000000" w:rsidRDefault="00000000" w:rsidRPr="00000000" w14:paraId="00000051">
      <w:pPr>
        <w:pStyle w:val="Heading2"/>
        <w:spacing w:after="0" w:line="360" w:lineRule="auto"/>
        <w:jc w:val="both"/>
        <w:rPr>
          <w:rFonts w:ascii="Times New Roman" w:cs="Times New Roman" w:eastAsia="Times New Roman" w:hAnsi="Times New Roman"/>
          <w:b w:val="1"/>
          <w:color w:val="000000"/>
          <w:sz w:val="28"/>
          <w:szCs w:val="28"/>
        </w:rPr>
      </w:pPr>
      <w:bookmarkStart w:colFirst="0" w:colLast="0" w:name="_heading=h.prt39tsjjk3i" w:id="3"/>
      <w:bookmarkEnd w:id="3"/>
      <w:r w:rsidDel="00000000" w:rsidR="00000000" w:rsidRPr="00000000">
        <w:rPr>
          <w:rFonts w:ascii="Times New Roman" w:cs="Times New Roman" w:eastAsia="Times New Roman" w:hAnsi="Times New Roman"/>
          <w:b w:val="1"/>
          <w:color w:val="000000"/>
          <w:sz w:val="28"/>
          <w:szCs w:val="28"/>
          <w:rtl w:val="0"/>
        </w:rPr>
        <w:t xml:space="preserve">1.2. Riscuri chimice</w:t>
      </w:r>
    </w:p>
    <w:p w:rsidR="00000000" w:rsidDel="00000000" w:rsidP="00000000" w:rsidRDefault="00000000" w:rsidRPr="00000000" w14:paraId="0000005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Riscurile chimice la locul de muncă pot fi semnificative și pot avea consecințe grave pentru sănătatea lucrătorilor. Este esențial să se identifice și să se gestioneze corect aceste riscuri pentru a proteja sănătatea și siguranța personalului.</w:t>
      </w:r>
    </w:p>
    <w:p w:rsidR="00000000" w:rsidDel="00000000" w:rsidP="00000000" w:rsidRDefault="00000000" w:rsidRPr="00000000" w14:paraId="0000005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Expozitia la substanțe toxice poate duce la afecțiuni serioase ale sănătății lucrătorilor, inclusiv intoxicații acute sau cronice, afectări ale sistemului respirator, ale sistemului nervos sau ale sistemului circulator. Substanțele toxice pot proveni din diverse surse, inclusiv produse chimice industriale, solvenți, metale grele și alte substanțe periculoase folosite în procesele de producție. Este imperativ ca angajatorii să identifice aceste substanțe toxice și să implementeze măsuri adecvate de control și protecție, cum ar fi utilizarea echipamentelor de protecție personală (măști, combinezoane de protecție etc.), ventilarea corespunzătoare a spațiilor de lucru și formarea lucrătorilor în privința riscurilor asociate cu manipularea acestor substanțe.</w:t>
      </w:r>
    </w:p>
    <w:p w:rsidR="00000000" w:rsidDel="00000000" w:rsidP="00000000" w:rsidRDefault="00000000" w:rsidRPr="00000000" w14:paraId="0000005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Substanțele iritante pot provoca iritații ale pielii, ochilor sau căilor respiratorii, precum și alergii sau sensibilități chimice multiple. Acestea pot fi întâlnite într-o gamă largă de medii de lucru, inclusiv în industria chimică, în construcții, în domeniul medical sau în sectorul de curățenie. Pentru a proteja lucrătorii împotriva expunerii la aceste substanțe, este esențial să se implementeze măsuri preventive adecvate, cum ar fi utilizarea echipamentelor de protecție personală adecvate (mănuși, ochelari de protecție, măști respiratorii etc.), ventilarea corespunzătoare a spațiilor de lucru și instruirea adecvată a personalului în privința manipulării sigure a substanțelor iritante.</w:t>
      </w:r>
    </w:p>
    <w:p w:rsidR="00000000" w:rsidDel="00000000" w:rsidP="00000000" w:rsidRDefault="00000000" w:rsidRPr="00000000" w14:paraId="00000055">
      <w:pPr>
        <w:pStyle w:val="Heading2"/>
        <w:spacing w:after="0" w:line="360" w:lineRule="auto"/>
        <w:jc w:val="both"/>
        <w:rPr>
          <w:rFonts w:ascii="Times New Roman" w:cs="Times New Roman" w:eastAsia="Times New Roman" w:hAnsi="Times New Roman"/>
          <w:sz w:val="24"/>
          <w:szCs w:val="24"/>
        </w:rPr>
      </w:pPr>
      <w:bookmarkStart w:colFirst="0" w:colLast="0" w:name="_heading=h.p4fvm09ho35g" w:id="4"/>
      <w:bookmarkEnd w:id="4"/>
      <w:r w:rsidDel="00000000" w:rsidR="00000000" w:rsidRPr="00000000">
        <w:rPr>
          <w:rFonts w:ascii="Times New Roman" w:cs="Times New Roman" w:eastAsia="Times New Roman" w:hAnsi="Times New Roman"/>
          <w:b w:val="1"/>
          <w:color w:val="000000"/>
          <w:sz w:val="28"/>
          <w:szCs w:val="28"/>
          <w:rtl w:val="0"/>
        </w:rPr>
        <w:t xml:space="preserve"> 1.3. Riscuri biologice</w:t>
      </w:r>
      <w:r w:rsidDel="00000000" w:rsidR="00000000" w:rsidRPr="00000000">
        <w:rPr>
          <w:rtl w:val="0"/>
        </w:rPr>
      </w:r>
    </w:p>
    <w:p w:rsidR="00000000" w:rsidDel="00000000" w:rsidP="00000000" w:rsidRDefault="00000000" w:rsidRPr="00000000" w14:paraId="0000005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Riscurile biologice la locul de muncă implică expunerea lucrătorilor la agenți patogeni sau alergeni care pot pune în pericol sănătatea și siguranța acestora. Este esențial să se adopte măsuri adecvate pentru a preveni și controla aceste riscuri biologice.</w:t>
      </w:r>
    </w:p>
    <w:p w:rsidR="00000000" w:rsidDel="00000000" w:rsidP="00000000" w:rsidRDefault="00000000" w:rsidRPr="00000000" w14:paraId="0000005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Contactul cu agenții patogeni, cum ar fi bacteriile, virusurile sau fungi, poate duce la îmbolnăviri grave sau la transmiterea unor boli infecțioase. Acest tip de risc este frecvent întâlnit în domeniile medicale, veterinar, alimentar și de igienă. Pentru a minimiza riscul de expunere la agenții patogeni, este crucial să se implementeze măsuri de protecție adecvate, cum ar fi utilizarea echipamentului de protecție personală (mănuși, halate, măști faciale etc.), respectarea protocoalelor de igienă și sterilizare și formarea adecvată a personalului în privința măsurilor de prevenire a infecțiilor.</w:t>
      </w:r>
    </w:p>
    <w:p w:rsidR="00000000" w:rsidDel="00000000" w:rsidP="00000000" w:rsidRDefault="00000000" w:rsidRPr="00000000" w14:paraId="0000005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Expunerea la alergeni la locul de muncă poate provoca reacții alergice severe la persoanele sensibile. Acești alergeni pot fi prezentați sub diverse forme, inclusiv praf, polen, animale sau substanțe chimice. Sectoarele în care aceste riscuri sunt frecvent întâlnite includ industria alimentară, producția chimică și agricultura. Pentru a preveni reacțiile alergice la locul de muncă, angajatorii ar trebui să identifice și să controleze sursele de alergeni, să ofere echipament de protecție adecvat și să ofere instruire lucrătorilor în privința recunoașterii și gestionării alergenilor.</w:t>
      </w:r>
      <w:r w:rsidDel="00000000" w:rsidR="00000000" w:rsidRPr="00000000">
        <w:rPr>
          <w:rtl w:val="0"/>
        </w:rPr>
      </w:r>
    </w:p>
    <w:p w:rsidR="00000000" w:rsidDel="00000000" w:rsidP="00000000" w:rsidRDefault="00000000" w:rsidRPr="00000000" w14:paraId="00000059">
      <w:pPr>
        <w:pStyle w:val="Heading2"/>
        <w:spacing w:after="0" w:line="360" w:lineRule="auto"/>
        <w:jc w:val="both"/>
        <w:rPr>
          <w:rFonts w:ascii="Times New Roman" w:cs="Times New Roman" w:eastAsia="Times New Roman" w:hAnsi="Times New Roman"/>
          <w:b w:val="1"/>
          <w:color w:val="000000"/>
          <w:sz w:val="28"/>
          <w:szCs w:val="28"/>
        </w:rPr>
      </w:pPr>
      <w:bookmarkStart w:colFirst="0" w:colLast="0" w:name="_heading=h.q271n6ouqy5w" w:id="5"/>
      <w:bookmarkEnd w:id="5"/>
      <w:r w:rsidDel="00000000" w:rsidR="00000000" w:rsidRPr="00000000">
        <w:rPr>
          <w:rFonts w:ascii="Times New Roman" w:cs="Times New Roman" w:eastAsia="Times New Roman" w:hAnsi="Times New Roman"/>
          <w:b w:val="1"/>
          <w:color w:val="000000"/>
          <w:sz w:val="28"/>
          <w:szCs w:val="28"/>
          <w:rtl w:val="0"/>
        </w:rPr>
        <w:t xml:space="preserve">1.4. Riscuri ergonomice</w:t>
      </w:r>
    </w:p>
    <w:p w:rsidR="00000000" w:rsidDel="00000000" w:rsidP="00000000" w:rsidRDefault="00000000" w:rsidRPr="00000000" w14:paraId="0000005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Riscurile ergonomice la locul de muncă se referă la factorii care pot afecta confortul și sănătatea lucrătorilor prin poziții incorecte sau eforturi repetitive. Gestionarea acestor riscuri este esențială pentru prevenirea leziunilor musculo-scheletice și îmbunătățirea bunăstării angajaților.</w:t>
      </w:r>
    </w:p>
    <w:p w:rsidR="00000000" w:rsidDel="00000000" w:rsidP="00000000" w:rsidRDefault="00000000" w:rsidRPr="00000000" w14:paraId="0000005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Lucrul în poziții incorecte sau neconfortabile poate duce la apariția unor afecțiuni musculo-scheletice, cum ar fi durerile de spate, tendinita sau sindromul de tunel carpian. Aceste afecțiuni pot avea un impact semnificativ asupra sănătății și productivității lucrătorilor pe termen lung. Pentru a preveni aceste probleme, este important să se optimizeze mediul de lucru pentru a promova o postură corectă și confortabilă. Acest lucru poate implica ajustarea mobilierului și echipamentului de lucru, instruirea lucrătorilor în privința tehnicilor corecte de ridicare și manipulare a obiectelor și implementarea pauzelor regulate de recuperare pentru a evita statul prelungit în poziții inconfortabile.</w:t>
      </w:r>
    </w:p>
    <w:p w:rsidR="00000000" w:rsidDel="00000000" w:rsidP="00000000" w:rsidRDefault="00000000" w:rsidRPr="00000000" w14:paraId="0000005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Eforturile repetitive, cum ar fi mișcările repetate ale membrelor sau utilizarea continuă a unor unelte sau echipamente, pot duce la apariția leziunilor musculo-scheletice cronice, cum ar fi tendinita sau epicondilita laterală. Pentru a preveni aceste probleme, este esențial să se adopte măsuri de inginerie și organizatorice adecvate. Acest lucru poate include rotirea sarcinilor de muncă între angajați, utilizarea echipamentelor ergonomice sau automatizarea proceselor repetitive, precum și instruirea lucrătorilor în privința tehnicilor corecte de lucru și a gestionării stresului și oboselii.</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jc w:val="center"/>
        <w:rPr>
          <w:rFonts w:ascii="Times New Roman" w:cs="Times New Roman" w:eastAsia="Times New Roman" w:hAnsi="Times New Roman"/>
          <w:b w:val="1"/>
          <w:color w:val="000000"/>
          <w:sz w:val="28"/>
          <w:szCs w:val="28"/>
        </w:rPr>
      </w:pPr>
      <w:bookmarkStart w:colFirst="0" w:colLast="0" w:name="_heading=h.hyfxoj5152mm" w:id="6"/>
      <w:bookmarkEnd w:id="6"/>
      <w:r w:rsidDel="00000000" w:rsidR="00000000" w:rsidRPr="00000000">
        <w:rPr>
          <w:rFonts w:ascii="Times New Roman" w:cs="Times New Roman" w:eastAsia="Times New Roman" w:hAnsi="Times New Roman"/>
          <w:b w:val="1"/>
          <w:color w:val="000000"/>
          <w:sz w:val="28"/>
          <w:szCs w:val="28"/>
          <w:rtl w:val="0"/>
        </w:rPr>
        <w:t xml:space="preserve">Capitolul II. Managementul riscurilor și prevenirea accidentelor la locul de muncă</w:t>
      </w:r>
    </w:p>
    <w:p w:rsidR="00000000" w:rsidDel="00000000" w:rsidP="00000000" w:rsidRDefault="00000000" w:rsidRPr="00000000" w14:paraId="0000005E">
      <w:pPr>
        <w:pStyle w:val="Heading2"/>
        <w:spacing w:line="360" w:lineRule="auto"/>
        <w:jc w:val="both"/>
        <w:rPr>
          <w:rFonts w:ascii="Times New Roman" w:cs="Times New Roman" w:eastAsia="Times New Roman" w:hAnsi="Times New Roman"/>
          <w:b w:val="1"/>
          <w:color w:val="000000"/>
          <w:sz w:val="28"/>
          <w:szCs w:val="28"/>
        </w:rPr>
      </w:pPr>
      <w:bookmarkStart w:colFirst="0" w:colLast="0" w:name="_heading=h.afum4uh5jmvz" w:id="7"/>
      <w:bookmarkEnd w:id="7"/>
      <w:r w:rsidDel="00000000" w:rsidR="00000000" w:rsidRPr="00000000">
        <w:rPr>
          <w:rFonts w:ascii="Times New Roman" w:cs="Times New Roman" w:eastAsia="Times New Roman" w:hAnsi="Times New Roman"/>
          <w:b w:val="1"/>
          <w:color w:val="000000"/>
          <w:sz w:val="28"/>
          <w:szCs w:val="28"/>
          <w:rtl w:val="0"/>
        </w:rPr>
        <w:t xml:space="preserve">2.1. Metode de identificare și evaluare a riscurilor</w:t>
      </w:r>
    </w:p>
    <w:p w:rsidR="00000000" w:rsidDel="00000000" w:rsidP="00000000" w:rsidRDefault="00000000" w:rsidRPr="00000000" w14:paraId="0000005F">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Identificarea și evaluarea riscurilor la locul de muncă sunt procese esențiale pentru asigurarea sănătății și securității lucrătorilor. O abordare riguroasă și sistematică este necesară pentru a identifica și cuantifica riscurile potențiale și pentru a dezvolta strategii eficiente de prevenire și control.</w:t>
      </w:r>
    </w:p>
    <w:p w:rsidR="00000000" w:rsidDel="00000000" w:rsidP="00000000" w:rsidRDefault="00000000" w:rsidRPr="00000000" w14:paraId="00000060">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Specialiștii în securitate și sănătate în muncă au expertiza și pregătirea necesară pentru a efectua evaluări detaliate ale mediului de muncă. Aceștia folosesc tehnici și instrumente specializate, precum inspecții vizuale, măsurători ale factorilor de mediu și analize de risc, pentru a identifica și evalua riscurile potențiale. Bazându-se pe aceste evaluări, specialiștii pot recomanda măsuri specifice de prevenire și control, cum ar fi utilizarea echipamentelor de protecție personală sau implementarea procedurilor de lucru sigure.</w:t>
      </w:r>
    </w:p>
    <w:p w:rsidR="00000000" w:rsidDel="00000000" w:rsidP="00000000" w:rsidRDefault="00000000" w:rsidRPr="00000000" w14:paraId="00000061">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incidentelor și a accidentelor de muncă anterioare oferă o perspectivă retrospectivă asupra riscurilor la locul de muncă. Prin examinarea detaliată a acestor evenimente, se identifică modele, tendințe și cauze subiacente ale acestor incidente. Acest proces de analiză este esențial pentru înțelegerea mai profundă a riscurilor specifice și pentru dezvoltarea de strategii adecvate de prevenire. De asemenea, acesta poate contribui la îmbunătățirea continuă a practicilor de securitate și sănătate în muncă.</w:t>
      </w:r>
    </w:p>
    <w:p w:rsidR="00000000" w:rsidDel="00000000" w:rsidP="00000000" w:rsidRDefault="00000000" w:rsidRPr="00000000" w14:paraId="00000062">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Consultarea lucrătorilor și a reprezentanților lor este o modalitate eficientă de a identifica riscurile la locul de muncă. Lucrătorii au o înțelegere directă a activităților lor și a condițiilor de lucru și pot oferi perspective valoroase în privința riscurilor potențiale. Prin implicarea lor activă în procesul de identificare și evaluare a riscurilor, se promovează o cultură a securității și se îmbunătățește angajamentul în implementarea măsurilor de prevenire și control.</w:t>
      </w:r>
    </w:p>
    <w:p w:rsidR="00000000" w:rsidDel="00000000" w:rsidP="00000000" w:rsidRDefault="00000000" w:rsidRPr="00000000" w14:paraId="00000063">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Identificarea și evaluarea riscurilor la locul de muncă sunt procese esențiale pentru asigurarea sănătății și securității lucrătorilor. Prin utilizarea unor metode adecvate de evaluare și implicarea tuturor părților interesate, angajatorii pot identifica și gestiona eficient riscurile potențiale, asigurând un mediu de lucru sigur și sănătos pentru toți angajații. Este esențial ca aceste eforturi să fie continue și să fie integrate în cultura organizațională pentru a asigura o îmbunătățire continuă a condițiilor de muncă și a protecției lucrătorilor.</w:t>
      </w:r>
    </w:p>
    <w:p w:rsidR="00000000" w:rsidDel="00000000" w:rsidP="00000000" w:rsidRDefault="00000000" w:rsidRPr="00000000" w14:paraId="00000064">
      <w:pPr>
        <w:pStyle w:val="Heading2"/>
        <w:spacing w:line="360" w:lineRule="auto"/>
        <w:jc w:val="both"/>
        <w:rPr>
          <w:rFonts w:ascii="Times New Roman" w:cs="Times New Roman" w:eastAsia="Times New Roman" w:hAnsi="Times New Roman"/>
          <w:b w:val="1"/>
          <w:color w:val="000000"/>
          <w:sz w:val="28"/>
          <w:szCs w:val="28"/>
        </w:rPr>
      </w:pPr>
      <w:bookmarkStart w:colFirst="0" w:colLast="0" w:name="_heading=h.ik7ftcbv008b" w:id="8"/>
      <w:bookmarkEnd w:id="8"/>
      <w:r w:rsidDel="00000000" w:rsidR="00000000" w:rsidRPr="00000000">
        <w:rPr>
          <w:rFonts w:ascii="Times New Roman" w:cs="Times New Roman" w:eastAsia="Times New Roman" w:hAnsi="Times New Roman"/>
          <w:b w:val="1"/>
          <w:color w:val="000000"/>
          <w:sz w:val="28"/>
          <w:szCs w:val="28"/>
          <w:rtl w:val="0"/>
        </w:rPr>
        <w:t xml:space="preserve">2.2. Impactul riscurilor asupra sănătății și securității lucrătorilor</w:t>
      </w:r>
    </w:p>
    <w:p w:rsidR="00000000" w:rsidDel="00000000" w:rsidP="00000000" w:rsidRDefault="00000000" w:rsidRPr="00000000" w14:paraId="0000006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Riscurile la locul de muncă pot avea consecințe semnificative asupra sănătății și securității lucrătorilor. Este important să înțelegem aceste impacturi pentru a dezvolta și implementa măsuri eficiente de prevenire și protecție.</w:t>
      </w:r>
    </w:p>
    <w:p w:rsidR="00000000" w:rsidDel="00000000" w:rsidP="00000000" w:rsidRDefault="00000000" w:rsidRPr="00000000" w14:paraId="0000006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Expunerea la riscurile de mediu, cum ar fi substanțele toxice, zgomotul excesiv sau expunerea la temperaturi extreme, poate duce la dezvoltarea unor afecțiuni și boli profesionale grave. Acestea pot include afecțiuni respiratorii, boli ale pielii, afecțiuni musculo-scheletice, tulburări ale sistemului nervos sau boli asociate cu expunerea la substanțe chimice periculoase. Este esențial ca angajatorii să identifice aceste riscuri și să implementeze măsuri adecvate de control și protecție pentru a preveni sau minimiza aceste afecțiuni și boli profesionale.</w:t>
      </w:r>
    </w:p>
    <w:p w:rsidR="00000000" w:rsidDel="00000000" w:rsidP="00000000" w:rsidRDefault="00000000" w:rsidRPr="00000000" w14:paraId="0000006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Accidentele de muncă și leziunile corporale pot avea consecințe devastatoare asupra lucrătorilor și pot afecta nu numai sănătatea lor, ci și capacitatea lor de a lucra și de a-și susține familia. Aceste accidente pot fi cauzate de o varietate de factori, cum ar fi condițiile nesigure de lucru, echipamentul defectuos, procedurile de lucru necorespunzătoare sau neglijența angajatorului sau a colegilor de muncă. Pentru a preveni accidentele de muncă și leziunile corporale, este esențial să se implementeze măsuri adecvate de gestionare a riscurilor, cum ar fi instruirea adecvată a lucrătorilor, mentenanța regulată a echipamentului și implementarea unor proceduri de lucru sigure.</w:t>
      </w:r>
    </w:p>
    <w:p w:rsidR="00000000" w:rsidDel="00000000" w:rsidP="00000000" w:rsidRDefault="00000000" w:rsidRPr="00000000" w14:paraId="0000006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Neglijarea securității și sănătății în muncă poate avea consecințe economice și sociale semnificative. În plus față de costurile asociate cu tratamentul medical și compensațiile pentru lucrătorii afectați de accidente sau boli profesionale, există și costuri adiționale legate de scăderea productivității, absenteismul la locul de muncă și pierderea încrederii angajaților în angajatorii lor. În plus, există și un impact negativ asupra reputației companiei și asupra relațiilor cu clienții și comunitatea. Prin urmare, investiția în securitatea și sănătatea în muncă este esențială nu numai pentru protejarea lucrătorilor, ci și pentru protejarea viabilității și succesului pe termen lung al organizațiilor.</w:t>
      </w:r>
    </w:p>
    <w:p w:rsidR="00000000" w:rsidDel="00000000" w:rsidP="00000000" w:rsidRDefault="00000000" w:rsidRPr="00000000" w14:paraId="0000006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Impactul riscurilor asupra sănătății și securității lucrătorilor este semnificativ și poate avea consecințe grave asupra individului și a organizației. Prin identificarea și gestionarea adecvată a riscurilor la locul de muncă, angajatorii pot proteja sănătatea și securitatea lucrătorilor, pot minimiza riscurile de accidente și boli profesionale și pot promova un mediu de lucru sigur și sănătos pentru toți angajații. Investiția în securitatea și sănătatea în muncă nu numai că protejează lucrătorii, ci și aduce beneficii economice și sociale semnificative pentru organizație.</w:t>
      </w:r>
    </w:p>
    <w:p w:rsidR="00000000" w:rsidDel="00000000" w:rsidP="00000000" w:rsidRDefault="00000000" w:rsidRPr="00000000" w14:paraId="0000006A">
      <w:pPr>
        <w:pStyle w:val="Heading1"/>
        <w:spacing w:after="0" w:before="0" w:line="360" w:lineRule="auto"/>
        <w:jc w:val="center"/>
        <w:rPr>
          <w:rFonts w:ascii="Times New Roman" w:cs="Times New Roman" w:eastAsia="Times New Roman" w:hAnsi="Times New Roman"/>
          <w:b w:val="1"/>
          <w:color w:val="000000"/>
          <w:sz w:val="28"/>
          <w:szCs w:val="28"/>
        </w:rPr>
      </w:pPr>
      <w:bookmarkStart w:colFirst="0" w:colLast="0" w:name="_heading=h.evwn6ko2zf58" w:id="9"/>
      <w:bookmarkEnd w:id="9"/>
      <w:r w:rsidDel="00000000" w:rsidR="00000000" w:rsidRPr="00000000">
        <w:rPr>
          <w:rFonts w:ascii="Times New Roman" w:cs="Times New Roman" w:eastAsia="Times New Roman" w:hAnsi="Times New Roman"/>
          <w:b w:val="1"/>
          <w:color w:val="000000"/>
          <w:sz w:val="28"/>
          <w:szCs w:val="28"/>
          <w:rtl w:val="0"/>
        </w:rPr>
        <w:t xml:space="preserve">Capitolul III. Exemple de practici de succes și recomandări pentru îmbunătățirea securității și sănătății la locul de muncă</w:t>
      </w:r>
    </w:p>
    <w:p w:rsidR="00000000" w:rsidDel="00000000" w:rsidP="00000000" w:rsidRDefault="00000000" w:rsidRPr="00000000" w14:paraId="0000006B">
      <w:pPr>
        <w:pStyle w:val="Heading2"/>
        <w:spacing w:before="0" w:line="360" w:lineRule="auto"/>
        <w:jc w:val="both"/>
        <w:rPr>
          <w:rFonts w:ascii="Times New Roman" w:cs="Times New Roman" w:eastAsia="Times New Roman" w:hAnsi="Times New Roman"/>
          <w:b w:val="1"/>
          <w:color w:val="000000"/>
          <w:sz w:val="28"/>
          <w:szCs w:val="28"/>
        </w:rPr>
      </w:pPr>
      <w:bookmarkStart w:colFirst="0" w:colLast="0" w:name="_heading=h.ympqoynjlcne" w:id="10"/>
      <w:bookmarkEnd w:id="10"/>
      <w:r w:rsidDel="00000000" w:rsidR="00000000" w:rsidRPr="00000000">
        <w:rPr>
          <w:rFonts w:ascii="Times New Roman" w:cs="Times New Roman" w:eastAsia="Times New Roman" w:hAnsi="Times New Roman"/>
          <w:b w:val="1"/>
          <w:color w:val="000000"/>
          <w:sz w:val="28"/>
          <w:szCs w:val="28"/>
          <w:rtl w:val="0"/>
        </w:rPr>
        <w:t xml:space="preserve">3.1. Studii de Caz ale Companiilor care au Implementat Măsuri Eficiente de Reducere a Riscurilor</w:t>
      </w:r>
    </w:p>
    <w:p w:rsidR="00000000" w:rsidDel="00000000" w:rsidP="00000000" w:rsidRDefault="00000000" w:rsidRPr="00000000" w14:paraId="0000006C">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Implementarea măsurilor eficiente de reducere a riscurilor la locul de muncă este esențială pentru asigurarea sănătății și securității lucrătorilor. Studiile de caz ale companiilor care au avut succes în acest domeniu oferă exemple valoroase și inspirație pentru alte organizații.</w:t>
      </w:r>
    </w:p>
    <w:p w:rsidR="00000000" w:rsidDel="00000000" w:rsidP="00000000" w:rsidRDefault="00000000" w:rsidRPr="00000000" w14:paraId="0000006D">
      <w:pPr>
        <w:spacing w:after="0" w:before="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Studiu de Caz 1: Toyota Motor Corporation</w:t>
      </w:r>
    </w:p>
    <w:p w:rsidR="00000000" w:rsidDel="00000000" w:rsidP="00000000" w:rsidRDefault="00000000" w:rsidRPr="00000000" w14:paraId="0000006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Toyota Motor Corporation este recunoscută pentru angajamentul său față de securitatea și sănătatea lucrătorilor. Compania a implementat programe extinse de formare și instruire pentru toți angajații, concentrându-se pe identificarea și gestionarea riscurilor la locul de muncă. Prin implicarea activă a lucrătorilor în procesul de identificare și soluționare a problemelor de securitate și sănătate, Toyota a reușit să reducă semnificativ incidentele de accidente și bolile profesionale.</w:t>
      </w:r>
    </w:p>
    <w:p w:rsidR="00000000" w:rsidDel="00000000" w:rsidP="00000000" w:rsidRDefault="00000000" w:rsidRPr="00000000" w14:paraId="0000006F">
      <w:pPr>
        <w:spacing w:after="0" w:before="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Studiu de Caz 2: Google</w:t>
      </w:r>
    </w:p>
    <w:p w:rsidR="00000000" w:rsidDel="00000000" w:rsidP="00000000" w:rsidRDefault="00000000" w:rsidRPr="00000000" w14:paraId="0000007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este cunoscută pentru promovarea unei culturi organizaționale care pune accent pe sănătatea și bunăstarea angajaților săi. Compania a investit în infrastructură și tehnologie pentru a crea un mediu de lucru sigur și sănătos, inclusiv echipamente ergonomice, spații de lucru flexibile și programe de promovare a sănătății. Prin abordarea lor holistică și inovatoare, Google a reușit să reducă riscurile la locul de muncă și să îmbunătățească calitatea vieții angajaților.</w:t>
      </w:r>
    </w:p>
    <w:p w:rsidR="00000000" w:rsidDel="00000000" w:rsidP="00000000" w:rsidRDefault="00000000" w:rsidRPr="00000000" w14:paraId="00000071">
      <w:pPr>
        <w:pStyle w:val="Heading2"/>
        <w:spacing w:after="0" w:line="360" w:lineRule="auto"/>
        <w:jc w:val="both"/>
        <w:rPr>
          <w:rFonts w:ascii="Times New Roman" w:cs="Times New Roman" w:eastAsia="Times New Roman" w:hAnsi="Times New Roman"/>
          <w:sz w:val="24"/>
          <w:szCs w:val="24"/>
        </w:rPr>
      </w:pPr>
      <w:bookmarkStart w:colFirst="0" w:colLast="0" w:name="_heading=h.lkl9uwjs5ltv" w:id="11"/>
      <w:bookmarkEnd w:id="11"/>
      <w:r w:rsidDel="00000000" w:rsidR="00000000" w:rsidRPr="00000000">
        <w:rPr>
          <w:rFonts w:ascii="Times New Roman" w:cs="Times New Roman" w:eastAsia="Times New Roman" w:hAnsi="Times New Roman"/>
          <w:b w:val="1"/>
          <w:color w:val="000000"/>
          <w:sz w:val="28"/>
          <w:szCs w:val="28"/>
          <w:rtl w:val="0"/>
        </w:rPr>
        <w:t xml:space="preserve">3.2. Recomandări pentru Angajatori și Lucrători în Vederea Prevenirii și Gestionării Riscurilor la Locul de Muncă</w:t>
      </w:r>
      <w:r w:rsidDel="00000000" w:rsidR="00000000" w:rsidRPr="00000000">
        <w:rPr>
          <w:rtl w:val="0"/>
        </w:rPr>
      </w:r>
    </w:p>
    <w:p w:rsidR="00000000" w:rsidDel="00000000" w:rsidP="00000000" w:rsidRDefault="00000000" w:rsidRPr="00000000" w14:paraId="00000072">
      <w:pPr>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Prevenirea și gestionarea riscurilor la locul de muncă implică eforturi atât din partea angajatorilor, cât și din partea lucrătorilor. Urmează câteva recomandări importante pentru ambele părți:</w:t>
      </w:r>
    </w:p>
    <w:p w:rsidR="00000000" w:rsidDel="00000000" w:rsidP="00000000" w:rsidRDefault="00000000" w:rsidRPr="00000000" w14:paraId="00000073">
      <w:pPr>
        <w:spacing w:after="0" w:before="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Pentru Angajatori:</w:t>
      </w:r>
    </w:p>
    <w:p w:rsidR="00000000" w:rsidDel="00000000" w:rsidP="00000000" w:rsidRDefault="00000000" w:rsidRPr="00000000" w14:paraId="0000007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Identificați și evaluați riscurile la locul de muncă în mod regulat.</w:t>
      </w:r>
    </w:p>
    <w:p w:rsidR="00000000" w:rsidDel="00000000" w:rsidP="00000000" w:rsidRDefault="00000000" w:rsidRPr="00000000" w14:paraId="0000007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Implementați măsuri adecvate de prevenire și control, inclusiv furnizarea de echipament de protecție personală și instruirea angajaților în privința procedurilor de lucru sigure.</w:t>
      </w:r>
    </w:p>
    <w:p w:rsidR="00000000" w:rsidDel="00000000" w:rsidP="00000000" w:rsidRDefault="00000000" w:rsidRPr="00000000" w14:paraId="0000007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Promovați o cultură a securității și sănătății în muncă, implicând activ lucrătorii în procesul de identificare și soluționare a problemelor.</w:t>
      </w:r>
    </w:p>
    <w:p w:rsidR="00000000" w:rsidDel="00000000" w:rsidP="00000000" w:rsidRDefault="00000000" w:rsidRPr="00000000" w14:paraId="0000007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Asigurați-vă că politica și procedurile de securitate și sănătate sunt respectate și actualizate în mod regulat.</w:t>
      </w:r>
    </w:p>
    <w:p w:rsidR="00000000" w:rsidDel="00000000" w:rsidP="00000000" w:rsidRDefault="00000000" w:rsidRPr="00000000" w14:paraId="00000078">
      <w:pPr>
        <w:spacing w:after="0" w:before="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Pentru Angajati:</w:t>
      </w:r>
    </w:p>
    <w:p w:rsidR="00000000" w:rsidDel="00000000" w:rsidP="00000000" w:rsidRDefault="00000000" w:rsidRPr="00000000" w14:paraId="0000007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Respectați politica și procedurile de securitate și sănătate în muncă stabilite de angajator.</w:t>
      </w:r>
    </w:p>
    <w:p w:rsidR="00000000" w:rsidDel="00000000" w:rsidP="00000000" w:rsidRDefault="00000000" w:rsidRPr="00000000" w14:paraId="0000007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Participați la programele de formare și instruire pentru a vă familiariza cu riscurile la locul de muncă și pentru a învăța cum să le gestionați în mod corespunzător.</w:t>
      </w:r>
    </w:p>
    <w:p w:rsidR="00000000" w:rsidDel="00000000" w:rsidP="00000000" w:rsidRDefault="00000000" w:rsidRPr="00000000" w14:paraId="0000007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Raportați orice incident sau situație de risc identificată la supervisorul sau departamentul responsabil.</w:t>
      </w:r>
    </w:p>
    <w:p w:rsidR="00000000" w:rsidDel="00000000" w:rsidP="00000000" w:rsidRDefault="00000000" w:rsidRPr="00000000" w14:paraId="0000007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Implicați-vă activ în procesul de îmbunătățire a condițiilor de muncă și sugerați soluții pentru reducerea riscurilor.</w:t>
      </w:r>
    </w:p>
    <w:p w:rsidR="00000000" w:rsidDel="00000000" w:rsidP="00000000" w:rsidRDefault="00000000" w:rsidRPr="00000000" w14:paraId="0000007D">
      <w:pPr>
        <w:pStyle w:val="Heading2"/>
        <w:spacing w:after="0" w:line="360" w:lineRule="auto"/>
        <w:jc w:val="both"/>
        <w:rPr>
          <w:rFonts w:ascii="Times New Roman" w:cs="Times New Roman" w:eastAsia="Times New Roman" w:hAnsi="Times New Roman"/>
          <w:b w:val="1"/>
          <w:color w:val="000000"/>
          <w:sz w:val="28"/>
          <w:szCs w:val="28"/>
        </w:rPr>
      </w:pPr>
      <w:bookmarkStart w:colFirst="0" w:colLast="0" w:name="_heading=h.nzpfenu3mxrx" w:id="12"/>
      <w:bookmarkEnd w:id="12"/>
      <w:r w:rsidDel="00000000" w:rsidR="00000000" w:rsidRPr="00000000">
        <w:rPr>
          <w:rFonts w:ascii="Times New Roman" w:cs="Times New Roman" w:eastAsia="Times New Roman" w:hAnsi="Times New Roman"/>
          <w:b w:val="1"/>
          <w:color w:val="000000"/>
          <w:sz w:val="28"/>
          <w:szCs w:val="28"/>
          <w:rtl w:val="0"/>
        </w:rPr>
        <w:t xml:space="preserve">3.3. Importanța Educației și Formării Continue în Domeniul Securității și Sănătății în Muncă</w:t>
      </w:r>
    </w:p>
    <w:p w:rsidR="00000000" w:rsidDel="00000000" w:rsidP="00000000" w:rsidRDefault="00000000" w:rsidRPr="00000000" w14:paraId="0000007E">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Educația și formarea continuă sunt vitale pentru asigurarea unui mediu de lucru sigur și sănătos.</w:t>
      </w:r>
    </w:p>
    <w:p w:rsidR="00000000" w:rsidDel="00000000" w:rsidP="00000000" w:rsidRDefault="00000000" w:rsidRPr="00000000" w14:paraId="0000007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Educația și formarea oferă angajaților cunoștințele și competențele necesare pentru a identifica și gestiona riscurile la locul de muncă.</w:t>
      </w:r>
    </w:p>
    <w:p w:rsidR="00000000" w:rsidDel="00000000" w:rsidP="00000000" w:rsidRDefault="00000000" w:rsidRPr="00000000" w14:paraId="0000008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pregătire adecvată îi ajută pe angajați să înțeleagă importanța utilizării echipamentelor de protecție personală și a respectării procedurilor de lucru sigure.</w:t>
      </w:r>
    </w:p>
    <w:p w:rsidR="00000000" w:rsidDel="00000000" w:rsidP="00000000" w:rsidRDefault="00000000" w:rsidRPr="00000000" w14:paraId="0000008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Formarea continuă permite angajaților să fie la curent cu cele mai recente tehnologii și practici în domeniul securității și sănătății în muncă, contribuind astfel la prevenirea accidentelor și a bolilor profesionale.</w:t>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angajatorii ar trebui să investească în educație și formare continuă pentru a asigura că lucrătorii lor sunt pregătiți să gestioneze riscurile la locul de muncă, iar lucrătorii ar trebui să fie proactivi în participarea la aceste programe pentru a-și proteja propria sănătate și securitate.</w:t>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line="360" w:lineRule="auto"/>
        <w:ind w:firstLine="720"/>
        <w:jc w:val="center"/>
        <w:rPr>
          <w:rFonts w:ascii="Times New Roman" w:cs="Times New Roman" w:eastAsia="Times New Roman" w:hAnsi="Times New Roman"/>
          <w:b w:val="1"/>
          <w:color w:val="000000"/>
          <w:sz w:val="28"/>
          <w:szCs w:val="28"/>
        </w:rPr>
      </w:pPr>
      <w:bookmarkStart w:colFirst="0" w:colLast="0" w:name="_heading=h.dd89ppx625sv" w:id="13"/>
      <w:bookmarkEnd w:id="13"/>
      <w:r w:rsidDel="00000000" w:rsidR="00000000" w:rsidRPr="00000000">
        <w:rPr>
          <w:rFonts w:ascii="Times New Roman" w:cs="Times New Roman" w:eastAsia="Times New Roman" w:hAnsi="Times New Roman"/>
          <w:b w:val="1"/>
          <w:color w:val="000000"/>
          <w:sz w:val="28"/>
          <w:szCs w:val="28"/>
          <w:rtl w:val="0"/>
        </w:rPr>
        <w:t xml:space="preserve">Concluzii</w:t>
      </w:r>
    </w:p>
    <w:p w:rsidR="00000000" w:rsidDel="00000000" w:rsidP="00000000" w:rsidRDefault="00000000" w:rsidRPr="00000000" w14:paraId="0000008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contextul global al pieței muncii și al mediului de afaceri, gestionarea riscurilor la locul de muncă nu este doar o obligație legală, ci și o investiție strategică esențială pentru succesul și sustenabilitatea organizațiilor. Riscurile la locul de muncă pot afecta nu numai sănătatea și securitatea lucrătorilor, ci și productivitatea, moralul angajaților, costurile operaționale și reputația companiei.</w:t>
      </w:r>
    </w:p>
    <w:p w:rsidR="00000000" w:rsidDel="00000000" w:rsidP="00000000" w:rsidRDefault="00000000" w:rsidRPr="00000000" w14:paraId="0000008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Într-o lume în continuă evoluție, caracterizată de schimbări tehnologice rapide, noile riscuri emergente la locul de muncă necesită o abordare proactivă și adaptabilă. De aceea, este crucial ca organizațiile să investească în programe robuste de gestionare a riscurilor, inclusiv evaluarea regulată a mediului de muncă, formare adecvată a personalului, implementarea măsurilor de prevenire și intervenție rapidă în caz de incidente sau accidente.</w:t>
      </w:r>
    </w:p>
    <w:p w:rsidR="00000000" w:rsidDel="00000000" w:rsidP="00000000" w:rsidRDefault="00000000" w:rsidRPr="00000000" w14:paraId="0000008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 mult decât atât, o cultură organizațională care promovează siguranța și sănătatea la locul de muncă este esențială pentru succesul pe termen lung al unei companii. Aceasta implică angajarea tuturor angajaților în procesul de identificare a riscurilor, promovarea comunicării deschise și transparente, încurajarea raportării incidentelor și recunoașterea eforturilor individuale și de echipă în promovarea unui mediu de lucru sigur.</w:t>
      </w:r>
    </w:p>
    <w:p w:rsidR="00000000" w:rsidDel="00000000" w:rsidP="00000000" w:rsidRDefault="00000000" w:rsidRPr="00000000" w14:paraId="0000008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gestionarea riscurilor la locul de muncă este o componentă vitală a strategiei organizaționale și a responsabilității sociale corporative. Investiția în securitatea și sănătatea la locul de muncă nu numai că protejează angajații, ci și contribuie la creșterea competitivității, consolidarea brandului și creșterea valorii organizației pe termen lung. Prin urmare, este esențial ca toate companiile să acorde prioritate acestui aspect și să își asume angajamentul ferm pentru crearea și menținerea unui mediu de lucru sigur și sănătos pentru toți angajații.</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spacing w:after="0" w:line="360" w:lineRule="auto"/>
        <w:ind w:firstLine="720"/>
        <w:jc w:val="center"/>
        <w:rPr>
          <w:rFonts w:ascii="Times New Roman" w:cs="Times New Roman" w:eastAsia="Times New Roman" w:hAnsi="Times New Roman"/>
          <w:b w:val="1"/>
          <w:color w:val="000000"/>
          <w:sz w:val="28"/>
          <w:szCs w:val="28"/>
        </w:rPr>
      </w:pPr>
      <w:bookmarkStart w:colFirst="0" w:colLast="0" w:name="_heading=h.4ks5uphe0791" w:id="14"/>
      <w:bookmarkEnd w:id="14"/>
      <w:r w:rsidDel="00000000" w:rsidR="00000000" w:rsidRPr="00000000">
        <w:rPr>
          <w:rFonts w:ascii="Times New Roman" w:cs="Times New Roman" w:eastAsia="Times New Roman" w:hAnsi="Times New Roman"/>
          <w:b w:val="1"/>
          <w:color w:val="000000"/>
          <w:sz w:val="28"/>
          <w:szCs w:val="28"/>
          <w:rtl w:val="0"/>
        </w:rPr>
        <w:t xml:space="preserve">Bibliografie</w:t>
      </w:r>
    </w:p>
    <w:p w:rsidR="00000000" w:rsidDel="00000000" w:rsidP="00000000" w:rsidRDefault="00000000" w:rsidRPr="00000000" w14:paraId="00000089">
      <w:pPr>
        <w:numPr>
          <w:ilvl w:val="0"/>
          <w:numId w:val="1"/>
        </w:numPr>
        <w:spacing w:after="0" w:line="360" w:lineRule="auto"/>
        <w:ind w:left="72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https://ism.gov.md/sites/default/files/document/attachments/Evaluarea%20riscurilor%20%E2%80%94%20calea%20spre%20locuri%20de%20munc%C4%83%20s%C4%83n%C4%83toase_0.pdf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numPr>
          <w:ilvl w:val="0"/>
          <w:numId w:val="1"/>
        </w:numPr>
        <w:spacing w:after="0" w:line="360" w:lineRule="auto"/>
        <w:ind w:left="720" w:hanging="360"/>
        <w:jc w:val="both"/>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https://osha.europa.eu/ro/themes/psychosocial-risks-and-mental-health</w:t>
        </w:r>
      </w:hyperlink>
      <w:r w:rsidDel="00000000" w:rsidR="00000000" w:rsidRPr="00000000">
        <w:rPr>
          <w:rtl w:val="0"/>
        </w:rPr>
      </w:r>
    </w:p>
    <w:p w:rsidR="00000000" w:rsidDel="00000000" w:rsidP="00000000" w:rsidRDefault="00000000" w:rsidRPr="00000000" w14:paraId="0000008B">
      <w:pPr>
        <w:numPr>
          <w:ilvl w:val="0"/>
          <w:numId w:val="1"/>
        </w:numPr>
        <w:spacing w:after="0" w:line="360" w:lineRule="auto"/>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https://www.inspectiamuncii.ro/documents/66402/260290/Ghid+de+evaluare+a+riscului/ef2d66c3-68a5-42bd-8b8d-ae447daca8c7</w:t>
        </w:r>
      </w:hyperlink>
      <w:r w:rsidDel="00000000" w:rsidR="00000000" w:rsidRPr="00000000">
        <w:rPr>
          <w:rtl w:val="0"/>
        </w:rPr>
      </w:r>
    </w:p>
    <w:p w:rsidR="00000000" w:rsidDel="00000000" w:rsidP="00000000" w:rsidRDefault="00000000" w:rsidRPr="00000000" w14:paraId="0000008C">
      <w:pPr>
        <w:numPr>
          <w:ilvl w:val="0"/>
          <w:numId w:val="1"/>
        </w:numPr>
        <w:spacing w:after="0" w:line="360" w:lineRule="auto"/>
        <w:ind w:left="720" w:hanging="360"/>
        <w:jc w:val="both"/>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https://mecc.gov.md/sites/default/files/s.07.o.0_21_riscuri_profesionale._mediu_de_munca.pdf</w:t>
        </w:r>
      </w:hyperlink>
      <w:r w:rsidDel="00000000" w:rsidR="00000000" w:rsidRPr="00000000">
        <w:rPr>
          <w:rtl w:val="0"/>
        </w:rPr>
      </w:r>
    </w:p>
    <w:p w:rsidR="00000000" w:rsidDel="00000000" w:rsidP="00000000" w:rsidRDefault="00000000" w:rsidRPr="00000000" w14:paraId="0000008D">
      <w:pPr>
        <w:numPr>
          <w:ilvl w:val="0"/>
          <w:numId w:val="1"/>
        </w:numPr>
        <w:spacing w:after="0" w:line="360" w:lineRule="auto"/>
        <w:ind w:left="720" w:hanging="360"/>
        <w:jc w:val="both"/>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https://www.scribd.com/document/555371678/Care-Sunt-Riscurile-de-Accidentare-La-Locul-de-Munca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3" w:type="first"/>
      <w:footerReference r:id="rId14" w:type="default"/>
      <w:footerReference r:id="rId15" w:type="first"/>
      <w:pgSz w:h="15840" w:w="12240"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M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19BD"/>
    <w:rPr>
      <w:noProof w:val="1"/>
      <w:lang w:val="ro-MD"/>
    </w:rPr>
  </w:style>
  <w:style w:type="paragraph" w:styleId="Heading1">
    <w:name w:val="heading 1"/>
    <w:basedOn w:val="Normal"/>
    <w:next w:val="Normal"/>
    <w:link w:val="Heading1Char"/>
    <w:uiPriority w:val="9"/>
    <w:qFormat w:val="1"/>
    <w:rsid w:val="0094487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94487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944872"/>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A19BD"/>
    <w:pPr>
      <w:spacing w:after="0" w:line="240" w:lineRule="auto"/>
    </w:pPr>
    <w:rPr>
      <w:kern w:val="0"/>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944872"/>
    <w:rPr>
      <w:rFonts w:asciiTheme="majorHAnsi" w:cstheme="majorBidi" w:eastAsiaTheme="majorEastAsia" w:hAnsiTheme="majorHAnsi"/>
      <w:noProof w:val="1"/>
      <w:color w:val="2f5496" w:themeColor="accent1" w:themeShade="0000BF"/>
      <w:sz w:val="32"/>
      <w:szCs w:val="32"/>
      <w:lang w:val="ro-MD"/>
    </w:rPr>
  </w:style>
  <w:style w:type="character" w:styleId="Heading2Char" w:customStyle="1">
    <w:name w:val="Heading 2 Char"/>
    <w:basedOn w:val="DefaultParagraphFont"/>
    <w:link w:val="Heading2"/>
    <w:uiPriority w:val="9"/>
    <w:semiHidden w:val="1"/>
    <w:rsid w:val="00944872"/>
    <w:rPr>
      <w:rFonts w:asciiTheme="majorHAnsi" w:cstheme="majorBidi" w:eastAsiaTheme="majorEastAsia" w:hAnsiTheme="majorHAnsi"/>
      <w:noProof w:val="1"/>
      <w:color w:val="2f5496" w:themeColor="accent1" w:themeShade="0000BF"/>
      <w:sz w:val="26"/>
      <w:szCs w:val="26"/>
      <w:lang w:val="ro-MD"/>
    </w:rPr>
  </w:style>
  <w:style w:type="character" w:styleId="Heading3Char" w:customStyle="1">
    <w:name w:val="Heading 3 Char"/>
    <w:basedOn w:val="DefaultParagraphFont"/>
    <w:link w:val="Heading3"/>
    <w:uiPriority w:val="9"/>
    <w:semiHidden w:val="1"/>
    <w:rsid w:val="00944872"/>
    <w:rPr>
      <w:rFonts w:asciiTheme="majorHAnsi" w:cstheme="majorBidi" w:eastAsiaTheme="majorEastAsia" w:hAnsiTheme="majorHAnsi"/>
      <w:noProof w:val="1"/>
      <w:color w:val="1f3763" w:themeColor="accent1" w:themeShade="00007F"/>
      <w:sz w:val="24"/>
      <w:szCs w:val="24"/>
      <w:lang w:val="ro-MD"/>
    </w:rPr>
  </w:style>
  <w:style w:type="paragraph" w:styleId="TOCHeading">
    <w:name w:val="TOC Heading"/>
    <w:basedOn w:val="Heading1"/>
    <w:next w:val="Normal"/>
    <w:uiPriority w:val="39"/>
    <w:unhideWhenUsed w:val="1"/>
    <w:qFormat w:val="1"/>
    <w:rsid w:val="00944872"/>
    <w:pPr>
      <w:outlineLvl w:val="9"/>
    </w:pPr>
    <w:rPr>
      <w:noProof w:val="0"/>
      <w:kern w:val="0"/>
      <w:lang w:val="en-US"/>
    </w:rPr>
  </w:style>
  <w:style w:type="paragraph" w:styleId="TOC1">
    <w:name w:val="toc 1"/>
    <w:basedOn w:val="Normal"/>
    <w:next w:val="Normal"/>
    <w:autoRedefine w:val="1"/>
    <w:uiPriority w:val="39"/>
    <w:unhideWhenUsed w:val="1"/>
    <w:rsid w:val="00944872"/>
    <w:pPr>
      <w:spacing w:after="100"/>
    </w:pPr>
  </w:style>
  <w:style w:type="paragraph" w:styleId="TOC2">
    <w:name w:val="toc 2"/>
    <w:basedOn w:val="Normal"/>
    <w:next w:val="Normal"/>
    <w:autoRedefine w:val="1"/>
    <w:uiPriority w:val="39"/>
    <w:unhideWhenUsed w:val="1"/>
    <w:rsid w:val="00944872"/>
    <w:pPr>
      <w:spacing w:after="100"/>
      <w:ind w:left="220"/>
    </w:pPr>
  </w:style>
  <w:style w:type="paragraph" w:styleId="TOC3">
    <w:name w:val="toc 3"/>
    <w:basedOn w:val="Normal"/>
    <w:next w:val="Normal"/>
    <w:autoRedefine w:val="1"/>
    <w:uiPriority w:val="39"/>
    <w:unhideWhenUsed w:val="1"/>
    <w:rsid w:val="00944872"/>
    <w:pPr>
      <w:spacing w:after="100"/>
      <w:ind w:left="440"/>
    </w:pPr>
  </w:style>
  <w:style w:type="character" w:styleId="Hyperlink">
    <w:name w:val="Hyperlink"/>
    <w:basedOn w:val="DefaultParagraphFont"/>
    <w:uiPriority w:val="99"/>
    <w:unhideWhenUsed w:val="1"/>
    <w:rsid w:val="00944872"/>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cc.gov.md/sites/default/files/s.07.o.0_21_riscuri_profesionale._mediu_de_munca.pdf" TargetMode="External"/><Relationship Id="rId10" Type="http://schemas.openxmlformats.org/officeDocument/2006/relationships/hyperlink" Target="https://www.inspectiamuncii.ro/documents/66402/260290/Ghid+de+evaluare+a+riscului/ef2d66c3-68a5-42bd-8b8d-ae447daca8c7" TargetMode="External"/><Relationship Id="rId13" Type="http://schemas.openxmlformats.org/officeDocument/2006/relationships/header" Target="header1.xml"/><Relationship Id="rId12" Type="http://schemas.openxmlformats.org/officeDocument/2006/relationships/hyperlink" Target="https://www.scribd.com/document/555371678/Care-Sunt-Riscurile-de-Accidentare-La-Locul-de-Mun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sha.europa.eu/ro/themes/psychosocial-risks-and-mental-health"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ism.gov.md/sites/default/files/document/attachments/Evaluarea%20riscurilor%20%E2%80%94%20calea%20spre%20locuri%20de%20munc%C4%83%20s%C4%83n%C4%83toase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1itBBfOU0TTjQ6zhw73MKbQQg==">CgMxLjAyDmguZHBzazgzZ3BtZ2Y2Mg5oLnB5dnJ6Y28za2JpNDIOaC5meXFuc2ZyaXF1OG0yDmgucHJ0Mzl0c2pqazNpMg5oLnA0ZnZtMDlobzM1ZzIOaC5xMjcxbjZvdXF5NXcyDmguaHlmeG9qNTE1Mm1tMg5oLmFmdW00dWg1am12ejIOaC5pazdmdGNidjAwOGIyDmguZXZ3bjZrbzJ6ZjU4Mg5oLnltcHFveW5qbGNuZTIOaC5sa2w5dXdqczVsdHYyDmgubnpwZmVudTNteHJ4Mg5oLmRkODlwcHg2MjVzdjIOaC40a3M1dXBoZTA3OTE4AHIhMXIxaG9ZZHlVMXNjQzdmYkNUWlU2WTh0Q2JaSXB0V25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2024-01-31T19:35:00Z</dcterms:created>
  <dc:creator>Apareci Aurica</dc:creator>
</cp:coreProperties>
</file>