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7.png" ContentType="image/png"/>
  <Override PartName="/word/media/rId21.png" ContentType="image/png"/>
  <Override PartName="/word/media/rId43.png" ContentType="image/png"/>
  <Override PartName="/word/media/rId47.png" ContentType="image/png"/>
  <Override PartName="/word/media/rId80.jpg" ContentType="image/jpeg"/>
  <Override PartName="/word/media/rId88.png" ContentType="image/png"/>
  <Override PartName="/word/media/rId8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Implementación de Técnicas de Subrogación de Modelos para el Control de Procesos No Lineales</w:t>
      </w:r>
    </w:p>
    <w:p>
      <w:pPr>
        <w:pStyle w:val="BodyText"/>
      </w:pPr>
      <w:r>
        <w:t xml:space="preserve">Álvaro Páez</w:t>
      </w:r>
      <w:r>
        <w:rPr>
          <w:vertAlign w:val="superscript"/>
        </w:rPr>
        <w:t xml:space="preserve">1</w:t>
      </w:r>
      <w:r>
        <w:t xml:space="preserve">, Alejandro Ardila</w:t>
      </w:r>
      <w:r>
        <w:rPr>
          <w:vertAlign w:val="superscript"/>
        </w:rPr>
        <w:t xml:space="preserve">1</w:t>
      </w:r>
      <w:r>
        <w:t xml:space="preserve">, Jorge M. Gómez</w:t>
      </w:r>
      <w:r>
        <w:rPr>
          <w:vertAlign w:val="superscript"/>
        </w:rPr>
        <w:t xml:space="preserve">1</w:t>
      </w:r>
    </w:p>
    <w:p>
      <w:pPr>
        <w:pStyle w:val="BodyText"/>
      </w:pPr>
      <w:r>
        <w:t xml:space="preserve">Departamento de Ingeniería Química y de Alimentos, Universidad de los Andes</w:t>
      </w:r>
    </w:p>
    <w:p>
      <w:pPr>
        <w:pStyle w:val="BodyText"/>
      </w:pPr>
      <w:r>
        <w:t xml:space="preserve">Edificio Mario Laserna. Cra. 1 Este 19A-40, Bogotá, Colombia</w:t>
      </w:r>
    </w:p>
    <w:p>
      <w:r>
        <w:pict>
          <v:rect style="width:0;height:1.5pt" o:hralign="center" o:hrstd="t" o:hr="t"/>
        </w:pict>
      </w:r>
    </w:p>
    <w:bookmarkStart w:id="9" w:name="resumen"/>
    <w:p>
      <w:pPr>
        <w:pStyle w:val="Heading1"/>
      </w:pPr>
      <w:r>
        <w:t xml:space="preserve">Resumen</w:t>
      </w:r>
    </w:p>
    <w:p>
      <w:pPr>
        <w:pStyle w:val="FirstParagraph"/>
      </w:pPr>
      <w:r>
        <w:t xml:space="preserve">El presente trabajo evalúa diferentes técnicas de subrogación de modelos orientadas</w:t>
      </w:r>
      <w:r>
        <w:t xml:space="preserve"> </w:t>
      </w:r>
      <w:r>
        <w:t xml:space="preserve">al control predictivo basado en modelo (MPC) para un proceso de destilación extractiva</w:t>
      </w:r>
      <w:r>
        <w:t xml:space="preserve"> </w:t>
      </w:r>
      <w:r>
        <w:t xml:space="preserve">de una mezcla azeotrópica de metanol y acetona con dimetilsulfóxido (DMSO) como agente</w:t>
      </w:r>
      <w:r>
        <w:t xml:space="preserve"> </w:t>
      </w:r>
      <w:r>
        <w:t xml:space="preserve">separador. A partir de datos dinámicos obtenidos mediante simulación rigurosa en Aspen</w:t>
      </w:r>
      <w:r>
        <w:t xml:space="preserve"> </w:t>
      </w:r>
      <w:r>
        <w:t xml:space="preserve">Plus Dynamics, se identificaron cinco estructuras de modelo subrogado por columna:</w:t>
      </w:r>
      <w:r>
        <w:t xml:space="preserve"> </w:t>
      </w:r>
      <w:r>
        <w:t xml:space="preserve">espacio de estados (SS), autorregresivo con entradas exógenas (ARX), autorregresivo de</w:t>
      </w:r>
      <w:r>
        <w:t xml:space="preserve"> </w:t>
      </w:r>
      <w:r>
        <w:t xml:space="preserve">media móvil con entradas exógenas (ARMAX), función de transferencia identificable (TF)</w:t>
      </w:r>
      <w:r>
        <w:t xml:space="preserve"> </w:t>
      </w:r>
      <w:r>
        <w:t xml:space="preserve">y primer orden con tiempo muerto (FOPDT). Los modelos fueron evaluados tanto en términos</w:t>
      </w:r>
      <w:r>
        <w:t xml:space="preserve"> </w:t>
      </w:r>
      <w:r>
        <w:t xml:space="preserve">de ajuste estadístico en lazo abierto, mediante el coeficiente de determinación</w:t>
      </w:r>
      <w:r>
        <w:t xml:space="preserve"> </w:t>
      </w:r>
      <m:oMath>
        <m:sSup>
          <m:e>
            <m:r>
              <m:t>R</m:t>
            </m:r>
          </m:e>
          <m:sup>
            <m:r>
              <m:t>2</m:t>
            </m:r>
          </m:sup>
        </m:sSup>
      </m:oMath>
      <w:r>
        <w:t xml:space="preserve"> </w:t>
      </w:r>
      <w:r>
        <w:t xml:space="preserve">y la raíz del error cuadrático medio (RECM), como en términos de desempeño dinámico en</w:t>
      </w:r>
      <w:r>
        <w:t xml:space="preserve"> </w:t>
      </w:r>
      <w:r>
        <w:t xml:space="preserve">lazo cerrado, mediante criterios integrales de error (IAE, ISE, ITAE) obtenidos a través</w:t>
      </w:r>
      <w:r>
        <w:t xml:space="preserve"> </w:t>
      </w:r>
      <w:r>
        <w:t xml:space="preserve">de una co-simulación entre MATLAB</w:t>
      </w:r>
      <w:r>
        <w:rPr>
          <w:vertAlign w:val="superscript"/>
        </w:rPr>
        <w:t xml:space="preserve">®</w:t>
      </w:r>
      <w:r>
        <w:t xml:space="preserve">–Simulink</w:t>
      </w:r>
      <w:r>
        <w:rPr>
          <w:vertAlign w:val="superscript"/>
        </w:rPr>
        <w:t xml:space="preserve">®</w:t>
      </w:r>
      <w:r>
        <w:t xml:space="preserve"> </w:t>
      </w:r>
      <w:r>
        <w:t xml:space="preserve">y Aspen Plus Dynamics. Los resultados demuestran que las métricas de ajuste en lazo</w:t>
      </w:r>
      <w:r>
        <w:t xml:space="preserve"> </w:t>
      </w:r>
      <w:r>
        <w:t xml:space="preserve">abierto no constituyen un criterio válido para la selección de modelos en aplicaciones</w:t>
      </w:r>
      <w:r>
        <w:t xml:space="preserve"> </w:t>
      </w:r>
      <w:r>
        <w:t xml:space="preserve">de control predictivo, dado que no existe correlación entre el</w:t>
      </w:r>
      <w:r>
        <w:t xml:space="preserve"> </w:t>
      </w:r>
      <w:r>
        <w:rPr>
          <w:i/>
          <w:iCs/>
        </w:rPr>
        <w:t xml:space="preserve">ranking</w:t>
      </w:r>
      <w:r>
        <w:t xml:space="preserve"> </w:t>
      </w:r>
      <w:r>
        <w:t xml:space="preserve">estadístico y el desempeño bajo retroalimentación continua con perturbaciones. Con base</w:t>
      </w:r>
      <w:r>
        <w:t xml:space="preserve"> </w:t>
      </w:r>
      <w:r>
        <w:t xml:space="preserve">en la evaluación integral, se propone una estrategia de control híbrido descentralizado</w:t>
      </w:r>
      <w:r>
        <w:t xml:space="preserve"> </w:t>
      </w:r>
      <w:r>
        <w:t xml:space="preserve">que asigna el modelo ARMAX a la columna extractiva T-101 y el modelo FOPDT a la columna</w:t>
      </w:r>
      <w:r>
        <w:t xml:space="preserve"> </w:t>
      </w:r>
      <w:r>
        <w:t xml:space="preserve">de recuperación de solvente T-102, logrando un mejor compromiso entre precisión dinámica,</w:t>
      </w:r>
      <w:r>
        <w:t xml:space="preserve"> </w:t>
      </w:r>
      <w:r>
        <w:t xml:space="preserve">robustez frente a perturbaciones y eficiencia computacional. Todos los modelos evaluados</w:t>
      </w:r>
      <w:r>
        <w:t xml:space="preserve"> </w:t>
      </w:r>
      <w:r>
        <w:t xml:space="preserve">cumplen los requerimientos de viabilidad en tiempo real, lo que confirma que la selección</w:t>
      </w:r>
      <w:r>
        <w:t xml:space="preserve"> </w:t>
      </w:r>
      <w:r>
        <w:t xml:space="preserve">del modelo subrogado debe atender exclusivamente al desempeño en lazo cerrado.</w:t>
      </w:r>
    </w:p>
    <w:p>
      <w:pPr>
        <w:pStyle w:val="BodyText"/>
      </w:pPr>
      <w:r>
        <w:rPr>
          <w:b/>
          <w:bCs/>
        </w:rPr>
        <w:t xml:space="preserve">Palabras clave:</w:t>
      </w:r>
      <w:r>
        <w:t xml:space="preserve"> </w:t>
      </w:r>
      <w:r>
        <w:t xml:space="preserve">modelos subrogados, control predictivo basado en</w:t>
      </w:r>
      <w:r>
        <w:t xml:space="preserve"> </w:t>
      </w:r>
      <w:r>
        <w:t xml:space="preserve">modelo (MPC), destilación extractiva, identificación de sistemas, Espacio de Estados,</w:t>
      </w:r>
      <w:r>
        <w:t xml:space="preserve"> </w:t>
      </w:r>
      <w:r>
        <w:t xml:space="preserve">ARX, ARMAX, función de transferencia, FOPDT, co-simulación.</w:t>
      </w:r>
    </w:p>
    <w:bookmarkEnd w:id="9"/>
    <w:bookmarkStart w:id="10" w:name="introducción"/>
    <w:p>
      <w:pPr>
        <w:pStyle w:val="Heading1"/>
      </w:pPr>
      <w:r>
        <w:t xml:space="preserve">Introducción</w:t>
      </w:r>
    </w:p>
    <w:p>
      <w:pPr>
        <w:pStyle w:val="FirstParagraph"/>
      </w:pPr>
      <w:r>
        <w:t xml:space="preserve">La optimización de procesos es fundamental en la industria química, debido a que constituye un factor clave para mejorar la eficiencia operativa, reducir costos y mantener una ventaja competitiva en el mercado global. Sin embargo, la búsqueda continua de un mejor rendimiento se enfrenta al desafío de gestionar procesos químicos no lineales y altamente complejos</w:t>
      </w:r>
      <w:r>
        <w:t xml:space="preserve"> </w:t>
      </w:r>
      <w:r>
        <w:t xml:space="preserve">[1], [2]</w:t>
      </w:r>
      <w:r>
        <w:t xml:space="preserve">. Los sistemas industriales compuestos por múltiples equipos presentan comportamientos dinámicos complejos caracterizados por fuertes interacciones entre variables, no linealidades y acoplamientos que dificultan su análisis, y más importante aún, el control</w:t>
      </w:r>
      <w:r>
        <w:t xml:space="preserve"> </w:t>
      </w:r>
      <w:r>
        <w:t xml:space="preserve">[3], [4]</w:t>
      </w:r>
      <w:r>
        <w:t xml:space="preserve">. Estas características representan un desafío significativo para los controladores convencionales, como los PID (Proporcional-Integral-Derivativo), para los cuales su implementación puede verse limitada o insuficiente. Como consecuencia, pueden generarse respuestas lentas, sobreoscilaciones y dificultades para mantener la estabilidad y el desempeño óptimo del proceso. Para superar estos desafios, el Control Predictivo Basado en Modelo (Model Predictive Control, MPC) se ha consolidado como una de las estrategias de control avanzado más utilizadas en procesos industriales. Este método emplea un modelo dinámico del proceso para predecir su comportamiento futuro dentro de un horizonte de tiempo determinado y, en cada instante de operación, resolver un problema de optimización que permite determinar las acciones de control más adecuadas</w:t>
      </w:r>
      <w:r>
        <w:t xml:space="preserve"> </w:t>
      </w:r>
      <w:r>
        <w:t xml:space="preserve">[5]</w:t>
      </w:r>
      <w:r>
        <w:t xml:space="preserve">. No obstante, incluso las estrategias de control avanzadas, como el MPC, presentan dificultades cuando la dinámica del proceso no se conoce con precisión o está sujeta a variaciones significativas. La complejidad numérica, caracterizada por fuertes interacciones entre variables del proceso y dinámicas no modeladas, junto con la necesidad de resolver continuamente problemas de optimización, puede traducirse en respuestas insuficientes o en la falta de convergencia del controlador. Es por ello que los últimos años se ha implementado el uso de modelos subrogados, también conocidos como metamodelos, los cuales buscan aproximar el comportamiento de modelos rigurosos mediante representaciones matemáticas más simples construidas a partir de datos historicos o de simulación rigurosa</w:t>
      </w:r>
      <w:r>
        <w:t xml:space="preserve"> </w:t>
      </w:r>
      <w:r>
        <w:t xml:space="preserve">[6], [7]</w:t>
      </w:r>
      <w:r>
        <w:t xml:space="preserve">. Estos modelos permiten reducir significativamente la carga computacional asociada a la simulación y optimización de procesos complejos, manteniendo al mismo tiempo un nivel adecuado de precisión en la predicción del comportamiento y movimientos del sistema</w:t>
      </w:r>
      <w:r>
        <w:t xml:space="preserve"> </w:t>
      </w:r>
      <w:r>
        <w:t xml:space="preserve">[8], [9]</w:t>
      </w:r>
      <w:r>
        <w:t xml:space="preserve">. El presente trabajo busca continuar la línea de investigación sobre la subrogación de control para un proceso químico complejo; con el objetivo de implementar estrategias de control predictivo orientadas al rechazo de perturbaciones en las variables del sistema</w:t>
      </w:r>
      <w:r>
        <w:t xml:space="preserve"> </w:t>
      </w:r>
      <w:r>
        <w:t xml:space="preserve">[10]</w:t>
      </w:r>
      <w:r>
        <w:t xml:space="preserve">. En dicho estudio se utilizó un metamodelo basado en representación en el espacio de estados, el cual será empleado en este trabajo como base de comparación frente a otros métodos de identificación y modelado, específicamente los modelos ARX, ARMAX, de primer orden con tiempo muerto (FOPDT) y modelos basados en función de transferencia; metodos lineales que abarcan los diferentes tipos de modelos compatibles con un MPC lineal. Ademas, se agregó un paso de verificación con datos diferentes a los de entrenamiento para no incurrir en el sobreajuste.</w:t>
      </w:r>
    </w:p>
    <w:bookmarkEnd w:id="10"/>
    <w:bookmarkStart w:id="20" w:name="estado-del-arte"/>
    <w:p>
      <w:pPr>
        <w:pStyle w:val="Heading1"/>
      </w:pPr>
      <w:r>
        <w:t xml:space="preserve">Estado del arte</w:t>
      </w:r>
    </w:p>
    <w:p>
      <w:pPr>
        <w:pStyle w:val="FirstParagraph"/>
      </w:pPr>
      <w:r>
        <w:t xml:space="preserve">La implementación de controles predictivos avanzados, como el control predictivo basado en modelos (Model Predictive Control, MPC), se ve limitada por el alto costo computacional asociado a los modelos rigurosos que describen procesos químicos complejos. Estos modelos requieren la solución numérica de sistemas de ecuaciones diferenciales y algebraicas de gran dimensión, lo que incrementa significativamente el tiempo de cálculo al utilizarse en algoritmos de optimización en tiempo real. En este contexto, la subrogación de modelos surge como una técnica eficiente para representar el comportamiento dinámico del sistema mediante aproximaciones matemáticas de menor complejidad. A través de metamodelos, es posible establecer relaciones entre variables de entrada y salida con el objetivo de mantener la integridad del control mientras se reduce la carga computacional</w:t>
      </w:r>
      <w:r>
        <w:t xml:space="preserve"> </w:t>
      </w:r>
      <w:r>
        <w:t xml:space="preserve">[6]</w:t>
      </w:r>
      <w:r>
        <w:t xml:space="preserve">. Diversos estudios han explorado la subrogación de modelos con el propósito de integrarlos en sistemas de control predictivo aplicados a procesos químicos complejos, incluyendo sistemas de separación por destilación. El presente estudio se centró en el uso de metamodelos dinámicos lineales con el objetivo de tener una base de comparación con la representación en espacio de estados, al ser este un modelo lineal. Adicionalmente, se buscaron metamodelos con compatibilidad directa en el esquema planteado en el anterior estudio de MPC lineal, esto con un proposito de comparación. Finalmente, los modelos subrogados seleccionados (ARX, ARMAX, FOPDT y función de transferencia) cumplen con los anteriores requisitos; ademas de tener un uso significativo en literatura y representar el catalogo de tipos de modelos identificables del</w:t>
      </w:r>
      <w:r>
        <w:t xml:space="preserve"> </w:t>
      </w:r>
      <w:r>
        <w:rPr>
          <w:i/>
          <w:iCs/>
        </w:rPr>
        <w:t xml:space="preserve">System Identification Toolbox</w:t>
      </w:r>
      <w:r>
        <w:t xml:space="preserve"> </w:t>
      </w:r>
      <w:r>
        <w:t xml:space="preserve">de MATLAB®. A continuación, se presenta una revisión de cada una de estas técnicas de subrogación, destacando sus características principales, ventajas y limitaciones en el contexto del control predictivo aplicado a procesos químicos.</w:t>
      </w:r>
    </w:p>
    <w:p>
      <w:pPr>
        <w:pStyle w:val="BodyText"/>
      </w:pPr>
      <w:r>
        <w:t xml:space="preserve">Las estrategias de subrogación consideradas en este trabajo fueron seleccionadas debido a su amplio uso en problemas de identificación de sistemas y control predictivo aplicados a procesos químicos complejos. Estos modelos representan algunas de las aproximaciones más utilizadas en la literatura para reducir la complejidad computacional de modelos rigurosos, manteniendo una representación adecuada de la dinámica del proceso. En conjunto, estas estrategias abarcan gran parte de los enfoques utilizados en problemas de modelado dinámico y control de procesos químicos. A continuación, se presenta una revisión detallada de cada una de estas técnicas, destacando sus características principales, ventajas, limitaciones y aplicaciones típicas en el contexto del control predictivo de procesos químicos.</w:t>
      </w:r>
    </w:p>
    <w:bookmarkStart w:id="11" w:name="modelos-arx-y-armax"/>
    <w:p>
      <w:pPr>
        <w:pStyle w:val="Heading2"/>
      </w:pPr>
      <w:r>
        <w:t xml:space="preserve">Modelos ARX y ARMAX</w:t>
      </w:r>
    </w:p>
    <w:p>
      <w:pPr>
        <w:pStyle w:val="FirstParagraph"/>
      </w:pPr>
      <w:r>
        <w:t xml:space="preserve">Los modelos ARX (AutoRegressive with eXogenous inputs) constituyen una clase de modelos lineales de identificación de sistemas en tiempo discreto que describen la salida actual del sistema como una combinación lineal de sus salidas pasadas y de las entradas actuales y pasadas</w:t>
      </w:r>
      <w:r>
        <w:t xml:space="preserve"> </w:t>
      </w:r>
      <w:r>
        <w:t xml:space="preserve">[11]</w:t>
      </w:r>
      <w:r>
        <w:t xml:space="preserve">. Su estructura general se expresa como:</w:t>
      </w:r>
    </w:p>
    <w:p>
      <w:pPr>
        <w:pStyle w:val="BodyText"/>
      </w:pPr>
      <m:oMathPara>
        <m:oMathParaPr>
          <m:jc m:val="center"/>
        </m:oMathParaPr>
        <m:oMath>
          <m:r>
            <m:t>A</m:t>
          </m:r>
          <m:r>
            <m:rPr>
              <m:sty m:val="p"/>
            </m:rPr>
            <m:t>(</m:t>
          </m:r>
          <m:r>
            <m:t>q</m:t>
          </m:r>
          <m:r>
            <m:rPr>
              <m:sty m:val="p"/>
            </m:rPr>
            <m:t>)</m:t>
          </m:r>
          <m:r>
            <m:t>y</m:t>
          </m:r>
          <m:r>
            <m:rPr>
              <m:sty m:val="p"/>
            </m:rPr>
            <m:t>(</m:t>
          </m:r>
          <m:r>
            <m:t>k</m:t>
          </m:r>
          <m:r>
            <m:rPr>
              <m:sty m:val="p"/>
            </m:rPr>
            <m:t>)</m:t>
          </m:r>
          <m:r>
            <m:rPr>
              <m:sty m:val="p"/>
            </m:rPr>
            <m:t>=</m:t>
          </m:r>
          <m:r>
            <m:t>B</m:t>
          </m:r>
          <m:r>
            <m:rPr>
              <m:sty m:val="p"/>
            </m:rPr>
            <m:t>(</m:t>
          </m:r>
          <m:r>
            <m:t>q</m:t>
          </m:r>
          <m:r>
            <m:rPr>
              <m:sty m:val="p"/>
            </m:rPr>
            <m:t>)</m:t>
          </m:r>
          <m:r>
            <m:t>u</m:t>
          </m:r>
          <m:r>
            <m:rPr>
              <m:sty m:val="p"/>
            </m:rPr>
            <m:t>(</m:t>
          </m:r>
          <m:r>
            <m:t>k</m:t>
          </m:r>
          <m:r>
            <m:rPr>
              <m:sty m:val="p"/>
            </m:rPr>
            <m:t>−</m:t>
          </m:r>
          <m:sSub>
            <m:e>
              <m:r>
                <m:t>n</m:t>
              </m:r>
            </m:e>
            <m:sub>
              <m:r>
                <m:t>k</m:t>
              </m:r>
            </m:sub>
          </m:sSub>
          <m:r>
            <m:rPr>
              <m:sty m:val="p"/>
            </m:rPr>
            <m:t>)</m:t>
          </m:r>
          <m:r>
            <m:rPr>
              <m:sty m:val="p"/>
            </m:rPr>
            <m:t>+</m:t>
          </m:r>
          <m:r>
            <m:t>e</m:t>
          </m:r>
          <m:r>
            <m:rPr>
              <m:sty m:val="p"/>
            </m:rPr>
            <m:t>(</m:t>
          </m:r>
          <m:r>
            <m:t>k</m:t>
          </m:r>
          <m:r>
            <m:rPr>
              <m:sty m:val="p"/>
            </m:rPr>
            <m:t>)</m:t>
          </m:r>
        </m:oMath>
      </m:oMathPara>
    </w:p>
    <w:p>
      <w:pPr>
        <w:pStyle w:val="FirstParagraph"/>
      </w:pPr>
      <m:oMathPara>
        <m:oMathParaPr>
          <m:jc m:val="center"/>
        </m:oMathParaPr>
        <m:oMath>
          <m:r>
            <m:t>A</m:t>
          </m:r>
          <m:r>
            <m:rPr>
              <m:sty m:val="p"/>
            </m:rPr>
            <m:t>(</m:t>
          </m:r>
          <m:r>
            <m:t>q</m:t>
          </m:r>
          <m:r>
            <m:rPr>
              <m:sty m:val="p"/>
            </m:rPr>
            <m:t>)</m:t>
          </m:r>
          <m:r>
            <m:rPr>
              <m:sty m:val="p"/>
            </m:rPr>
            <m:t>=</m:t>
          </m:r>
          <m:r>
            <m:t>1</m:t>
          </m:r>
          <m:r>
            <m:rPr>
              <m:sty m:val="p"/>
            </m:rPr>
            <m:t>+</m:t>
          </m:r>
          <m:sSub>
            <m:e>
              <m:r>
                <m:t>a</m:t>
              </m:r>
            </m:e>
            <m:sub>
              <m:r>
                <m:t>1</m:t>
              </m:r>
            </m:sub>
          </m:sSub>
          <m:sSup>
            <m:e>
              <m:r>
                <m:t>q</m:t>
              </m:r>
            </m:e>
            <m:sup>
              <m:r>
                <m:rPr>
                  <m:sty m:val="p"/>
                </m:rPr>
                <m:t>−</m:t>
              </m:r>
              <m:r>
                <m:t>1</m:t>
              </m:r>
            </m:sup>
          </m:sSup>
          <m:r>
            <m:rPr>
              <m:sty m:val="p"/>
            </m:rPr>
            <m:t>+</m:t>
          </m:r>
          <m:sSub>
            <m:e>
              <m:r>
                <m:t>a</m:t>
              </m:r>
            </m:e>
            <m:sub>
              <m:r>
                <m:t>2</m:t>
              </m:r>
            </m:sub>
          </m:sSub>
          <m:sSup>
            <m:e>
              <m:r>
                <m:t>q</m:t>
              </m:r>
            </m:e>
            <m:sup>
              <m:r>
                <m:rPr>
                  <m:sty m:val="p"/>
                </m:rPr>
                <m:t>−</m:t>
              </m:r>
              <m:r>
                <m:t>2</m:t>
              </m:r>
            </m:sup>
          </m:sSup>
          <m:r>
            <m:rPr>
              <m:sty m:val="p"/>
            </m:rPr>
            <m:t>+</m:t>
          </m:r>
          <m:r>
            <m:rPr>
              <m:sty m:val="p"/>
            </m:rPr>
            <m:t>⋯</m:t>
          </m:r>
          <m:r>
            <m:rPr>
              <m:sty m:val="p"/>
            </m:rPr>
            <m:t>+</m:t>
          </m:r>
          <m:sSub>
            <m:e>
              <m:r>
                <m:t>a</m:t>
              </m:r>
            </m:e>
            <m:sub>
              <m:sSub>
                <m:e>
                  <m:r>
                    <m:t>n</m:t>
                  </m:r>
                </m:e>
                <m:sub>
                  <m:r>
                    <m:t>a</m:t>
                  </m:r>
                </m:sub>
              </m:sSub>
            </m:sub>
          </m:sSub>
          <m:sSup>
            <m:e>
              <m:r>
                <m:t>q</m:t>
              </m:r>
            </m:e>
            <m:sup>
              <m:r>
                <m:rPr>
                  <m:sty m:val="p"/>
                </m:rPr>
                <m:t>−</m:t>
              </m:r>
              <m:sSub>
                <m:e>
                  <m:r>
                    <m:t>n</m:t>
                  </m:r>
                </m:e>
                <m:sub>
                  <m:r>
                    <m:t>a</m:t>
                  </m:r>
                </m:sub>
              </m:sSub>
            </m:sup>
          </m:sSup>
        </m:oMath>
      </m:oMathPara>
    </w:p>
    <w:p>
      <w:pPr>
        <w:pStyle w:val="FirstParagraph"/>
      </w:pPr>
      <m:oMathPara>
        <m:oMathParaPr>
          <m:jc m:val="center"/>
        </m:oMathParaPr>
        <m:oMath>
          <m:r>
            <m:t>B</m:t>
          </m:r>
          <m:r>
            <m:rPr>
              <m:sty m:val="p"/>
            </m:rPr>
            <m:t>(</m:t>
          </m:r>
          <m:r>
            <m:t>q</m:t>
          </m:r>
          <m:r>
            <m:rPr>
              <m:sty m:val="p"/>
            </m:rPr>
            <m:t>)</m:t>
          </m:r>
          <m:r>
            <m:rPr>
              <m:sty m:val="p"/>
            </m:rPr>
            <m:t>=</m:t>
          </m:r>
          <m:sSub>
            <m:e>
              <m:r>
                <m:t>b</m:t>
              </m:r>
            </m:e>
            <m:sub>
              <m:r>
                <m:t>1</m:t>
              </m:r>
            </m:sub>
          </m:sSub>
          <m:sSup>
            <m:e>
              <m:r>
                <m:t>q</m:t>
              </m:r>
            </m:e>
            <m:sup>
              <m:r>
                <m:rPr>
                  <m:sty m:val="p"/>
                </m:rPr>
                <m:t>−</m:t>
              </m:r>
              <m:r>
                <m:t>1</m:t>
              </m:r>
            </m:sup>
          </m:sSup>
          <m:r>
            <m:rPr>
              <m:sty m:val="p"/>
            </m:rPr>
            <m:t>+</m:t>
          </m:r>
          <m:sSub>
            <m:e>
              <m:r>
                <m:t>b</m:t>
              </m:r>
            </m:e>
            <m:sub>
              <m:r>
                <m:t>2</m:t>
              </m:r>
            </m:sub>
          </m:sSub>
          <m:sSup>
            <m:e>
              <m:r>
                <m:t>q</m:t>
              </m:r>
            </m:e>
            <m:sup>
              <m:r>
                <m:rPr>
                  <m:sty m:val="p"/>
                </m:rPr>
                <m:t>−</m:t>
              </m:r>
              <m:r>
                <m:t>2</m:t>
              </m:r>
            </m:sup>
          </m:sSup>
          <m:r>
            <m:rPr>
              <m:sty m:val="p"/>
            </m:rPr>
            <m:t>+</m:t>
          </m:r>
          <m:r>
            <m:rPr>
              <m:sty m:val="p"/>
            </m:rPr>
            <m:t>⋯</m:t>
          </m:r>
          <m:r>
            <m:rPr>
              <m:sty m:val="p"/>
            </m:rPr>
            <m:t>+</m:t>
          </m:r>
          <m:sSub>
            <m:e>
              <m:r>
                <m:t>b</m:t>
              </m:r>
            </m:e>
            <m:sub>
              <m:sSub>
                <m:e>
                  <m:r>
                    <m:t>n</m:t>
                  </m:r>
                </m:e>
                <m:sub>
                  <m:r>
                    <m:t>b</m:t>
                  </m:r>
                </m:sub>
              </m:sSub>
            </m:sub>
          </m:sSub>
          <m:sSup>
            <m:e>
              <m:r>
                <m:t>q</m:t>
              </m:r>
            </m:e>
            <m:sup>
              <m:r>
                <m:rPr>
                  <m:sty m:val="p"/>
                </m:rPr>
                <m:t>−</m:t>
              </m:r>
              <m:sSub>
                <m:e>
                  <m:r>
                    <m:t>n</m:t>
                  </m:r>
                </m:e>
                <m:sub>
                  <m:r>
                    <m:t>b</m:t>
                  </m:r>
                </m:sub>
              </m:sSub>
            </m:sup>
          </m:sSup>
        </m:oMath>
      </m:oMathPara>
    </w:p>
    <w:p>
      <w:pPr>
        <w:pStyle w:val="FirstParagraph"/>
      </w:pPr>
      <w:r>
        <w:t xml:space="preserve">donde</w:t>
      </w:r>
      <w:r>
        <w:t xml:space="preserve"> </w:t>
      </w:r>
      <m:oMath>
        <m:r>
          <m:t>y</m:t>
        </m:r>
        <m:r>
          <m:rPr>
            <m:sty m:val="p"/>
          </m:rPr>
          <m:t>(</m:t>
        </m:r>
        <m:r>
          <m:t>k</m:t>
        </m:r>
        <m:r>
          <m:rPr>
            <m:sty m:val="p"/>
          </m:rPr>
          <m:t>)</m:t>
        </m:r>
      </m:oMath>
      <w:r>
        <w:t xml:space="preserve"> </w:t>
      </w:r>
      <w:r>
        <w:t xml:space="preserve">representa la salida del sistema en el instante discreto</w:t>
      </w:r>
      <w:r>
        <w:t xml:space="preserve"> </w:t>
      </w:r>
      <m:oMath>
        <m:r>
          <m:t>k</m:t>
        </m:r>
      </m:oMath>
      <w:r>
        <w:t xml:space="preserve">,</w:t>
      </w:r>
      <w:r>
        <w:t xml:space="preserve"> </w:t>
      </w:r>
      <m:oMath>
        <m:r>
          <m:t>u</m:t>
        </m:r>
        <m:r>
          <m:rPr>
            <m:sty m:val="p"/>
          </m:rPr>
          <m:t>(</m:t>
        </m:r>
        <m:r>
          <m:t>k</m:t>
        </m:r>
        <m:r>
          <m:rPr>
            <m:sty m:val="p"/>
          </m:rPr>
          <m:t>)</m:t>
        </m:r>
      </m:oMath>
      <w:r>
        <w:t xml:space="preserve"> </w:t>
      </w:r>
      <w:r>
        <w:t xml:space="preserve">corresponde a la entrada manipulada,</w:t>
      </w:r>
      <w:r>
        <w:t xml:space="preserve"> </w:t>
      </w:r>
      <m:oMath>
        <m:r>
          <m:t>A</m:t>
        </m:r>
        <m:r>
          <m:rPr>
            <m:sty m:val="p"/>
          </m:rPr>
          <m:t>(</m:t>
        </m:r>
        <m:r>
          <m:t>q</m:t>
        </m:r>
        <m:r>
          <m:rPr>
            <m:sty m:val="p"/>
          </m:rPr>
          <m:t>)</m:t>
        </m:r>
      </m:oMath>
      <w:r>
        <w:t xml:space="preserve"> </w:t>
      </w:r>
      <w:r>
        <w:t xml:space="preserve">y</w:t>
      </w:r>
      <w:r>
        <w:t xml:space="preserve"> </w:t>
      </w:r>
      <m:oMath>
        <m:r>
          <m:t>B</m:t>
        </m:r>
        <m:r>
          <m:rPr>
            <m:sty m:val="p"/>
          </m:rPr>
          <m:t>(</m:t>
        </m:r>
        <m:r>
          <m:t>q</m:t>
        </m:r>
        <m:r>
          <m:rPr>
            <m:sty m:val="p"/>
          </m:rPr>
          <m:t>)</m:t>
        </m:r>
      </m:oMath>
      <w:r>
        <w:t xml:space="preserve"> </w:t>
      </w:r>
      <w:r>
        <w:t xml:space="preserve">son los polinomios que contienen los parámetros del modelo,</w:t>
      </w:r>
      <w:r>
        <w:t xml:space="preserve"> </w:t>
      </w:r>
      <m:oMath>
        <m:sSub>
          <m:e>
            <m:r>
              <m:t>n</m:t>
            </m:r>
          </m:e>
          <m:sub>
            <m:r>
              <m:t>a</m:t>
            </m:r>
          </m:sub>
        </m:sSub>
      </m:oMath>
      <w:r>
        <w:t xml:space="preserve"> </w:t>
      </w:r>
      <w:r>
        <w:t xml:space="preserve">y</w:t>
      </w:r>
      <w:r>
        <w:t xml:space="preserve"> </w:t>
      </w:r>
      <m:oMath>
        <m:sSub>
          <m:e>
            <m:r>
              <m:t>n</m:t>
            </m:r>
          </m:e>
          <m:sub>
            <m:r>
              <m:t>b</m:t>
            </m:r>
          </m:sub>
        </m:sSub>
      </m:oMath>
      <w:r>
        <w:t xml:space="preserve"> </w:t>
      </w:r>
      <w:r>
        <w:t xml:space="preserve">representan el número de polos y ceros del sistema, respectivamente, y</w:t>
      </w:r>
      <w:r>
        <w:t xml:space="preserve"> </w:t>
      </w:r>
      <m:oMath>
        <m:sSub>
          <m:e>
            <m:r>
              <m:t>n</m:t>
            </m:r>
          </m:e>
          <m:sub>
            <m:r>
              <m:t>k</m:t>
            </m:r>
          </m:sub>
        </m:sSub>
      </m:oMath>
      <w:r>
        <w:t xml:space="preserve"> </w:t>
      </w:r>
      <w:r>
        <w:t xml:space="preserve">es el retraso del modelo. El término</w:t>
      </w:r>
      <w:r>
        <w:t xml:space="preserve"> </w:t>
      </w:r>
      <m:oMath>
        <m:r>
          <m:t>e</m:t>
        </m:r>
        <m:r>
          <m:rPr>
            <m:sty m:val="p"/>
          </m:rPr>
          <m:t>(</m:t>
        </m:r>
        <m:r>
          <m:t>k</m:t>
        </m:r>
        <m:r>
          <m:rPr>
            <m:sty m:val="p"/>
          </m:rPr>
          <m:t>)</m:t>
        </m:r>
      </m:oMath>
      <w:r>
        <w:t xml:space="preserve"> </w:t>
      </w:r>
      <w:r>
        <w:t xml:space="preserve">corresponde al ruido blanco que captura perturbaciones no modeladas, mientras que</w:t>
      </w:r>
      <w:r>
        <w:t xml:space="preserve"> </w:t>
      </w:r>
      <m:oMath>
        <m:sSup>
          <m:e>
            <m:r>
              <m:t>q</m:t>
            </m:r>
          </m:e>
          <m:sup>
            <m:r>
              <m:rPr>
                <m:sty m:val="p"/>
              </m:rPr>
              <m:t>−</m:t>
            </m:r>
            <m:r>
              <m:t>1</m:t>
            </m:r>
          </m:sup>
        </m:sSup>
      </m:oMath>
      <w:r>
        <w:t xml:space="preserve"> </w:t>
      </w:r>
      <w:r>
        <w:t xml:space="preserve">representa el operador de retraso temporal. Los parámetros del modelo se estiman típicamente mediante el método de mínimos cuadrados ordinarios, lo que permite obtener una solución analítica cerrada y computacionalmente eficiente</w:t>
      </w:r>
      <w:r>
        <w:t xml:space="preserve"> </w:t>
      </w:r>
      <w:r>
        <w:t xml:space="preserve">[11]</w:t>
      </w:r>
      <w:r>
        <w:t xml:space="preserve">. Una ventaja particular de los modelos ARX en el contexto del control predictivo es su compatibilidad directa con herramientas de identificación de sistemas empleadas en la industria, lo que facilita su integración en esquemas de control sin necesidad de conversiones adicionales y reduce el riesgo de inconsistencias en la discretización del modelo. El término de ruido en los modelos ARX tiene una interpretación física relevante en el contexto de simulaciones dinámicas de procesos químicos, ya que puede representar perturbaciones no medidas, incertidumbre en los parámetros termodinámicos del simulador o errores asociados a la discretización temporal del modelo.Estudios recientes han aplicado modelos ARX para la identificación y control de columnas de destilación, reportando desempeños adecuados incluso cuando el proceso presenta comportamientos dinámicos ligeramente no lineales. Sin embargo, su desempeño puede verse limitado en presencia de no linealidades significativas o altos niveles de ruido en los datos.Cuando el sistema presenta perturbaciones importantes o dinámicas de error más complejas, resulta conveniente utilizar modelos ARMAX (AutoRegressive Moving Average with eXogenous inputs), los cuales incorporan un término adicional que modela explícitamente la dinámica del error:</w:t>
      </w:r>
    </w:p>
    <w:p>
      <w:pPr>
        <w:pStyle w:val="BodyText"/>
      </w:pPr>
      <m:oMathPara>
        <m:oMathParaPr>
          <m:jc m:val="center"/>
        </m:oMathParaPr>
        <m:oMath>
          <m:r>
            <m:t>C</m:t>
          </m:r>
          <m:r>
            <m:rPr>
              <m:sty m:val="p"/>
            </m:rPr>
            <m:t>(</m:t>
          </m:r>
          <m:r>
            <m:t>q</m:t>
          </m:r>
          <m:r>
            <m:rPr>
              <m:sty m:val="p"/>
            </m:rPr>
            <m:t>)</m:t>
          </m:r>
          <m:r>
            <m:rPr>
              <m:sty m:val="p"/>
            </m:rPr>
            <m:t>=</m:t>
          </m:r>
          <m:r>
            <m:t>1</m:t>
          </m:r>
          <m:r>
            <m:rPr>
              <m:sty m:val="p"/>
            </m:rPr>
            <m:t>+</m:t>
          </m:r>
          <m:sSub>
            <m:e>
              <m:r>
                <m:t>c</m:t>
              </m:r>
            </m:e>
            <m:sub>
              <m:r>
                <m:t>1</m:t>
              </m:r>
            </m:sub>
          </m:sSub>
          <m:sSup>
            <m:e>
              <m:r>
                <m:t>q</m:t>
              </m:r>
            </m:e>
            <m:sup>
              <m:r>
                <m:rPr>
                  <m:sty m:val="p"/>
                </m:rPr>
                <m:t>−</m:t>
              </m:r>
              <m:r>
                <m:t>1</m:t>
              </m:r>
            </m:sup>
          </m:sSup>
          <m:r>
            <m:rPr>
              <m:sty m:val="p"/>
            </m:rPr>
            <m:t>+</m:t>
          </m:r>
          <m:sSub>
            <m:e>
              <m:r>
                <m:t>c</m:t>
              </m:r>
            </m:e>
            <m:sub>
              <m:r>
                <m:t>2</m:t>
              </m:r>
            </m:sub>
          </m:sSub>
          <m:sSup>
            <m:e>
              <m:r>
                <m:t>q</m:t>
              </m:r>
            </m:e>
            <m:sup>
              <m:r>
                <m:rPr>
                  <m:sty m:val="p"/>
                </m:rPr>
                <m:t>−</m:t>
              </m:r>
              <m:r>
                <m:t>2</m:t>
              </m:r>
            </m:sup>
          </m:sSup>
          <m:r>
            <m:rPr>
              <m:sty m:val="p"/>
            </m:rPr>
            <m:t>+</m:t>
          </m:r>
          <m:r>
            <m:rPr>
              <m:sty m:val="p"/>
            </m:rPr>
            <m:t>⋯</m:t>
          </m:r>
          <m:r>
            <m:rPr>
              <m:sty m:val="p"/>
            </m:rPr>
            <m:t>+</m:t>
          </m:r>
          <m:sSub>
            <m:e>
              <m:r>
                <m:t>c</m:t>
              </m:r>
            </m:e>
            <m:sub>
              <m:sSub>
                <m:e>
                  <m:r>
                    <m:t>n</m:t>
                  </m:r>
                </m:e>
                <m:sub>
                  <m:r>
                    <m:t>c</m:t>
                  </m:r>
                </m:sub>
              </m:sSub>
            </m:sub>
          </m:sSub>
          <m:sSup>
            <m:e>
              <m:r>
                <m:t>q</m:t>
              </m:r>
            </m:e>
            <m:sup>
              <m:r>
                <m:rPr>
                  <m:sty m:val="p"/>
                </m:rPr>
                <m:t>−</m:t>
              </m:r>
              <m:sSub>
                <m:e>
                  <m:r>
                    <m:t>n</m:t>
                  </m:r>
                </m:e>
                <m:sub>
                  <m:r>
                    <m:t>c</m:t>
                  </m:r>
                </m:sub>
              </m:sSub>
            </m:sup>
          </m:sSup>
        </m:oMath>
      </m:oMathPara>
    </w:p>
    <w:p>
      <w:pPr>
        <w:pStyle w:val="FirstParagraph"/>
      </w:pPr>
      <w:r>
        <w:t xml:space="preserve">Esta extensión mejora la capacidad predictiva del modelo al capturar correlaciones temporales en el ruido del sistema, lo que resulta especialmente útil en aplicaciones de control predictivo, donde la precisión del modelo influye directamente en el desempeño del controlador. Sin embargo, la inclusión del término de media móvil también incrementa la complejidad del proceso de identificación y puede requerir un mayor volumen de datos para obtener estimaciones confiables de los parámetros del modelo. En general, los modelos ARMAX pueden ofrecer un mejor desempeño en términos de precisión de predicción y robustez frente a perturbaciones, aunque su implementación puede ser más compleja que la de los modelos ARX, lo cual debe considerarse para encontrar un balance entre carga computacional y precision.</w:t>
      </w:r>
    </w:p>
    <w:bookmarkEnd w:id="11"/>
    <w:bookmarkStart w:id="12" w:name="modelos-nlarx"/>
    <w:p>
      <w:pPr>
        <w:pStyle w:val="Heading2"/>
      </w:pPr>
      <w:r>
        <w:t xml:space="preserve">Modelos NLARX</w:t>
      </w:r>
    </w:p>
    <w:p>
      <w:pPr>
        <w:pStyle w:val="FirstParagraph"/>
      </w:pPr>
      <w:r>
        <w:t xml:space="preserve">Los modelos NLARX (NonLinear AutoRegressive with eXogenous inputs) constituyen una extensión de los modelos ARX que permiten capturar dinámicas no lineales mediante la incorporación de funciones no lineales en la relación entre las entradas y las salidas del sistema. Su estructura general consiste en los regresores de los modelos y una función de salida. Comenzando con los regresores, estos pueden ser tanto lineales; logrando representar un modelo ARX con los mismos parametros de polos (</w:t>
      </w:r>
      <m:oMath>
        <m:sSub>
          <m:e>
            <m:r>
              <m:t>n</m:t>
            </m:r>
          </m:e>
          <m:sub>
            <m:r>
              <m:t>a</m:t>
            </m:r>
          </m:sub>
        </m:sSub>
      </m:oMath>
      <w:r>
        <w:t xml:space="preserve">), ceros (</w:t>
      </w:r>
      <m:oMath>
        <m:sSub>
          <m:e>
            <m:r>
              <m:t>n</m:t>
            </m:r>
          </m:e>
          <m:sub>
            <m:r>
              <m:t>b</m:t>
            </m:r>
          </m:sub>
        </m:sSub>
      </m:oMath>
      <w:r>
        <w:t xml:space="preserve">) y retardos (</w:t>
      </w:r>
      <m:oMath>
        <m:sSub>
          <m:e>
            <m:r>
              <m:t>n</m:t>
            </m:r>
          </m:e>
          <m:sub>
            <m:r>
              <m:t>k</m:t>
            </m:r>
          </m:sub>
        </m:sSub>
      </m:oMath>
      <w:r>
        <w:t xml:space="preserve">); o bien, pueden ser polinomiales o de otro tipo, lo que permite capturar algunas no linealidades desde la estructura inicial. La función de salida, por su parte, consiste en una función lineal, una no lineal y un offset que describen la relacion dinamica entre los regresores y la salida del modelo. La función de salida no lineal puede ser de diversos tipos, como redes neuronales, funciones de base radial o polinomios, lo que permite adaptar el modelo a las características específicas del proceso a modelar. Esta flexibilidad hace que los modelos NLARX sean adecuados para representar sistemas con dinámicas no lineales complejas, aunque su identificación puede requerir un mayor volumen de datos y un proceso de ajuste más complejo en comparación con los modelos lineales. Sin embargo, su implementación en esquemas de control predictivo se ve limitada por la necesidad de resolver problemas de optimización no lineales en tiempo real, lo que puede incrementar significativamente la carga computacional y dificultar su aplicación en procesos químicos complejos que requieren respuestas rápidas.</w:t>
      </w:r>
    </w:p>
    <w:bookmarkEnd w:id="12"/>
    <w:bookmarkStart w:id="13" w:name="Xde1460dba1d4c07e1bac3ca916c14cade1c084d"/>
    <w:p>
      <w:pPr>
        <w:pStyle w:val="Heading2"/>
      </w:pPr>
      <w:r>
        <w:t xml:space="preserve">Modelo de primer orden con tiempo muerto (FOPDT)</w:t>
      </w:r>
    </w:p>
    <w:p>
      <w:pPr>
        <w:pStyle w:val="FirstParagraph"/>
      </w:pPr>
      <w:r>
        <w:t xml:space="preserve">Los modelos de primer orden con tiempo muerto (First-Order Plus Dead Time, FOPDT) representan dinámicamente un sistema mediante parámetros identificables, como la ganancia</w:t>
      </w:r>
      <w:r>
        <w:t xml:space="preserve"> </w:t>
      </w:r>
      <m:oMath>
        <m:sSub>
          <m:e>
            <m:r>
              <m:t>K</m:t>
            </m:r>
          </m:e>
          <m:sub>
            <m:r>
              <m:t>p</m:t>
            </m:r>
          </m:sub>
        </m:sSub>
      </m:oMath>
      <w:r>
        <w:t xml:space="preserve">, la constante de tiempo</w:t>
      </w:r>
      <w:r>
        <w:t xml:space="preserve"> </w:t>
      </w:r>
      <m:oMath>
        <m:r>
          <m:t>τ</m:t>
        </m:r>
      </m:oMath>
      <w:r>
        <w:t xml:space="preserve"> </w:t>
      </w:r>
      <w:r>
        <w:t xml:space="preserve">y el tiempo muerto</w:t>
      </w:r>
      <w:r>
        <w:t xml:space="preserve"> </w:t>
      </w:r>
      <m:oMath>
        <m:r>
          <m:t>θ</m:t>
        </m:r>
      </m:oMath>
      <w:r>
        <w:t xml:space="preserve">. Las ganancias proporcionales tienen una interpretación física directa al relacionar las unidades de cambio entre variables. Conjuntamente, la constante de tiempo se interpreta como la velocidad de respuesta del sistema, la cual, a su vez, se complementa con el tiempo muerto, que es el tiempo antes de que el sistema reaccione frente a un cambio. Estos parámetros juntos son una representación comúnmente utilizada en procesos de control por su interpretabilidad y simpleza, subrogando en diferentes casos problemas SISO (Single Input, Single Output)</w:t>
      </w:r>
      <w:r>
        <w:t xml:space="preserve"> </w:t>
      </w:r>
      <w:r>
        <w:t xml:space="preserve">[12]</w:t>
      </w:r>
      <w:r>
        <w:t xml:space="preserve">. La fórmula general del modelo es la siguiente:</w:t>
      </w:r>
    </w:p>
    <w:p>
      <w:pPr>
        <w:pStyle w:val="BodyText"/>
      </w:pPr>
      <m:oMathPara>
        <m:oMathParaPr>
          <m:jc m:val="center"/>
        </m:oMathParaPr>
        <m:oMath>
          <m:r>
            <m:t>y</m:t>
          </m:r>
          <m:r>
            <m:rPr>
              <m:sty m:val="p"/>
            </m:rPr>
            <m:t>(</m:t>
          </m:r>
          <m:r>
            <m:t>s</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K</m:t>
                          </m:r>
                        </m:e>
                        <m:sub>
                          <m:r>
                            <m:t>p</m:t>
                          </m:r>
                          <m:r>
                            <m:rPr>
                              <m:sty m:val="p"/>
                            </m:rPr>
                            <m:t>,</m:t>
                          </m:r>
                          <m:r>
                            <m:t>i</m:t>
                          </m:r>
                        </m:sub>
                      </m:sSub>
                    </m:num>
                    <m:den>
                      <m:r>
                        <m:t>1</m:t>
                      </m:r>
                      <m:r>
                        <m:rPr>
                          <m:sty m:val="p"/>
                        </m:rPr>
                        <m:t>+</m:t>
                      </m:r>
                      <m:sSub>
                        <m:e>
                          <m:r>
                            <m:t>τ</m:t>
                          </m:r>
                        </m:e>
                        <m:sub>
                          <m:r>
                            <m:t>i</m:t>
                          </m:r>
                        </m:sub>
                      </m:sSub>
                      <m:r>
                        <m:t>s</m:t>
                      </m:r>
                    </m:den>
                  </m:f>
                  <m:sSup>
                    <m:e>
                      <m:r>
                        <m:t>e</m:t>
                      </m:r>
                    </m:e>
                    <m:sup>
                      <m:r>
                        <m:rPr>
                          <m:sty m:val="p"/>
                        </m:rPr>
                        <m:t>−</m:t>
                      </m:r>
                      <m:sSub>
                        <m:e>
                          <m:r>
                            <m:t>θ</m:t>
                          </m:r>
                        </m:e>
                        <m:sub>
                          <m:r>
                            <m:t>i</m:t>
                          </m:r>
                        </m:sub>
                      </m:sSub>
                      <m:r>
                        <m:t>s</m:t>
                      </m:r>
                    </m:sup>
                  </m:sSup>
                </m:e>
              </m:d>
            </m:e>
          </m:nary>
          <m:sSub>
            <m:e>
              <m:r>
                <m:t>u</m:t>
              </m:r>
            </m:e>
            <m:sub>
              <m:r>
                <m:t>i</m:t>
              </m:r>
            </m:sub>
          </m:sSub>
          <m:r>
            <m:rPr>
              <m:sty m:val="p"/>
            </m:rPr>
            <m:t>(</m:t>
          </m:r>
          <m:r>
            <m:t>s</m:t>
          </m:r>
          <m:r>
            <m:rPr>
              <m:sty m:val="p"/>
            </m:rPr>
            <m:t>)</m:t>
          </m:r>
        </m:oMath>
      </m:oMathPara>
    </w:p>
    <w:p>
      <w:pPr>
        <w:pStyle w:val="FirstParagraph"/>
      </w:pPr>
      <w:r>
        <w:t xml:space="preserve">Para el caso de estudio proporcionado por Quintero y Botía et al. </w:t>
      </w:r>
      <w:r>
        <w:t xml:space="preserve">[10]</w:t>
      </w:r>
      <w:r>
        <w:t xml:space="preserve">, que plantea un problema de control MISO (Multiple Inputs, Single Output), es importante notar que los parámetros del modelo se representan como una matriz de valores, uno para cada variable manipulada</w:t>
      </w:r>
      <w:r>
        <w:t xml:space="preserve"> </w:t>
      </w:r>
      <m:oMath>
        <m:sSub>
          <m:e>
            <m:r>
              <m:t>u</m:t>
            </m:r>
          </m:e>
          <m:sub>
            <m:r>
              <m:t>i</m:t>
            </m:r>
          </m:sub>
        </m:sSub>
      </m:oMath>
      <w:r>
        <w:t xml:space="preserve"> </w:t>
      </w:r>
      <w:r>
        <w:t xml:space="preserve">[13]</w:t>
      </w:r>
      <w:r>
        <w:t xml:space="preserve">. Se han realizado diversos trabajos con modelos FOPDT en el contexto de control predictivo, tanto en procesos de producción de hidrógeno como en sistemas de destilación. Adjisetya y Wahid et al. </w:t>
      </w:r>
      <w:r>
        <w:t xml:space="preserve">[14]</w:t>
      </w:r>
      <w:r>
        <w:t xml:space="preserve"> </w:t>
      </w:r>
      <w:r>
        <w:t xml:space="preserve">compararon estrategias de control predictivo basadas en modelos FOPDT formulados desde enfoques SISO y MIMO (Multiple Inputs, Multiple Outputs), desarrollando controladores MPC para cuatro compresores en un proceso de generación de biogás a partir de biomasa. Al comparar los resultados experimentales, los autores reportan un mejor desempeño en los modelos MIMO más robustos; sin embargo, también señalan que en algunos casos la mejora no es significativa, e incluso que modelos con menor número de variables pueden presentar mejores respuestas. En un caso más cercano al presente estudio, Setiawan y Alifah et al. </w:t>
      </w:r>
      <w:r>
        <w:t xml:space="preserve">[15]</w:t>
      </w:r>
      <w:r>
        <w:t xml:space="preserve"> </w:t>
      </w:r>
      <w:r>
        <w:t xml:space="preserve">realizaron una comparación entre un MPC no lineal basado en redes neuronales y un MPC lineal basado en modelos FOPDT, aplicado a un proceso de destilación criogénica de gas natural licuado. Los autores identificaron dificultades en el modelo no lineal debido a discrepancias entre los valores de planta y del modelo. Solo tras modificar la función de costo del MPC, el modelo basado en redes neuronales superó el desempeño del modelo FOPDT.Estos resultados sugieren que, aunque los modelos FOPDT pueden ser adecuados para representar sistemas con comportamiento predominantemente lineal o con dinámicas moderadamente complejas, su desempeño puede verse limitado en presencia de no linealidades significativas o fuertes interacciones entre variables. Por lo tanto, es fundamental evaluar cuidadosamente la aplicabilidad de estos modelos en función de las características dinámicas del proceso y de los requerimientos específicos del esquema de control predictivo a implementar.</w:t>
      </w:r>
    </w:p>
    <w:bookmarkEnd w:id="13"/>
    <w:bookmarkStart w:id="14" w:name="X269ece455ca31b032a675e20127c5b5965ad697"/>
    <w:p>
      <w:pPr>
        <w:pStyle w:val="Heading2"/>
      </w:pPr>
      <w:r>
        <w:t xml:space="preserve">Modelo de función de transferencia identificable</w:t>
      </w:r>
    </w:p>
    <w:p>
      <w:pPr>
        <w:pStyle w:val="FirstParagraph"/>
      </w:pPr>
      <w:r>
        <w:t xml:space="preserve">Una representación del control mediante funciones de transferencia es una opción clásica en el desarrollo de lazos de control. Estas pueden derivarse de un análisis riguroso del sistema o bien identificarse a partir de datos, lo que reduce la complejidad del modelado. Los modelos de función de transferencia poseen parámetros identificables en el denominador,</w:t>
      </w:r>
      <w:r>
        <w:t xml:space="preserve"> </w:t>
      </w:r>
      <m:oMath>
        <m:sSub>
          <m:e>
            <m:r>
              <m:t>a</m:t>
            </m:r>
          </m:e>
          <m:sub>
            <m:r>
              <m:t>p</m:t>
            </m:r>
          </m:sub>
        </m:sSub>
      </m:oMath>
      <w:r>
        <w:t xml:space="preserve">, y en el numerador,</w:t>
      </w:r>
      <w:r>
        <w:t xml:space="preserve"> </w:t>
      </w:r>
      <m:oMath>
        <m:sSub>
          <m:e>
            <m:r>
              <m:t>b</m:t>
            </m:r>
          </m:e>
          <m:sub>
            <m:r>
              <m:t>z</m:t>
            </m:r>
          </m:sub>
        </m:sSub>
      </m:oMath>
      <w:r>
        <w:t xml:space="preserve">, además de un posible retraso temporal</w:t>
      </w:r>
      <w:r>
        <w:t xml:space="preserve"> </w:t>
      </w:r>
      <m:oMath>
        <m:r>
          <m:t>τ</m:t>
        </m:r>
      </m:oMath>
      <w:r>
        <w:t xml:space="preserve">. Este tipo de modelo es similar a los modelos FOPDT, con la diferencia de que sus parámetros no tienen un significado físico directo. La estructura general del modelo para un problema MISO se presenta a continuación </w:t>
      </w:r>
      <w:r>
        <w:t xml:space="preserve">[16]</w:t>
      </w:r>
      <w:r>
        <w:t xml:space="preserve">.</w:t>
      </w:r>
    </w:p>
    <w:p>
      <w:pPr>
        <w:pStyle w:val="BodyText"/>
      </w:pPr>
      <m:oMathPara>
        <m:oMathParaPr>
          <m:jc m:val="center"/>
        </m:oMathParaPr>
        <m:oMath>
          <m:r>
            <m:t>y</m:t>
          </m:r>
          <m:r>
            <m:rPr>
              <m:sty m:val="p"/>
            </m:rPr>
            <m:t>(</m:t>
          </m:r>
          <m:r>
            <m:t>s</m:t>
          </m:r>
          <m:r>
            <m:rPr>
              <m:sty m:val="p"/>
            </m:rPr>
            <m:t>)</m:t>
          </m:r>
          <m:r>
            <m:rPr>
              <m:sty m:val="p"/>
            </m:rPr>
            <m:t>=</m:t>
          </m:r>
          <m:nary>
            <m:naryPr>
              <m:chr m:val="∑"/>
              <m:limLoc m:val="undOvr"/>
              <m:subHide m:val="off"/>
              <m:supHide m:val="off"/>
            </m:naryPr>
            <m:sub>
              <m:r>
                <m:t>i</m:t>
              </m:r>
              <m:r>
                <m:rPr>
                  <m:sty m:val="p"/>
                </m:rPr>
                <m:t>=</m:t>
              </m:r>
              <m:r>
                <m:t>1</m:t>
              </m:r>
            </m:sub>
            <m:sup>
              <m:r>
                <m:t>n</m:t>
              </m:r>
            </m:sup>
            <m:e>
              <m:sSup>
                <m:e>
                  <m:r>
                    <m:t>e</m:t>
                  </m:r>
                </m:e>
                <m:sup>
                  <m:r>
                    <m:rPr>
                      <m:sty m:val="p"/>
                    </m:rPr>
                    <m:t>−</m:t>
                  </m:r>
                  <m:r>
                    <m:t>τ</m:t>
                  </m:r>
                  <m:r>
                    <m:t>s</m:t>
                  </m:r>
                </m:sup>
              </m:sSup>
            </m:e>
          </m:nary>
          <m:f>
            <m:fPr>
              <m:type m:val="bar"/>
            </m:fPr>
            <m:num>
              <m:sSub>
                <m:e>
                  <m:r>
                    <m:t>b</m:t>
                  </m:r>
                </m:e>
                <m:sub>
                  <m:r>
                    <m:t>z</m:t>
                  </m:r>
                </m:sub>
              </m:sSub>
              <m:sSup>
                <m:e>
                  <m:r>
                    <m:t>s</m:t>
                  </m:r>
                </m:e>
                <m:sup>
                  <m:r>
                    <m:t>z</m:t>
                  </m:r>
                </m:sup>
              </m:sSup>
              <m:r>
                <m:rPr>
                  <m:sty m:val="p"/>
                </m:rPr>
                <m:t>+</m:t>
              </m:r>
              <m:sSub>
                <m:e>
                  <m:r>
                    <m:t>b</m:t>
                  </m:r>
                </m:e>
                <m:sub>
                  <m:r>
                    <m:t>z</m:t>
                  </m:r>
                  <m:r>
                    <m:rPr>
                      <m:sty m:val="p"/>
                    </m:rPr>
                    <m:t>−</m:t>
                  </m:r>
                  <m:r>
                    <m:t>1</m:t>
                  </m:r>
                </m:sub>
              </m:sSub>
              <m:sSup>
                <m:e>
                  <m:r>
                    <m:t>s</m:t>
                  </m:r>
                </m:e>
                <m:sup>
                  <m:r>
                    <m:t>z</m:t>
                  </m:r>
                  <m:r>
                    <m:rPr>
                      <m:sty m:val="p"/>
                    </m:rPr>
                    <m:t>−</m:t>
                  </m:r>
                  <m:r>
                    <m:t>1</m:t>
                  </m:r>
                </m:sup>
              </m:sSup>
              <m:r>
                <m:rPr>
                  <m:sty m:val="p"/>
                </m:rPr>
                <m:t>+</m:t>
              </m:r>
              <m:r>
                <m:rPr>
                  <m:sty m:val="p"/>
                </m:rPr>
                <m:t>⋯</m:t>
              </m:r>
              <m:r>
                <m:rPr>
                  <m:sty m:val="p"/>
                </m:rPr>
                <m:t>+</m:t>
              </m:r>
              <m:sSub>
                <m:e>
                  <m:r>
                    <m:t>b</m:t>
                  </m:r>
                </m:e>
                <m:sub>
                  <m:r>
                    <m:t>0</m:t>
                  </m:r>
                </m:sub>
              </m:sSub>
            </m:num>
            <m:den>
              <m:sSub>
                <m:e>
                  <m:r>
                    <m:t>a</m:t>
                  </m:r>
                </m:e>
                <m:sub>
                  <m:r>
                    <m:t>p</m:t>
                  </m:r>
                </m:sub>
              </m:sSub>
              <m:sSup>
                <m:e>
                  <m:r>
                    <m:t>s</m:t>
                  </m:r>
                </m:e>
                <m:sup>
                  <m:r>
                    <m:t>p</m:t>
                  </m:r>
                </m:sup>
              </m:sSup>
              <m:r>
                <m:rPr>
                  <m:sty m:val="p"/>
                </m:rPr>
                <m:t>+</m:t>
              </m:r>
              <m:sSub>
                <m:e>
                  <m:r>
                    <m:t>a</m:t>
                  </m:r>
                </m:e>
                <m:sub>
                  <m:r>
                    <m:t>p</m:t>
                  </m:r>
                  <m:r>
                    <m:rPr>
                      <m:sty m:val="p"/>
                    </m:rPr>
                    <m:t>−</m:t>
                  </m:r>
                  <m:r>
                    <m:t>1</m:t>
                  </m:r>
                </m:sub>
              </m:sSub>
              <m:sSup>
                <m:e>
                  <m:r>
                    <m:t>s</m:t>
                  </m:r>
                </m:e>
                <m:sup>
                  <m:r>
                    <m:t>p</m:t>
                  </m:r>
                  <m:r>
                    <m:rPr>
                      <m:sty m:val="p"/>
                    </m:rPr>
                    <m:t>−</m:t>
                  </m:r>
                  <m:r>
                    <m:t>1</m:t>
                  </m:r>
                </m:sup>
              </m:sSup>
              <m:r>
                <m:rPr>
                  <m:sty m:val="p"/>
                </m:rPr>
                <m:t>+</m:t>
              </m:r>
              <m:r>
                <m:rPr>
                  <m:sty m:val="p"/>
                </m:rPr>
                <m:t>⋯</m:t>
              </m:r>
              <m:r>
                <m:rPr>
                  <m:sty m:val="p"/>
                </m:rPr>
                <m:t>+</m:t>
              </m:r>
              <m:sSub>
                <m:e>
                  <m:r>
                    <m:t>a</m:t>
                  </m:r>
                </m:e>
                <m:sub>
                  <m:r>
                    <m:t>0</m:t>
                  </m:r>
                </m:sub>
              </m:sSub>
            </m:den>
          </m:f>
          <m:sSub>
            <m:e>
              <m:r>
                <m:t>u</m:t>
              </m:r>
            </m:e>
            <m:sub>
              <m:r>
                <m:t>i</m:t>
              </m:r>
            </m:sub>
          </m:sSub>
          <m:r>
            <m:rPr>
              <m:sty m:val="p"/>
            </m:rPr>
            <m:t>(</m:t>
          </m:r>
          <m:r>
            <m:t>s</m:t>
          </m:r>
          <m:r>
            <m:rPr>
              <m:sty m:val="p"/>
            </m:rPr>
            <m:t>)</m:t>
          </m:r>
        </m:oMath>
      </m:oMathPara>
    </w:p>
    <w:p>
      <w:pPr>
        <w:pStyle w:val="FirstParagraph"/>
      </w:pPr>
      <w:r>
        <w:t xml:space="preserve">En esta,</w:t>
      </w:r>
      <w:r>
        <w:t xml:space="preserve"> </w:t>
      </w:r>
      <m:oMath>
        <m:r>
          <m:t>n</m:t>
        </m:r>
      </m:oMath>
      <w:r>
        <w:t xml:space="preserve"> </w:t>
      </w:r>
      <w:r>
        <w:t xml:space="preserve">representa el número de variables de entrada,</w:t>
      </w:r>
      <w:r>
        <w:t xml:space="preserve"> </w:t>
      </w:r>
      <m:oMath>
        <m:r>
          <m:t>p</m:t>
        </m:r>
      </m:oMath>
      <w:r>
        <w:t xml:space="preserve"> </w:t>
      </w:r>
      <w:r>
        <w:t xml:space="preserve">el número de polos y</w:t>
      </w:r>
      <w:r>
        <w:t xml:space="preserve"> </w:t>
      </w:r>
      <m:oMath>
        <m:r>
          <m:t>z</m:t>
        </m:r>
      </m:oMath>
      <w:r>
        <w:t xml:space="preserve"> </w:t>
      </w:r>
      <w:r>
        <w:t xml:space="preserve">el número de ceros, siendo estos los parámetros estructurales que definen el modelo final en tiempo continuo</w:t>
      </w:r>
      <w:r>
        <w:t xml:space="preserve"> </w:t>
      </w:r>
      <m:oMath>
        <m:r>
          <m:t>s</m:t>
        </m:r>
      </m:oMath>
      <w:r>
        <w:t xml:space="preserve">. De esta forma, se logra relacionar la variable controlada</w:t>
      </w:r>
      <w:r>
        <w:t xml:space="preserve"> </w:t>
      </w:r>
      <m:oMath>
        <m:r>
          <m:t>y</m:t>
        </m:r>
      </m:oMath>
      <w:r>
        <w:t xml:space="preserve"> </w:t>
      </w:r>
      <w:r>
        <w:t xml:space="preserve">con las variables manipuladas</w:t>
      </w:r>
      <w:r>
        <w:t xml:space="preserve"> </w:t>
      </w:r>
      <m:oMath>
        <m:r>
          <m:t>u</m:t>
        </m:r>
      </m:oMath>
      <w:r>
        <w:t xml:space="preserve"> </w:t>
      </w:r>
      <w:r>
        <w:t xml:space="preserve">y modelar la dinámica del sistema. Este enfoque lineal ha sido utilizado en diversos estudios de control predictivo, tanto en generadores eléctricos como en procesos químicos complejos. Al-Khamis y Gumis et al. </w:t>
      </w:r>
      <w:r>
        <w:t xml:space="preserve">[17]</w:t>
      </w:r>
      <w:r>
        <w:t xml:space="preserve"> </w:t>
      </w:r>
      <w:r>
        <w:t xml:space="preserve">presentan un estudio comparativo entre un modelo en espacio de estados y un modelo basado en funciones de transferencia para el control predictivo de un generador de inducción. Sus resultados indican que el modelo de función de transferencia reduce el esfuerzo matemático, alcanza el estado estacionario más rápidamente y, en general, presenta un mejor desempeño que el modelo en el espacio de estados. Por otro lado, Zhou y Zhu et al. </w:t>
      </w:r>
      <w:r>
        <w:t xml:space="preserve">[18]</w:t>
      </w:r>
      <w:r>
        <w:t xml:space="preserve"> </w:t>
      </w:r>
      <w:r>
        <w:t xml:space="preserve">proponen un método de aislamiento de fallos en procesos químicos complejos, como el</w:t>
      </w:r>
      <w:r>
        <w:t xml:space="preserve"> </w:t>
      </w:r>
      <w:r>
        <w:rPr>
          <w:i/>
          <w:iCs/>
        </w:rPr>
        <w:t xml:space="preserve">Tennessee Eastman Process</w:t>
      </w:r>
      <w:r>
        <w:t xml:space="preserve">. Los resultados obtenidos son prometedores, ya que permiten implementar un algoritmo MPC basado en un modelo identificado mediante funciones de transferencia. Sin embargo, no se encontraron estudios que utilicen este tipo de modelo con el objetivo específico de rechazar perturbaciones.</w:t>
      </w:r>
    </w:p>
    <w:bookmarkEnd w:id="14"/>
    <w:bookmarkStart w:id="15" w:name="representación-en-espacio-de-estados"/>
    <w:p>
      <w:pPr>
        <w:pStyle w:val="Heading2"/>
      </w:pPr>
      <w:r>
        <w:t xml:space="preserve">Representación en espacio de estados</w:t>
      </w:r>
    </w:p>
    <w:p>
      <w:pPr>
        <w:pStyle w:val="FirstParagraph"/>
      </w:pPr>
      <w:r>
        <w:t xml:space="preserve">La representación en espacio de estados describe la dinámica de un sistema mediante un conjunto de ecuaciones diferenciales de primer orden que capturan su evolución temporal a través de variables internas denominadas estados. Esta formulación es particularmente adecuada para sistemas multivariables y para el diseño de estrategias de control avanzadas.</w:t>
      </w:r>
    </w:p>
    <w:p>
      <w:pPr>
        <w:pStyle w:val="BodyText"/>
      </w:pPr>
      <m:oMathPara>
        <m:oMathParaPr>
          <m:jc m:val="center"/>
        </m:oMathParaPr>
        <m:oMath>
          <m:acc>
            <m:accPr>
              <m:chr m:val="̇"/>
            </m:accPr>
            <m:e>
              <m:r>
                <m:t>x</m:t>
              </m:r>
            </m:e>
          </m:acc>
          <m:r>
            <m:rPr>
              <m:sty m:val="p"/>
            </m:rPr>
            <m:t>(</m:t>
          </m:r>
          <m:r>
            <m:t>t</m:t>
          </m:r>
          <m:r>
            <m:rPr>
              <m:sty m:val="p"/>
            </m:rPr>
            <m:t>)</m:t>
          </m:r>
          <m:r>
            <m:rPr>
              <m:sty m:val="p"/>
            </m:rPr>
            <m:t>=</m:t>
          </m:r>
          <m:r>
            <m:t>A</m:t>
          </m:r>
          <m:r>
            <m:t>x</m:t>
          </m:r>
          <m:r>
            <m:rPr>
              <m:sty m:val="p"/>
            </m:rPr>
            <m:t>(</m:t>
          </m:r>
          <m:r>
            <m:t>t</m:t>
          </m:r>
          <m:r>
            <m:rPr>
              <m:sty m:val="p"/>
            </m:rPr>
            <m:t>)</m:t>
          </m:r>
          <m:r>
            <m:rPr>
              <m:sty m:val="p"/>
            </m:rPr>
            <m:t>+</m:t>
          </m:r>
          <m:r>
            <m:t>B</m:t>
          </m:r>
          <m:r>
            <m:t>u</m:t>
          </m:r>
          <m:r>
            <m:rPr>
              <m:sty m:val="p"/>
            </m:rPr>
            <m:t>(</m:t>
          </m:r>
          <m:r>
            <m:t>t</m:t>
          </m:r>
          <m:r>
            <m:rPr>
              <m:sty m:val="p"/>
            </m:rPr>
            <m:t>)</m:t>
          </m:r>
        </m:oMath>
      </m:oMathPara>
    </w:p>
    <w:p>
      <w:pPr>
        <w:pStyle w:val="FirstParagraph"/>
      </w:pPr>
      <m:oMathPara>
        <m:oMathParaPr>
          <m:jc m:val="center"/>
        </m:oMathParaPr>
        <m:oMath>
          <m:r>
            <m:t>y</m:t>
          </m:r>
          <m:r>
            <m:rPr>
              <m:sty m:val="p"/>
            </m:rPr>
            <m:t>(</m:t>
          </m:r>
          <m:r>
            <m:t>t</m:t>
          </m:r>
          <m:r>
            <m:rPr>
              <m:sty m:val="p"/>
            </m:rPr>
            <m:t>)</m:t>
          </m:r>
          <m:r>
            <m:rPr>
              <m:sty m:val="p"/>
            </m:rPr>
            <m:t>=</m:t>
          </m:r>
          <m:r>
            <m:t>C</m:t>
          </m:r>
          <m:r>
            <m:t>x</m:t>
          </m:r>
          <m:r>
            <m:rPr>
              <m:sty m:val="p"/>
            </m:rPr>
            <m:t>(</m:t>
          </m:r>
          <m:r>
            <m:t>t</m:t>
          </m:r>
          <m:r>
            <m:rPr>
              <m:sty m:val="p"/>
            </m:rPr>
            <m:t>)</m:t>
          </m:r>
        </m:oMath>
      </m:oMathPara>
    </w:p>
    <w:p>
      <w:pPr>
        <w:pStyle w:val="FirstParagraph"/>
      </w:pPr>
      <w:r>
        <w:t xml:space="preserve">donde</w:t>
      </w:r>
      <w:r>
        <w:t xml:space="preserve"> </w:t>
      </w:r>
      <m:oMath>
        <m:r>
          <m:t>x</m:t>
        </m:r>
        <m:r>
          <m:rPr>
            <m:sty m:val="p"/>
          </m:rPr>
          <m:t>(</m:t>
        </m:r>
        <m:r>
          <m:t>t</m:t>
        </m:r>
        <m:r>
          <m:rPr>
            <m:sty m:val="p"/>
          </m:rPr>
          <m:t>)</m:t>
        </m:r>
      </m:oMath>
      <w:r>
        <w:t xml:space="preserve"> </w:t>
      </w:r>
      <w:r>
        <w:t xml:space="preserve">representa el vector de variables de estado,</w:t>
      </w:r>
      <w:r>
        <w:t xml:space="preserve"> </w:t>
      </w:r>
      <m:oMath>
        <m:r>
          <m:t>u</m:t>
        </m:r>
        <m:r>
          <m:rPr>
            <m:sty m:val="p"/>
          </m:rPr>
          <m:t>(</m:t>
        </m:r>
        <m:r>
          <m:t>t</m:t>
        </m:r>
        <m:r>
          <m:rPr>
            <m:sty m:val="p"/>
          </m:rPr>
          <m:t>)</m:t>
        </m:r>
      </m:oMath>
      <w:r>
        <w:t xml:space="preserve"> </w:t>
      </w:r>
      <w:r>
        <w:t xml:space="preserve">corresponde al vector de entradas manipuladas,</w:t>
      </w:r>
      <w:r>
        <w:t xml:space="preserve"> </w:t>
      </w:r>
      <m:oMath>
        <m:r>
          <m:t>y</m:t>
        </m:r>
        <m:r>
          <m:rPr>
            <m:sty m:val="p"/>
          </m:rPr>
          <m:t>(</m:t>
        </m:r>
        <m:r>
          <m:t>t</m:t>
        </m:r>
        <m:r>
          <m:rPr>
            <m:sty m:val="p"/>
          </m:rPr>
          <m:t>)</m:t>
        </m:r>
      </m:oMath>
      <w:r>
        <w:t xml:space="preserve"> </w:t>
      </w:r>
      <w:r>
        <w:t xml:space="preserve">representa el vector de salidas del sistema y</w:t>
      </w:r>
      <w:r>
        <w:t xml:space="preserve"> </w:t>
      </w:r>
      <m:oMath>
        <m:r>
          <m:t>A</m:t>
        </m:r>
      </m:oMath>
      <w:r>
        <w:t xml:space="preserve">,</w:t>
      </w:r>
      <w:r>
        <w:t xml:space="preserve"> </w:t>
      </w:r>
      <m:oMath>
        <m:r>
          <m:t>B</m:t>
        </m:r>
      </m:oMath>
      <w:r>
        <w:t xml:space="preserve"> </w:t>
      </w:r>
      <w:r>
        <w:t xml:space="preserve">y</w:t>
      </w:r>
      <w:r>
        <w:t xml:space="preserve"> </w:t>
      </w:r>
      <m:oMath>
        <m:r>
          <m:t>C</m:t>
        </m:r>
      </m:oMath>
      <w:r>
        <w:t xml:space="preserve"> </w:t>
      </w:r>
      <w:r>
        <w:t xml:space="preserve">son las matrices que describen la dinámica del proceso. La representación en el espacio de estados resulta especialmente útil en el diseño de controladores predictivos por su capacidad para manejar sistemas multivariables y restricciones operativas. No obstante, el incremento de la dimensión del vector de estados puede aumentar la complejidad computacional del problema de optimización, lo que motiva la búsqueda de modelos subrogados más simples para su implementación en tiempo real. Diversos estudios han aplicado la representación en el espacio de estados para el diseño de controladores predictivos en procesos químicos complejos, y han reportado que esta formulación puede mejorar el desempeño del controlador al capturar dinámicas multivariables y no lineales con mayor precisión. Sin embargo, esta representación puede implicar una mayor demanda computacional.</w:t>
      </w:r>
    </w:p>
    <w:bookmarkEnd w:id="15"/>
    <w:bookmarkStart w:id="16" w:name="modelo-hammerstein-wiener"/>
    <w:p>
      <w:pPr>
        <w:pStyle w:val="Heading2"/>
      </w:pPr>
      <w:r>
        <w:t xml:space="preserve">Modelo Hammerstein-Wiener</w:t>
      </w:r>
    </w:p>
    <w:p>
      <w:pPr>
        <w:pStyle w:val="FirstParagraph"/>
      </w:pPr>
      <w:r>
        <w:t xml:space="preserve">Los modelos Hammerstein-Wiener constituyen una estructura ampliamente utilizada para la identificación de sistemas no lineales. En este enfoque, la dinámica del proceso se describe mediante un bloque lineal combinado con funciones no lineales estáticas aplicadas a la entrada y/o a la salida del sistema. Esta arquitectura permite representar comportamientos no lineales al combinar un modelo dinámico lineal con transformaciones estáticas capaces de capturar fenómenos como saturaciones, zonas muertas o ganancias dependientes del estado. Debido a esta estructura híbrida, los modelos Hammerstein-Wiener resultan adecuados para procesos químicos en los que las relaciones entre variables presentan no linealidades moderadas. A pesar de su capacidad para representar no linealidades, la identificación y validación de estos modelos pueden requerir un mayor volumen de datos y un proceso de ajuste más complejo, lo que puede limitar su aplicación en entornos que requieren implementación en tiempo real o integración directa con algoritmos de control predictivo.</w:t>
      </w:r>
    </w:p>
    <w:bookmarkEnd w:id="16"/>
    <w:bookmarkStart w:id="18" w:name="X66889dbfe916bc1884141fde2ccecf08a6dedce"/>
    <w:p>
      <w:pPr>
        <w:pStyle w:val="Heading2"/>
      </w:pPr>
      <w:r>
        <w:t xml:space="preserve">Resumen de las estrategias de subrogación</w:t>
      </w:r>
    </w:p>
    <w:p>
      <w:pPr>
        <w:pStyle w:val="FirstParagraph"/>
      </w:pPr>
      <w:r>
        <w:t xml:space="preserve">La elección de la técnica de subrogación debe basarse en las características dinámicas del proceso, el nivel de no linealidad del sistema y los requisitos computacionales del esquema de control. Los modelos ARX y ARMAX representan alternativas eficientes para sistemas con dinámicas predominantemente lineales o ligeramente no lineales, mientras que los modelos FOPDT y las funciones de transferencia proporcionan estructuras simples y de fácil interpretación, lo que facilita su implementación en aplicaciones industriales. Por su parte, la representación en espacio de estados permite describir sistemas multivariables complejos y constituye la base de muchas formulaciones de control predictivo. Sin embargo, esta formulación puede implicar un mayor costo computacional debido al aumento del número de variables del sistema. En este contexto, el presente trabajo evalúa diferentes estrategias de modelado dinámico con el objetivo de determinar sus diferencias y su desempeño en un problema de control predictivo aplicado a una columna de destilación extractiva bajo condiciones de perturbación. El análisis se centra en la comparación de modelos ARX, ARMAX, FOPDT, función de transferencia y espacio de estados, considerando tanto criterios computacionales como indicadores de desempeño dinámico para determinar la estrategia de modelado más adecuada para su integración en un esquema de control predictivo en tiempo real.</w:t>
      </w:r>
    </w:p>
    <w:bookmarkStart w:id="17" w:name="tab:comparacion_modelos"/>
    <w:p>
      <w:pPr>
        <w:pStyle w:val="TableCaption"/>
      </w:pPr>
      <w:r>
        <w:t xml:space="preserve">Comparación de estrategias de subrogación para control de procesos</w:t>
      </w:r>
    </w:p>
    <w:tbl>
      <w:tblPr>
        <w:tblStyle w:val="Table"/>
        <w:tblW w:type="auto" w:w="0"/>
        <w:tblLook w:firstRow="1" w:lastRow="0" w:firstColumn="0" w:lastColumn="0" w:noHBand="0" w:noVBand="0" w:val="0020"/>
        <w:tblCaption w:val="Comparación de estrategias de subrogación para control de procesos"/>
      </w:tblPr>
      <w:tblGrid>
        <w:gridCol w:w="1320"/>
        <w:gridCol w:w="1320"/>
        <w:gridCol w:w="1320"/>
        <w:gridCol w:w="1320"/>
        <w:gridCol w:w="1320"/>
        <w:gridCol w:w="1320"/>
      </w:tblGrid>
      <w:tr>
        <w:trPr>
          <w:tblHeader w:val="on"/>
        </w:trPr>
        <w:tc>
          <w:tcPr/>
          <w:p>
            <w:pPr>
              <w:pStyle w:val="Compact"/>
              <w:jc w:val="left"/>
            </w:pPr>
            <w:r>
              <w:rPr>
                <w:b/>
                <w:bCs/>
              </w:rPr>
              <w:t xml:space="preserve">Modelo</w:t>
            </w:r>
          </w:p>
        </w:tc>
        <w:tc>
          <w:tcPr/>
          <w:p>
            <w:pPr>
              <w:pStyle w:val="Compact"/>
              <w:jc w:val="left"/>
            </w:pPr>
            <w:r>
              <w:rPr>
                <w:b/>
                <w:bCs/>
              </w:rPr>
              <w:t xml:space="preserve">Tipo</w:t>
            </w:r>
          </w:p>
        </w:tc>
        <w:tc>
          <w:tcPr/>
          <w:p>
            <w:pPr>
              <w:pStyle w:val="Compact"/>
              <w:jc w:val="left"/>
            </w:pPr>
            <w:r>
              <w:rPr>
                <w:b/>
                <w:bCs/>
              </w:rPr>
              <w:t xml:space="preserve">Capacidad para no linealidades</w:t>
            </w:r>
          </w:p>
        </w:tc>
        <w:tc>
          <w:tcPr/>
          <w:p>
            <w:pPr>
              <w:pStyle w:val="Compact"/>
              <w:jc w:val="left"/>
            </w:pPr>
            <w:r>
              <w:rPr>
                <w:b/>
                <w:bCs/>
              </w:rPr>
              <w:t xml:space="preserve">Complejidad computacional</w:t>
            </w:r>
          </w:p>
        </w:tc>
        <w:tc>
          <w:tcPr/>
          <w:p>
            <w:pPr>
              <w:pStyle w:val="Compact"/>
              <w:jc w:val="left"/>
            </w:pPr>
            <w:r>
              <w:rPr>
                <w:b/>
                <w:bCs/>
              </w:rPr>
              <w:t xml:space="preserve">Integración con MPC</w:t>
            </w:r>
          </w:p>
        </w:tc>
        <w:tc>
          <w:tcPr/>
          <w:p>
            <w:pPr>
              <w:pStyle w:val="Compact"/>
              <w:jc w:val="left"/>
            </w:pPr>
            <w:r>
              <w:rPr>
                <w:b/>
                <w:bCs/>
              </w:rPr>
              <w:t xml:space="preserve">Aplicaciones típicas</w:t>
            </w:r>
          </w:p>
        </w:tc>
      </w:tr>
      <w:tr>
        <w:tc>
          <w:tcPr/>
          <w:p>
            <w:pPr>
              <w:pStyle w:val="Compact"/>
              <w:jc w:val="left"/>
            </w:pPr>
            <w:r>
              <w:t xml:space="preserve">Espacio de estados</w:t>
            </w:r>
          </w:p>
        </w:tc>
        <w:tc>
          <w:tcPr/>
          <w:p>
            <w:pPr>
              <w:pStyle w:val="Compact"/>
              <w:jc w:val="left"/>
            </w:pPr>
            <w:r>
              <w:t xml:space="preserve">Lineal dinámico</w:t>
            </w:r>
          </w:p>
        </w:tc>
        <w:tc>
          <w:tcPr/>
          <w:p>
            <w:pPr>
              <w:pStyle w:val="Compact"/>
              <w:jc w:val="left"/>
            </w:pPr>
            <w:r>
              <w:t xml:space="preserve">Baja–media</w:t>
            </w:r>
          </w:p>
        </w:tc>
        <w:tc>
          <w:tcPr/>
          <w:p>
            <w:pPr>
              <w:pStyle w:val="Compact"/>
              <w:jc w:val="left"/>
            </w:pPr>
            <w:r>
              <w:t xml:space="preserve">Media</w:t>
            </w:r>
          </w:p>
        </w:tc>
        <w:tc>
          <w:tcPr/>
          <w:p>
            <w:pPr>
              <w:pStyle w:val="Compact"/>
              <w:jc w:val="left"/>
            </w:pPr>
            <w:r>
              <w:t xml:space="preserve">Directa</w:t>
            </w:r>
          </w:p>
        </w:tc>
        <w:tc>
          <w:tcPr/>
          <w:p>
            <w:pPr>
              <w:pStyle w:val="Compact"/>
              <w:jc w:val="left"/>
            </w:pPr>
            <w:r>
              <w:t xml:space="preserve">Control multivariable</w:t>
            </w:r>
          </w:p>
        </w:tc>
      </w:tr>
      <w:tr>
        <w:tc>
          <w:tcPr/>
          <w:p>
            <w:pPr>
              <w:pStyle w:val="Compact"/>
              <w:jc w:val="left"/>
            </w:pPr>
            <w:r>
              <w:t xml:space="preserve">ARX y ARMAX</w:t>
            </w:r>
          </w:p>
        </w:tc>
        <w:tc>
          <w:tcPr/>
          <w:p>
            <w:pPr>
              <w:pStyle w:val="Compact"/>
              <w:jc w:val="left"/>
            </w:pPr>
            <w:r>
              <w:t xml:space="preserve">Lineal dinámico</w:t>
            </w:r>
          </w:p>
        </w:tc>
        <w:tc>
          <w:tcPr/>
          <w:p>
            <w:pPr>
              <w:pStyle w:val="Compact"/>
              <w:jc w:val="left"/>
            </w:pPr>
            <w:r>
              <w:t xml:space="preserve">Media</w:t>
            </w:r>
          </w:p>
        </w:tc>
        <w:tc>
          <w:tcPr/>
          <w:p>
            <w:pPr>
              <w:pStyle w:val="Compact"/>
              <w:jc w:val="left"/>
            </w:pPr>
            <w:r>
              <w:t xml:space="preserve">Media</w:t>
            </w:r>
          </w:p>
        </w:tc>
        <w:tc>
          <w:tcPr/>
          <w:p>
            <w:pPr>
              <w:pStyle w:val="Compact"/>
              <w:jc w:val="left"/>
            </w:pPr>
            <w:r>
              <w:t xml:space="preserve">Directa</w:t>
            </w:r>
          </w:p>
        </w:tc>
        <w:tc>
          <w:tcPr/>
          <w:p>
            <w:pPr>
              <w:pStyle w:val="Compact"/>
              <w:jc w:val="left"/>
            </w:pPr>
            <w:r>
              <w:t xml:space="preserve">Identificación de sistemas y control multivariable</w:t>
            </w:r>
          </w:p>
        </w:tc>
      </w:tr>
      <w:tr>
        <w:tc>
          <w:tcPr/>
          <w:p>
            <w:pPr>
              <w:pStyle w:val="Compact"/>
              <w:jc w:val="left"/>
            </w:pPr>
            <w:r>
              <w:t xml:space="preserve">NLARX</w:t>
            </w:r>
          </w:p>
        </w:tc>
        <w:tc>
          <w:tcPr/>
          <w:p>
            <w:pPr>
              <w:pStyle w:val="Compact"/>
              <w:jc w:val="left"/>
            </w:pPr>
            <w:r>
              <w:t xml:space="preserve">Híbrido lineal–no lineal</w:t>
            </w:r>
          </w:p>
        </w:tc>
        <w:tc>
          <w:tcPr/>
          <w:p>
            <w:pPr>
              <w:pStyle w:val="Compact"/>
              <w:jc w:val="left"/>
            </w:pPr>
            <w:r>
              <w:t xml:space="preserve">Alta</w:t>
            </w:r>
          </w:p>
        </w:tc>
        <w:tc>
          <w:tcPr/>
          <w:p>
            <w:pPr>
              <w:pStyle w:val="Compact"/>
              <w:jc w:val="left"/>
            </w:pPr>
            <w:r>
              <w:t xml:space="preserve">Media–alta</w:t>
            </w:r>
          </w:p>
        </w:tc>
        <w:tc>
          <w:tcPr/>
          <w:p>
            <w:pPr>
              <w:pStyle w:val="Compact"/>
              <w:jc w:val="left"/>
            </w:pPr>
            <w:r>
              <w:t xml:space="preserve">Compatible con MPC no lineal</w:t>
            </w:r>
          </w:p>
        </w:tc>
        <w:tc>
          <w:tcPr/>
          <w:p>
            <w:pPr>
              <w:pStyle w:val="Compact"/>
              <w:jc w:val="left"/>
            </w:pPr>
            <w:r>
              <w:t xml:space="preserve">Simulación de procesos no lineales</w:t>
            </w:r>
          </w:p>
        </w:tc>
      </w:tr>
      <w:tr>
        <w:tc>
          <w:tcPr/>
          <w:p>
            <w:pPr>
              <w:pStyle w:val="Compact"/>
              <w:jc w:val="left"/>
            </w:pPr>
            <w:r>
              <w:t xml:space="preserve">FOPDT (First Order Plus Dead Time)</w:t>
            </w:r>
          </w:p>
        </w:tc>
        <w:tc>
          <w:tcPr/>
          <w:p>
            <w:pPr>
              <w:pStyle w:val="Compact"/>
              <w:jc w:val="left"/>
            </w:pPr>
            <w:r>
              <w:t xml:space="preserve">Lineal dinámico con parámetros físicos</w:t>
            </w:r>
          </w:p>
        </w:tc>
        <w:tc>
          <w:tcPr/>
          <w:p>
            <w:pPr>
              <w:pStyle w:val="Compact"/>
              <w:jc w:val="left"/>
            </w:pPr>
            <w:r>
              <w:t xml:space="preserve">Baja–media</w:t>
            </w:r>
          </w:p>
        </w:tc>
        <w:tc>
          <w:tcPr/>
          <w:p>
            <w:pPr>
              <w:pStyle w:val="Compact"/>
              <w:jc w:val="left"/>
            </w:pPr>
            <w:r>
              <w:t xml:space="preserve">Baja</w:t>
            </w:r>
          </w:p>
        </w:tc>
        <w:tc>
          <w:tcPr/>
          <w:p>
            <w:pPr>
              <w:pStyle w:val="Compact"/>
              <w:jc w:val="left"/>
            </w:pPr>
            <w:r>
              <w:t xml:space="preserve">Directa</w:t>
            </w:r>
          </w:p>
        </w:tc>
        <w:tc>
          <w:tcPr/>
          <w:p>
            <w:pPr>
              <w:pStyle w:val="Compact"/>
              <w:jc w:val="left"/>
            </w:pPr>
            <w:r>
              <w:t xml:space="preserve">Procesos térmicos, destilación, sistemas SISO/MISO</w:t>
            </w:r>
          </w:p>
        </w:tc>
      </w:tr>
      <w:tr>
        <w:tc>
          <w:tcPr/>
          <w:p>
            <w:pPr>
              <w:pStyle w:val="Compact"/>
              <w:jc w:val="left"/>
            </w:pPr>
            <w:r>
              <w:t xml:space="preserve">Función de transferencia identificable</w:t>
            </w:r>
          </w:p>
        </w:tc>
        <w:tc>
          <w:tcPr/>
          <w:p>
            <w:pPr>
              <w:pStyle w:val="Compact"/>
              <w:jc w:val="left"/>
            </w:pPr>
            <w:r>
              <w:t xml:space="preserve">Lineal dinámico</w:t>
            </w:r>
          </w:p>
        </w:tc>
        <w:tc>
          <w:tcPr/>
          <w:p>
            <w:pPr>
              <w:pStyle w:val="Compact"/>
              <w:jc w:val="left"/>
            </w:pPr>
            <w:r>
              <w:t xml:space="preserve">Baja</w:t>
            </w:r>
          </w:p>
        </w:tc>
        <w:tc>
          <w:tcPr/>
          <w:p>
            <w:pPr>
              <w:pStyle w:val="Compact"/>
              <w:jc w:val="left"/>
            </w:pPr>
            <w:r>
              <w:t xml:space="preserve">Baja–media</w:t>
            </w:r>
          </w:p>
        </w:tc>
        <w:tc>
          <w:tcPr/>
          <w:p>
            <w:pPr>
              <w:pStyle w:val="Compact"/>
              <w:jc w:val="left"/>
            </w:pPr>
            <w:r>
              <w:t xml:space="preserve">Directa</w:t>
            </w:r>
          </w:p>
        </w:tc>
        <w:tc>
          <w:tcPr/>
          <w:p>
            <w:pPr>
              <w:pStyle w:val="Compact"/>
              <w:jc w:val="left"/>
            </w:pPr>
            <w:r>
              <w:t xml:space="preserve">Modelado empírico del proceso</w:t>
            </w:r>
          </w:p>
        </w:tc>
      </w:tr>
      <w:tr>
        <w:tc>
          <w:tcPr/>
          <w:p>
            <w:pPr>
              <w:pStyle w:val="Compact"/>
              <w:jc w:val="left"/>
            </w:pPr>
            <w:r>
              <w:t xml:space="preserve">Hammerstein–Wiener</w:t>
            </w:r>
          </w:p>
        </w:tc>
        <w:tc>
          <w:tcPr/>
          <w:p>
            <w:pPr>
              <w:pStyle w:val="Compact"/>
              <w:jc w:val="left"/>
            </w:pPr>
            <w:r>
              <w:t xml:space="preserve">Híbrido lineal–no lineal</w:t>
            </w:r>
          </w:p>
        </w:tc>
        <w:tc>
          <w:tcPr/>
          <w:p>
            <w:pPr>
              <w:pStyle w:val="Compact"/>
              <w:jc w:val="left"/>
            </w:pPr>
            <w:r>
              <w:t xml:space="preserve">Media–alta</w:t>
            </w:r>
          </w:p>
        </w:tc>
        <w:tc>
          <w:tcPr/>
          <w:p>
            <w:pPr>
              <w:pStyle w:val="Compact"/>
              <w:jc w:val="left"/>
            </w:pPr>
            <w:r>
              <w:t xml:space="preserve">Media</w:t>
            </w:r>
          </w:p>
        </w:tc>
        <w:tc>
          <w:tcPr/>
          <w:p>
            <w:pPr>
              <w:pStyle w:val="Compact"/>
              <w:jc w:val="left"/>
            </w:pPr>
            <w:r>
              <w:t xml:space="preserve">Compatible con MPC no lineal</w:t>
            </w:r>
          </w:p>
        </w:tc>
        <w:tc>
          <w:tcPr/>
          <w:p>
            <w:pPr>
              <w:pStyle w:val="Compact"/>
              <w:jc w:val="left"/>
            </w:pPr>
            <w:r>
              <w:t xml:space="preserve">Procesos químicos no lineales</w:t>
            </w:r>
          </w:p>
        </w:tc>
      </w:tr>
    </w:tbl>
    <w:bookmarkEnd w:id="17"/>
    <w:bookmarkEnd w:id="18"/>
    <w:bookmarkStart w:id="19" w:name="Xe7a9ab0cf75839d9728497e45d82d9a169f0466"/>
    <w:p>
      <w:pPr>
        <w:pStyle w:val="Heading2"/>
      </w:pPr>
      <w:r>
        <w:t xml:space="preserve">Métodos de modelamiento de columnas de destilación</w:t>
      </w:r>
    </w:p>
    <w:p>
      <w:pPr>
        <w:pStyle w:val="FirstParagraph"/>
      </w:pPr>
      <w:r>
        <w:t xml:space="preserve">Las columnas de destilación constituyen uno de los procesos más utilizados y energéticamente intensivos en la industria química, por lo que representan un caso de estudio relevante para la implementación de estrategias de control predictivo avanzado. Debido a la fuerte interacción entre variables, las dinámicas multivariables y la presencia de restricciones operativas, estos sistemas suelen requerir modelos dinámicos rigurosos para describir adecuadamente su comportamiento. Sin embargo, la elevada complejidad matemática asociada a estos modelos incrementa considerablemente el costo computacional de los algoritmos de optimización en tiempo real. En este contexto, la subrogación de modelos adquiere especial importancia en aplicaciones de control predictivo sobre procesos de separación, particularmente en columnas de destilación extractiva.</w:t>
      </w:r>
    </w:p>
    <w:p>
      <w:pPr>
        <w:pStyle w:val="BodyText"/>
      </w:pPr>
      <w:r>
        <w:t xml:space="preserve">Los modelos dinámicos rigurosos utilizados para representar columnas de destilación suelen basarse en las ecuaciones MESH (Mass, Equilibrium, Summation and Heat), las cuales describen simultáneamente los balances de masa, equilibrio termodinámico, sumatorias de fracción y balances de energía en cada etapa de la columna. Este enfoque constituye la base de la mayoría de simuladores comerciales de procesos químicos y permite representar con alta precisión la dinámica del sistema. No obstante, debido al elevado número de ecuaciones diferenciales y algebraicas involucradas, estos modelos presentan una alta carga computacional, especialmente cuando son utilizados dentro de algoritmos de optimización y control predictivo en tiempo real.</w:t>
      </w:r>
    </w:p>
    <w:p>
      <w:pPr>
        <w:pStyle w:val="BodyText"/>
      </w:pPr>
      <w:r>
        <w:t xml:space="preserve">El número total de ecuaciones algebraicas que describen una columna de destilación en un instante dado puede calcularse mediante:</w:t>
      </w:r>
    </w:p>
    <w:p>
      <w:pPr>
        <w:pStyle w:val="BodyText"/>
      </w:pPr>
      <m:oMathPara>
        <m:oMathParaPr>
          <m:jc m:val="center"/>
        </m:oMathParaPr>
        <m:oMath>
          <m:sSub>
            <m:e>
              <m:r>
                <m:t>N</m:t>
              </m:r>
            </m:e>
            <m:sub>
              <m:r>
                <m:t>e</m:t>
              </m:r>
              <m:r>
                <m:t>c</m:t>
              </m:r>
            </m:sub>
          </m:sSub>
          <m:r>
            <m:rPr>
              <m:sty m:val="p"/>
            </m:rPr>
            <m:t>=</m:t>
          </m:r>
          <m:r>
            <m:t>N</m:t>
          </m:r>
          <m:r>
            <m:rPr>
              <m:sty m:val="p"/>
            </m:rPr>
            <m:t>(</m:t>
          </m:r>
          <m:r>
            <m:t>2</m:t>
          </m:r>
          <m:r>
            <m:t>C</m:t>
          </m:r>
          <m:r>
            <m:rPr>
              <m:sty m:val="p"/>
            </m:rPr>
            <m:t>+</m:t>
          </m:r>
          <m:r>
            <m:t>3</m:t>
          </m:r>
          <m:r>
            <m:rPr>
              <m:sty m:val="p"/>
            </m:rPr>
            <m:t>)</m:t>
          </m:r>
        </m:oMath>
      </m:oMathPara>
    </w:p>
    <w:p>
      <w:pPr>
        <w:pStyle w:val="FirstParagraph"/>
      </w:pPr>
      <w:r>
        <w:t xml:space="preserve">donde</w:t>
      </w:r>
      <w:r>
        <w:t xml:space="preserve"> </w:t>
      </w:r>
      <m:oMath>
        <m:r>
          <m:t>N</m:t>
        </m:r>
      </m:oMath>
      <w:r>
        <w:t xml:space="preserve"> </w:t>
      </w:r>
      <w:r>
        <w:t xml:space="preserve">corresponde al número de etapas y</w:t>
      </w:r>
      <w:r>
        <w:t xml:space="preserve"> </w:t>
      </w:r>
      <m:oMath>
        <m:r>
          <m:t>C</m:t>
        </m:r>
      </m:oMath>
      <w:r>
        <w:t xml:space="preserve"> </w:t>
      </w:r>
      <w:r>
        <w:t xml:space="preserve">al número de componentes. En simulaciones dinámicas, este sistema de ecuaciones debe resolverse para cada intervalo de tiempo considerado en la discretización temporal del proceso. Por lo tanto, el número total de ecuaciones que resuelve el simulador durante una simulación dinámica puede expresarse como:</w:t>
      </w:r>
    </w:p>
    <w:p>
      <w:pPr>
        <w:pStyle w:val="BodyText"/>
      </w:pPr>
      <w:r>
        <w:t xml:space="preserve">$$\begin{equation}
    N_{et} = N_{ec} \times N_i
    \label{eq:num_et}
    \end{equation}$$</w:t>
      </w:r>
    </w:p>
    <w:p>
      <w:pPr>
        <w:pStyle w:val="FirstParagraph"/>
      </w:pPr>
      <w:r>
        <w:t xml:space="preserve">donde</w:t>
      </w:r>
      <w:r>
        <w:t xml:space="preserve"> </w:t>
      </w:r>
      <m:oMath>
        <m:sSub>
          <m:e>
            <m:r>
              <m:t>N</m:t>
            </m:r>
          </m:e>
          <m:sub>
            <m:r>
              <m:t>i</m:t>
            </m:r>
          </m:sub>
        </m:sSub>
      </m:oMath>
      <w:r>
        <w:t xml:space="preserve"> </w:t>
      </w:r>
      <w:r>
        <w:t xml:space="preserve">corresponde al número de intervalos de tiempo utilizados durante la simulación dinámica del proceso. Este incremento en la carga computacional representa una de las principales limitaciones para la implementación de modelos rigurosos dentro de estrategias MPC, especialmente en procesos multivariables complejos como la destilación extractiva. Debido a esta elevada complejidad computacional, las columnas de destilación representan un escenario adecuado para evaluar estrategias de subrogación orientadas a la implementación de esquemas MPC en tiempo real. En particular, el presente trabajo se enfoca en una columna de destilación extractiva, cuyo esquema general se presenta en el Anexo correspondiente.</w:t>
      </w:r>
    </w:p>
    <w:bookmarkEnd w:id="19"/>
    <w:bookmarkEnd w:id="20"/>
    <w:bookmarkStart w:id="42" w:name="metodología"/>
    <w:p>
      <w:pPr>
        <w:pStyle w:val="Heading1"/>
      </w:pPr>
      <w:r>
        <w:t xml:space="preserve">Metodología</w:t>
      </w:r>
    </w:p>
    <w:p>
      <w:pPr>
        <w:pStyle w:val="FirstParagraph"/>
      </w:pPr>
      <w:r>
        <w:t xml:space="preserve">El presente trabajo esta orientada a la subrogación de modelos para el control predictivo en un proceso de destilación extractiva, tomando como referencia el estudio desarrollado por Quintero y Botía et al. </w:t>
      </w:r>
      <w:r>
        <w:t xml:space="preserve">[10]</w:t>
      </w:r>
      <w:r>
        <w:t xml:space="preserve">. La metodología se estructuró en dos fases principales: (i) la replicación y verificación de la base metodológica establecida en dicho trabajo, que incluye el caso de estudio, las simulaciones rigurosas y la generación de datos dinámicos; y (ii) la implementación y evaluación de nuevas estrategias de subrogación orientadas al control predictivo. En la primera fase se utilizó el mismo caso de estudio correspondiente a la separación de una mezcla azeotrópica metanol-acetona mediante destilación extractiva con dimetilsulfóxido (DMSO) como agente separador. Inicialmente, se verificó el correcto funcionamiento del modelo del proceso en estado estacionario en Aspen Plus. Posteriormente, el proceso fue llevado a un entorno dinámico mediante Aspen Plus Dynamics, donde se implementó la estructura de control regulatorio necesaria para garantizar la estabilidad hidráulica del sistema durante la operación.</w:t>
      </w:r>
    </w:p>
    <w:p>
      <w:pPr>
        <w:pStyle w:val="BodyText"/>
      </w:pPr>
      <w:r>
        <w:t xml:space="preserve">Una vez estabilizado el proceso en el entorno dinámico, se realizaron pruebas de escalón sobre las variables de entrada del sistema con el fin de analizar su efecto sobre el porcentaje de acetona y metanol en las corrientes de salida. Estas pruebas permitieron obtener datos representativos de la dinámica del proceso frente a perturbaciones en las entradas, facilitando la identificación de relaciones entre las entradas y la composición de salida de cada torre. El objetivo principal de esta etapa fue desarrollar modelos subrogados capaces de reproducir adecuadamente el comportamiento dinámico del sistema completo mediante un menor número de ecuaciones y con una menor complejidad computacional respecto al modelo MESH. Para ello, los datos obtenidos fueron empleados en la identificación de modelos tipo Hammerstein–Wiener y NLARX, orientados a la simulación de procesos no lineales.</w:t>
      </w:r>
    </w:p>
    <w:p>
      <w:pPr>
        <w:pStyle w:val="BodyText"/>
      </w:pPr>
      <w:r>
        <w:t xml:space="preserve">Posteriormente, se realizaron pruebas de escalón sobre las variables manipuladas del sistema, correspondientes al calor de rehervidor y la relación de reflujo en cada columna. La ubicación de estas variables dentro del proceso de destilación extractiva puede observarse en el diagrama (PFD) presentado en el Anexo de diagramas Figura</w:t>
      </w:r>
      <w:r>
        <w:t xml:space="preserve"> </w:t>
      </w:r>
      <w:hyperlink w:anchor="fig:DiagramaPFD">
        <w:r>
          <w:rPr>
            <w:rStyle w:val="Hyperlink"/>
          </w:rPr>
          <w:t xml:space="preserve">7</w:t>
        </w:r>
      </w:hyperlink>
      <w:r>
        <w:t xml:space="preserve">. Simultáneamente, se monitoreó la respuesta de las variables controladas asociadas a la pureza de los productos, representadas mediante las temperaturas de etapas específicas en las columnas. Estas variables fueron seleccionadas debido a su relación directa con la composición de los productos y su relevancia dentro del esquema de control del proceso. Con el fin de obtener datos dinámicos representativos del comportamiento del sistema frente a perturbaciones, las pruebas se realizaron de manera independiente para cada variable manipulada. Posteriormente, para cada columna (</w:t>
      </w:r>
      <m:oMath>
        <m:r>
          <m:t>T</m:t>
        </m:r>
      </m:oMath>
      <w:r>
        <w:t xml:space="preserve">-101 y</w:t>
      </w:r>
      <w:r>
        <w:t xml:space="preserve"> </w:t>
      </w:r>
      <m:oMath>
        <m:r>
          <m:t>T</m:t>
        </m:r>
      </m:oMath>
      <w:r>
        <w:t xml:space="preserve">-102), los datos generados se dividieron en dos conjuntos independientes: uno destinado a la identificación (entrenamiento) de los modelos y otro orientado a su validación. Esta estrategia permite evaluar la capacidad de generalización de los modelos y reducir problemas de sobreajuste (</w:t>
      </w:r>
      <w:r>
        <w:rPr>
          <w:i/>
          <w:iCs/>
        </w:rPr>
        <w:t xml:space="preserve">overfitting</w:t>
      </w:r>
      <w:r>
        <w:t xml:space="preserve">).</w:t>
      </w:r>
    </w:p>
    <w:p>
      <w:pPr>
        <w:pStyle w:val="BodyText"/>
      </w:pPr>
      <w:r>
        <w:t xml:space="preserve">Estos datos fueron utilizados para la construcción de modelos subrogados capaces de aproximar el comportamiento dinámico del modelo riguroso. En el trabajo anterior de la investigación, la subrogación del sistema se realizó mediante representaciones en espacio de estados (SS). En el presente estudio, este enfoque se mantiene como referencia y se implementan adicionalmente modelos ARX, ARMAX, FOPDT y función de transferencia con el objetivo de comparar el desempeño de diferentes estrategias de subrogación orientadas al control. Los modelos obtenidos fueron evaluados mediante métricas estadísticas de ajuste y posteriormente integrados en un esquema de control predictivo basado en modelo (MPC), mediante una co-simulación entre Aspen Plus Dynamics y MATLAB®–Simulink®, lo que permitió analizar su desempeño frente a perturbaciones en las corrientes de alimentación del proceso. El flujo general de la metodología se ilustra en la Figura </w:t>
      </w:r>
      <w:hyperlink w:anchor="fig:ProcesoControl">
        <w:r>
          <w:rPr>
            <w:rStyle w:val="Hyperlink"/>
          </w:rPr>
          <w:t xml:space="preserve">1</w:t>
        </w:r>
      </w:hyperlink>
      <w:r>
        <w:t xml:space="preserve">.</w:t>
      </w:r>
    </w:p>
    <w:bookmarkStart w:id="24" w:name="fig:ProcesoControl"/>
    <w:p>
      <w:pPr>
        <w:pStyle w:val="CaptionedFigure"/>
      </w:pPr>
      <w:r>
        <w:drawing>
          <wp:inline>
            <wp:extent cx="4800600" cy="2293620"/>
            <wp:effectExtent b="0" l="0" r="0" t="0"/>
            <wp:docPr descr="Figure 1: Flujo del proceso de subrogación de modelos para el control predictivo." title="" id="22" name="Picture"/>
            <a:graphic>
              <a:graphicData uri="http://schemas.openxmlformats.org/drawingml/2006/picture">
                <pic:pic>
                  <pic:nvPicPr>
                    <pic:cNvPr descr="figures/Metodología.png" id="23" name="Picture"/>
                    <pic:cNvPicPr>
                      <a:picLocks noChangeArrowheads="1" noChangeAspect="1"/>
                    </pic:cNvPicPr>
                  </pic:nvPicPr>
                  <pic:blipFill>
                    <a:blip r:embed="rId21"/>
                    <a:stretch>
                      <a:fillRect/>
                    </a:stretch>
                  </pic:blipFill>
                  <pic:spPr bwMode="auto">
                    <a:xfrm>
                      <a:off x="0" y="0"/>
                      <a:ext cx="4800600" cy="2293620"/>
                    </a:xfrm>
                    <a:prstGeom prst="rect">
                      <a:avLst/>
                    </a:prstGeom>
                    <a:noFill/>
                    <a:ln w="9525">
                      <a:noFill/>
                      <a:headEnd/>
                      <a:tailEnd/>
                    </a:ln>
                  </pic:spPr>
                </pic:pic>
              </a:graphicData>
            </a:graphic>
          </wp:inline>
        </w:drawing>
      </w:r>
    </w:p>
    <w:p>
      <w:pPr>
        <w:pStyle w:val="ImageCaption"/>
      </w:pPr>
      <w:r>
        <w:t xml:space="preserve">Figure 1: Flujo del proceso de subrogación de modelos para el control predictivo.</w:t>
      </w:r>
    </w:p>
    <w:bookmarkEnd w:id="24"/>
    <w:bookmarkStart w:id="25" w:name="software-empleado"/>
    <w:p>
      <w:pPr>
        <w:pStyle w:val="Heading2"/>
      </w:pPr>
      <w:r>
        <w:t xml:space="preserve">Software empleado</w:t>
      </w:r>
    </w:p>
    <w:p>
      <w:pPr>
        <w:pStyle w:val="FirstParagraph"/>
      </w:pPr>
      <w:r>
        <w:t xml:space="preserve">Para el desarrollo de las simulaciones del proceso se empleó la suite</w:t>
      </w:r>
      <w:r>
        <w:t xml:space="preserve"> </w:t>
      </w:r>
      <w:r>
        <w:t xml:space="preserve">aspenONE® de Aspen Technology Inc. (versión 11), específicamente los</w:t>
      </w:r>
      <w:r>
        <w:t xml:space="preserve"> </w:t>
      </w:r>
      <w:r>
        <w:t xml:space="preserve">módulos Aspen Plus V11 y Aspen Plus Dynamics V11, con el objetivo de simular el proceso tanto en estado estacionario como en régimen dinámico. Aspen Plus Dynamics permite exportar modelos en estado estacionario a un entorno dinámico que resuelve las ecuaciones diferenciales algebraicas (DAE) del proceso con paso de tiempo variable, lo que resulta especialmente adecuado para la generación de datos de identificación en procesos altamente no lineales como la destilación extractiva</w:t>
      </w:r>
      <w:r>
        <w:t xml:space="preserve"> </w:t>
      </w:r>
      <w:r>
        <w:t xml:space="preserve">[10]</w:t>
      </w:r>
      <w:r>
        <w:t xml:space="preserve">. Los datos generados durante la simulación dinámica fueron exportados al entorno de MATLAB® y Simulink® R2025b de MathWorks Inc., donde se realizaron las tareas de procesamiento de datos, la identificación de modelos subrogados y la implementación de los esquemas de control predictivo basados en modelo (MPC). Para la identificación de los modelos ARX y ARMAX se empleó el</w:t>
      </w:r>
      <w:r>
        <w:t xml:space="preserve"> </w:t>
      </w:r>
      <w:r>
        <w:rPr>
          <w:i/>
          <w:iCs/>
        </w:rPr>
        <w:t xml:space="preserve">System Identification Toolbox</w:t>
      </w:r>
      <w:r>
        <w:t xml:space="preserve"> </w:t>
      </w:r>
      <w:r>
        <w:t xml:space="preserve">de MATLAB®, el cual permite estimar modelos dinámicos lineales a partir de datos de entrada-salida. El esquema de control MPC se implementó mediante el</w:t>
      </w:r>
      <w:r>
        <w:t xml:space="preserve"> </w:t>
      </w:r>
      <w:r>
        <w:rPr>
          <w:i/>
          <w:iCs/>
        </w:rPr>
        <w:t xml:space="preserve">Model Predictive Control Toolbox</w:t>
      </w:r>
      <w:r>
        <w:t xml:space="preserve">, lo que permitió integrar directamente los modelos identificados en el controlador y evaluar su desempeño en el entorno de co-simulación con Aspen Plus Dynamics.</w:t>
      </w:r>
    </w:p>
    <w:bookmarkEnd w:id="25"/>
    <w:bookmarkStart w:id="29" w:name="caso-de-estudio-y-simulación-rigurosa"/>
    <w:p>
      <w:pPr>
        <w:pStyle w:val="Heading2"/>
      </w:pPr>
      <w:r>
        <w:t xml:space="preserve">Caso de estudio y simulación rigurosa</w:t>
      </w:r>
    </w:p>
    <w:p>
      <w:pPr>
        <w:pStyle w:val="FirstParagraph"/>
      </w:pPr>
      <w:r>
        <w:t xml:space="preserve">Con el fin de establecer una base de comparación consistente, se adoptó el mismo caso de estudio y modelo riguroso desarrollado por Quintero y Botía et al. </w:t>
      </w:r>
      <w:r>
        <w:t xml:space="preserve">[10]</w:t>
      </w:r>
      <w:r>
        <w:t xml:space="preserve">, correspondiente a un proceso de destilación extractiva para la separación de una mezcla azeotrópica de metanol y acetona.</w:t>
      </w:r>
    </w:p>
    <w:bookmarkStart w:id="26" w:name="descripción-del-proceso"/>
    <w:p>
      <w:pPr>
        <w:pStyle w:val="Heading3"/>
      </w:pPr>
      <w:r>
        <w:t xml:space="preserve">Descripción del proceso</w:t>
      </w:r>
    </w:p>
    <w:p>
      <w:pPr>
        <w:pStyle w:val="FirstParagraph"/>
      </w:pPr>
      <w:r>
        <w:t xml:space="preserve">El proceso consiste en la separación de una mezcla azeotrópica de metanol y acetona mediante destilación extractiva, utilizando dimetilsulfóxido (DMSO) como agente separador. La configuración del sistema comprende dos columnas de destilación acopladas: una columna extractiva (</w:t>
      </w:r>
      <m:oMath>
        <m:r>
          <m:t>T</m:t>
        </m:r>
        <m:r>
          <m:rPr>
            <m:nor/>
            <m:sty m:val="p"/>
          </m:rPr>
          <m:t>-</m:t>
        </m:r>
        <m:r>
          <m:t>101</m:t>
        </m:r>
      </m:oMath>
      <w:r>
        <w:t xml:space="preserve">) y una columna de recuperación de solvente (</w:t>
      </w:r>
      <m:oMath>
        <m:r>
          <m:t>T</m:t>
        </m:r>
        <m:r>
          <m:rPr>
            <m:nor/>
            <m:sty m:val="p"/>
          </m:rPr>
          <m:t>-</m:t>
        </m:r>
        <m:r>
          <m:t>102</m:t>
        </m:r>
      </m:oMath>
      <w:r>
        <w:t xml:space="preserve">). El esquema general del proceso y las principales corrientes involucradas se presentan en el diagrama de flujo del proceso (PFD) incluido en el Anexo de diagramas Figura</w:t>
      </w:r>
      <w:r>
        <w:t xml:space="preserve"> </w:t>
      </w:r>
      <w:hyperlink w:anchor="fig:DiagramaPFD">
        <w:r>
          <w:rPr>
            <w:rStyle w:val="Hyperlink"/>
          </w:rPr>
          <w:t xml:space="preserve">7</w:t>
        </w:r>
      </w:hyperlink>
      <w:r>
        <w:t xml:space="preserve">. En la columna extractiva</w:t>
      </w:r>
      <w:r>
        <w:t xml:space="preserve"> </w:t>
      </w:r>
      <m:oMath>
        <m:r>
          <m:t>T</m:t>
        </m:r>
        <m:r>
          <m:rPr>
            <m:nor/>
            <m:sty m:val="p"/>
          </m:rPr>
          <m:t>-</m:t>
        </m:r>
        <m:r>
          <m:t>101</m:t>
        </m:r>
      </m:oMath>
      <w:r>
        <w:t xml:space="preserve"> </w:t>
      </w:r>
      <w:r>
        <w:t xml:space="preserve">se introduce la mezcla azeotrópica junto con el solvente DMSO, que modifica la volatilidad relativa de los componentes al alterar el equilibrio vapor-líquido del sistema, permitiendo así romper el azeótropo y obtener acetona de alta pureza en el destilado. La corriente de fondos, compuesta por metanol y DMSO, se envía a la columna</w:t>
      </w:r>
      <w:r>
        <w:t xml:space="preserve"> </w:t>
      </w:r>
      <m:oMath>
        <m:r>
          <m:t>T</m:t>
        </m:r>
        <m:r>
          <m:rPr>
            <m:nor/>
            <m:sty m:val="p"/>
          </m:rPr>
          <m:t>-</m:t>
        </m:r>
        <m:r>
          <m:t>102</m:t>
        </m:r>
      </m:oMath>
      <w:r>
        <w:t xml:space="preserve">, donde se recupera el solvente mediante destilación convencional, obteniéndose metanol en el destilado y DMSO en el fondo para su recirculación al proceso. El modelo del proceso se implementó inicialmente en Aspen Plus para verificar la consistencia de las condiciones operativas en estado estacionario antes de proceder con el análisis dinámico.</w:t>
      </w:r>
    </w:p>
    <w:bookmarkEnd w:id="26"/>
    <w:bookmarkStart w:id="27" w:name="esquema-de-control-regulatorio"/>
    <w:p>
      <w:pPr>
        <w:pStyle w:val="Heading3"/>
      </w:pPr>
      <w:r>
        <w:t xml:space="preserve">Esquema de control regulatorio</w:t>
      </w:r>
    </w:p>
    <w:p>
      <w:pPr>
        <w:pStyle w:val="FirstParagraph"/>
      </w:pPr>
      <w:r>
        <w:t xml:space="preserve">Para garantizar la estabilidad hidráulica y operativa del sistema durante las simulaciones dinámicas, se implementó un esquema de control regulatorio basado en controladores de retroalimentación proporcional-integral (PI). La configuración general del sistema y la ubicación de los lazos de control implementados pueden observarse en el diagrama de flujo del proceso (PFD) presentado en el Anexo diagramas. El esquema regulatorio está compuesto por un total de seis lazos de control distribuidos entre las dos columnas de destilación. Para cada columna se implementó: (i) un lazo de control de presión asociado al condensador, (ii) un lazo de control de nivel en la vasija de reflujo ubicada después del condensador y (iii) un lazo de control de nivel en la corriente de fondos del rehervidor. Estos lazos permiten mantener condiciones de operación estables y evitar problemas operativos, como el sobrellenado de equipos, variaciones indeseadas de presión o inestabilidades hidráulicas durante la operación dinámica del sistema. Sin estos lazos regulatorios, perturbaciones en variables operativas podrían generar desviaciones acumulativas en los inventarios de masa y energía del proceso, comprometiendo la estabilidad dinámica de las columnas durante la simulación. La sintonización de los controladores PI se realizó mediante el método de Tyreus-Luyben, el cual determina los parámetros proporcionales e integrales a partir de la ganancia y el período último del sistema</w:t>
      </w:r>
      <w:r>
        <w:t xml:space="preserve"> </w:t>
      </w:r>
      <w:r>
        <w:t xml:space="preserve">[19]</w:t>
      </w:r>
      <w:r>
        <w:t xml:space="preserve">. Los valores finales de sintonización corresponden a los reportados por Quintero y Botía et al. </w:t>
      </w:r>
      <w:r>
        <w:t xml:space="preserve">[10]</w:t>
      </w:r>
      <w:r>
        <w:t xml:space="preserve">. La robustez del esquema de control regulatorio se evaluó mediante una prueba de estabilidad consistente en una perturbación tipo escalón del 15 % en el flujo molar de la corriente de alimentación azeotrópica respecto a su valor nominal. Los resultados confirmaron que el sistema mantiene la estabilidad hidráulica ante esta perturbación, constituyendo una base adecuada para el análisis dinámico posterior.</w:t>
      </w:r>
    </w:p>
    <w:bookmarkEnd w:id="27"/>
    <w:bookmarkStart w:id="28" w:name="X752994c146272aca072f4a0fc35203573e75b9f"/>
    <w:p>
      <w:pPr>
        <w:pStyle w:val="Heading3"/>
      </w:pPr>
      <w:r>
        <w:t xml:space="preserve">Generación de datos dinámicos mediante pruebas de escalón</w:t>
      </w:r>
    </w:p>
    <w:p>
      <w:pPr>
        <w:pStyle w:val="FirstParagraph"/>
      </w:pPr>
      <w:r>
        <w:t xml:space="preserve">Para obtener los datos necesarios para la identificación de los modelos subrogados se realizaron pruebas de escalón (</w:t>
      </w:r>
      <w:r>
        <w:rPr>
          <w:i/>
          <w:iCs/>
        </w:rPr>
        <w:t xml:space="preserve">step tests</w:t>
      </w:r>
      <w:r>
        <w:t xml:space="preserve">) en la simulación dinámica del proceso en Aspen Plus Dynamics. Estas pruebas consistieron en aplicar cambios tipo escalón sobre las corrientes de alimentación de mezcla azeotrópica y de DMSO, registrando la respuesta dinámica de las fracciones molares de acetona y metanol en las corrientes de salida del proceso. El propósito de este procedimiento fue establecer las relaciones dinámicas entre las variables de entrada y las composiciones de salida, de manera que fuera posible identificar modelos capaces de representar el comportamiento no lineal del sistema con una menor complejidad matemática respecto al modelo MESH. Por el otro lado, para el proposito de control se realizaron otro set de pruebas que tenien realizaron cambios tipo escalón en las variables manipuladas y registrar la respuesta dinámica de las variables de salida de interés, con el propósito traducir las dinámica del sistema y lograr la identificación de parametrós de los modelos</w:t>
      </w:r>
      <w:r>
        <w:t xml:space="preserve"> </w:t>
      </w:r>
      <w:r>
        <w:t xml:space="preserve">[20]</w:t>
      </w:r>
      <w:r>
        <w:t xml:space="preserve">. En el contexto de la subrogación orientada al control, las variables manipuladas consideradas fueron la potencia de los rehervidores y la razón de reflujo de cada columna (</w:t>
      </w:r>
      <m:oMath>
        <m:sSub>
          <m:e>
            <m:r>
              <m:t>Q</m:t>
            </m:r>
          </m:e>
          <m:sub>
            <m:r>
              <m:t>R</m:t>
            </m:r>
            <m:r>
              <m:rPr>
                <m:sty m:val="p"/>
              </m:rPr>
              <m:t>,</m:t>
            </m:r>
            <m:r>
              <m:t>T</m:t>
            </m:r>
            <m:r>
              <m:rPr>
                <m:sty m:val="p"/>
              </m:rPr>
              <m:t>−</m:t>
            </m:r>
            <m:r>
              <m:t>101</m:t>
            </m:r>
          </m:sub>
        </m:sSub>
      </m:oMath>
      <w:r>
        <w:t xml:space="preserve">,</w:t>
      </w:r>
      <w:r>
        <w:t xml:space="preserve"> </w:t>
      </w:r>
      <m:oMath>
        <m:sSub>
          <m:e>
            <m:r>
              <m:t>Q</m:t>
            </m:r>
          </m:e>
          <m:sub>
            <m:r>
              <m:t>R</m:t>
            </m:r>
            <m:r>
              <m:rPr>
                <m:sty m:val="p"/>
              </m:rPr>
              <m:t>,</m:t>
            </m:r>
            <m:r>
              <m:t>T</m:t>
            </m:r>
            <m:r>
              <m:rPr>
                <m:sty m:val="p"/>
              </m:rPr>
              <m:t>−</m:t>
            </m:r>
            <m:r>
              <m:t>102</m:t>
            </m:r>
          </m:sub>
        </m:sSub>
      </m:oMath>
      <w:r>
        <w:t xml:space="preserve">,</w:t>
      </w:r>
      <w:r>
        <w:t xml:space="preserve"> </w:t>
      </w:r>
      <m:oMath>
        <m:r>
          <m:t>R</m:t>
        </m:r>
        <m:sSub>
          <m:e>
            <m:r>
              <m:t>R</m:t>
            </m:r>
          </m:e>
          <m:sub>
            <m:r>
              <m:t>T</m:t>
            </m:r>
            <m:r>
              <m:rPr>
                <m:sty m:val="p"/>
              </m:rPr>
              <m:t>−</m:t>
            </m:r>
            <m:r>
              <m:t>101</m:t>
            </m:r>
          </m:sub>
        </m:sSub>
      </m:oMath>
      <w:r>
        <w:t xml:space="preserve"> </w:t>
      </w:r>
      <w:r>
        <w:t xml:space="preserve">y</w:t>
      </w:r>
      <w:r>
        <w:t xml:space="preserve"> </w:t>
      </w:r>
      <m:oMath>
        <m:r>
          <m:t>R</m:t>
        </m:r>
        <m:sSub>
          <m:e>
            <m:r>
              <m:t>R</m:t>
            </m:r>
          </m:e>
          <m:sub>
            <m:r>
              <m:t>T</m:t>
            </m:r>
            <m:r>
              <m:rPr>
                <m:sty m:val="p"/>
              </m:rPr>
              <m:t>−</m:t>
            </m:r>
            <m:r>
              <m:t>102</m:t>
            </m:r>
          </m:sub>
        </m:sSub>
      </m:oMath>
      <w:r>
        <w:t xml:space="preserve">). Dado que la medición directa de fracciones molares en procesos industriales continuos puede resultar costosa o difícil de implementar en línea, se seleccionaron las temperaturas de etapa como variables controladas, en virtud de su correlación con la pureza de los productos. En particular, se seleccionaron la temperatura de la etapa 36 (</w:t>
      </w:r>
      <m:oMath>
        <m:sSubSup>
          <m:e>
            <m:r>
              <m:t>T</m:t>
            </m:r>
          </m:e>
          <m:sub>
            <m:r>
              <m:t>36</m:t>
            </m:r>
            <m:r>
              <m:rPr>
                <m:sty m:val="p"/>
              </m:rPr>
              <m:t>,</m:t>
            </m:r>
            <m:r>
              <m:t>T</m:t>
            </m:r>
            <m:r>
              <m:rPr>
                <m:sty m:val="p"/>
              </m:rPr>
              <m:t>−</m:t>
            </m:r>
            <m:r>
              <m:t>101</m:t>
            </m:r>
          </m:sub>
          <m:sup>
            <m:r>
              <m:rPr>
                <m:nor/>
                <m:sty m:val="p"/>
              </m:rPr>
              <m:t>Acet</m:t>
            </m:r>
          </m:sup>
        </m:sSubSup>
      </m:oMath>
      <w:r>
        <w:t xml:space="preserve">) para la columna</w:t>
      </w:r>
      <w:r>
        <w:t xml:space="preserve"> </w:t>
      </w:r>
      <m:oMath>
        <m:r>
          <m:t>T</m:t>
        </m:r>
        <m:r>
          <m:rPr>
            <m:nor/>
            <m:sty m:val="p"/>
          </m:rPr>
          <m:t>-</m:t>
        </m:r>
        <m:r>
          <m:t>101</m:t>
        </m:r>
      </m:oMath>
      <w:r>
        <w:t xml:space="preserve"> </w:t>
      </w:r>
      <w:r>
        <w:t xml:space="preserve">y la de la etapa 8 (</w:t>
      </w:r>
      <m:oMath>
        <m:sSubSup>
          <m:e>
            <m:r>
              <m:t>T</m:t>
            </m:r>
          </m:e>
          <m:sub>
            <m:r>
              <m:t>8</m:t>
            </m:r>
            <m:r>
              <m:rPr>
                <m:sty m:val="p"/>
              </m:rPr>
              <m:t>,</m:t>
            </m:r>
            <m:r>
              <m:t>T</m:t>
            </m:r>
            <m:r>
              <m:rPr>
                <m:sty m:val="p"/>
              </m:rPr>
              <m:t>−</m:t>
            </m:r>
            <m:r>
              <m:t>102</m:t>
            </m:r>
          </m:sub>
          <m:sup>
            <m:r>
              <m:rPr>
                <m:nor/>
                <m:sty m:val="p"/>
              </m:rPr>
              <m:t>MetOH</m:t>
            </m:r>
          </m:sup>
        </m:sSubSup>
      </m:oMath>
      <w:r>
        <w:t xml:space="preserve">) para la columna</w:t>
      </w:r>
      <w:r>
        <w:t xml:space="preserve"> </w:t>
      </w:r>
      <m:oMath>
        <m:r>
          <m:t>T</m:t>
        </m:r>
        <m:r>
          <m:rPr>
            <m:nor/>
            <m:sty m:val="p"/>
          </m:rPr>
          <m:t>-</m:t>
        </m:r>
        <m:r>
          <m:t>102</m:t>
        </m:r>
      </m:oMath>
      <w:r>
        <w:t xml:space="preserve">, por presentar la mayor sensibilidad frente a cambios en las condiciones operativas, determinada mediante el análisis del perfil de temperatura de cada columna</w:t>
      </w:r>
      <w:r>
        <w:t xml:space="preserve"> </w:t>
      </w:r>
      <w:r>
        <w:t xml:space="preserve">[10]</w:t>
      </w:r>
      <w:r>
        <w:t xml:space="preserve">. Con el objetivo de disponer de conjuntos independientes para entrenamiento y validación, el procedimiento se realizó para dos</w:t>
      </w:r>
      <w:r>
        <w:t xml:space="preserve"> </w:t>
      </w:r>
      <w:r>
        <w:rPr>
          <w:i/>
          <w:iCs/>
        </w:rPr>
        <w:t xml:space="preserve">datasets</w:t>
      </w:r>
      <w:r>
        <w:t xml:space="preserve"> </w:t>
      </w:r>
      <w:r>
        <w:t xml:space="preserve">obtenidos de pruebas de escalon diferentes.</w:t>
      </w:r>
    </w:p>
    <w:p>
      <w:pPr>
        <w:pStyle w:val="BodyText"/>
      </w:pPr>
      <w:r>
        <w:t xml:space="preserve">Durante el análisis de los datos se observaron pequeñas variaciones residuales en las señales de temperatura que no se explican completamente por los cambios de escalón aplicados. Estas variaciones pueden interpretarse como ruido en los datos, asociado a errores de modelado, a efectos numéricos inherentes a la discretización temporal y a los algoritmos de integración empleados en la simulación dinámica. Este comportamiento resulta especialmente relevante para los modelos ARX y ARMAX, cuya estructura incluye explícitamente un término de ruido que permite capturar dinámicas no modeladas y errores de aproximación inherentes al proceso de identificación</w:t>
      </w:r>
      <w:r>
        <w:t xml:space="preserve"> </w:t>
      </w:r>
      <w:r>
        <w:t xml:space="preserve">[21]</w:t>
      </w:r>
      <w:r>
        <w:t xml:space="preserve">.</w:t>
      </w:r>
    </w:p>
    <w:bookmarkEnd w:id="28"/>
    <w:bookmarkEnd w:id="29"/>
    <w:bookmarkStart w:id="33" w:name="subrogación-de-modelos"/>
    <w:p>
      <w:pPr>
        <w:pStyle w:val="Heading2"/>
      </w:pPr>
      <w:r>
        <w:t xml:space="preserve">Subrogación de modelos</w:t>
      </w:r>
    </w:p>
    <w:p>
      <w:pPr>
        <w:pStyle w:val="FirstParagraph"/>
      </w:pPr>
      <w:r>
        <w:t xml:space="preserve">La subrogación del proceso se realizó con el objetivo de construir modelos dinámicos simplificados capaces de reproducir el comportamiento del modelo riguroso en un rango de operación relevante para el control, de modo que puedan integrarse eficientemente en esquemas de control predictivo basados en modelo. En el trabajo previo de Quintero y Botía et al. </w:t>
      </w:r>
      <w:r>
        <w:t xml:space="preserve">[10]</w:t>
      </w:r>
      <w:r>
        <w:t xml:space="preserve">, la subrogación se realizó mediante representaciones en espacio de estados y modelos Hammerstein-Wiener. En el presente estudio, dicho enfoque se mantiene como línea base de comparación, y se implementan adicionalmente modelos de tipo ARX, ARMAX y NLARX; ademas de función de transferencia (TF), y FOPDT con el fin de evaluar su capacidad para representar la dinámica del proceso en una simulación, además de su adaptación dentro del esquema de control.</w:t>
      </w:r>
    </w:p>
    <w:bookmarkStart w:id="30" w:name="preprocesamiento-de-datos"/>
    <w:p>
      <w:pPr>
        <w:pStyle w:val="Heading3"/>
      </w:pPr>
      <w:r>
        <w:t xml:space="preserve">Preprocesamiento de datos</w:t>
      </w:r>
    </w:p>
    <w:p>
      <w:pPr>
        <w:pStyle w:val="FirstParagraph"/>
      </w:pPr>
      <w:r>
        <w:t xml:space="preserve">Antes de proceder a la identificación de los modelos, todas las variables de entrada y salida se transformaron en desviaciones relativas respecto a su valor nominal de operación. Esta transformación, estándar en la identificación de sistemas de control, permite que los modelos se centren en la dinámica del proceso alrededor del punto de operación, lo que facilita la linealización y mejora el condicionamiento numérico del problema de identificación. La desviación relativa de cada variable se calculó mediante:</w:t>
      </w:r>
    </w:p>
    <w:p>
      <w:pPr>
        <w:pStyle w:val="BodyText"/>
      </w:pPr>
      <m:oMathPara>
        <m:oMathParaPr>
          <m:jc m:val="center"/>
        </m:oMathParaPr>
        <m:oMath>
          <m:sSub>
            <m:e>
              <m:r>
                <m:t>X</m:t>
              </m:r>
            </m:e>
            <m:sub>
              <m:r>
                <m:rPr>
                  <m:nor/>
                  <m:sty m:val="p"/>
                </m:rPr>
                <m:t>desv</m:t>
              </m:r>
            </m:sub>
          </m:sSub>
          <m:r>
            <m:rPr>
              <m:sty m:val="p"/>
            </m:rPr>
            <m:t>=</m:t>
          </m:r>
          <m:f>
            <m:fPr>
              <m:type m:val="bar"/>
            </m:fPr>
            <m:num>
              <m:r>
                <m:t>X</m:t>
              </m:r>
              <m:r>
                <m:rPr>
                  <m:sty m:val="p"/>
                </m:rPr>
                <m:t>−</m:t>
              </m:r>
              <m:sSub>
                <m:e>
                  <m:r>
                    <m:t>X</m:t>
                  </m:r>
                </m:e>
                <m:sub>
                  <m:r>
                    <m:rPr>
                      <m:nor/>
                      <m:sty m:val="p"/>
                    </m:rPr>
                    <m:t>nominal</m:t>
                  </m:r>
                </m:sub>
              </m:sSub>
            </m:num>
            <m:den>
              <m:sSub>
                <m:e>
                  <m:r>
                    <m:t>X</m:t>
                  </m:r>
                </m:e>
                <m:sub>
                  <m:r>
                    <m:rPr>
                      <m:nor/>
                      <m:sty m:val="p"/>
                    </m:rPr>
                    <m:t>nominal</m:t>
                  </m:r>
                </m:sub>
              </m:sSub>
            </m:den>
          </m:f>
        </m:oMath>
      </m:oMathPara>
    </w:p>
    <w:p>
      <w:pPr>
        <w:pStyle w:val="FirstParagraph"/>
      </w:pPr>
      <w:r>
        <w:t xml:space="preserve">donde</w:t>
      </w:r>
      <w:r>
        <w:t xml:space="preserve"> </w:t>
      </w:r>
      <m:oMath>
        <m:r>
          <m:t>X</m:t>
        </m:r>
      </m:oMath>
      <w:r>
        <w:t xml:space="preserve"> </w:t>
      </w:r>
      <w:r>
        <w:t xml:space="preserve">es el valor medido de la variable y</w:t>
      </w:r>
      <w:r>
        <w:t xml:space="preserve"> </w:t>
      </w:r>
      <m:oMath>
        <m:sSub>
          <m:e>
            <m:r>
              <m:t>X</m:t>
            </m:r>
          </m:e>
          <m:sub>
            <m:r>
              <m:rPr>
                <m:nor/>
                <m:sty m:val="p"/>
              </m:rPr>
              <m:t>nominal</m:t>
            </m:r>
          </m:sub>
        </m:sSub>
      </m:oMath>
      <w:r>
        <w:t xml:space="preserve"> </w:t>
      </w:r>
      <w:r>
        <w:t xml:space="preserve">es su valor en estado estacionario nominal.</w:t>
      </w:r>
    </w:p>
    <w:bookmarkEnd w:id="30"/>
    <w:bookmarkStart w:id="31" w:name="subsec:identificacion"/>
    <w:p>
      <w:pPr>
        <w:pStyle w:val="Heading3"/>
      </w:pPr>
      <w:r>
        <w:t xml:space="preserve">Identificación de modelos subrogados</w:t>
      </w:r>
    </w:p>
    <w:p>
      <w:pPr>
        <w:pStyle w:val="FirstParagraph"/>
      </w:pPr>
      <w:r>
        <w:t xml:space="preserve">La identificación de los modelos subrogados se realizó en el entorno MATLAB® R2025b, utilizando el System Identification Toolbox y a partir de los datos obtenidos de las simulaciones dinámicas del proceso. En primer lugar, se consideró como referencia el modelo en espacio de estados desarrollado en el trabajo previo. Posteriormente, se identificaron modelos de tipo ARX y ARMAX con el objetivo de evaluar su capacidad para aproximar la dinámica del proceso mediante estructuras lineales discretas. Para los modelos ARX se realizó un barrido sistemático de órdenes utilizando las funciones</w:t>
      </w:r>
      <w:r>
        <w:t xml:space="preserve"> </w:t>
      </w:r>
      <w:r>
        <w:rPr>
          <w:rStyle w:val="VerbatimChar"/>
        </w:rPr>
        <w:t xml:space="preserve">arxstruc</w:t>
      </w:r>
      <w:r>
        <w:t xml:space="preserve"> </w:t>
      </w:r>
      <w:r>
        <w:t xml:space="preserve">y</w:t>
      </w:r>
      <w:r>
        <w:t xml:space="preserve"> </w:t>
      </w:r>
      <w:r>
        <w:rPr>
          <w:rStyle w:val="VerbatimChar"/>
        </w:rPr>
        <w:t xml:space="preserve">selstruc</w:t>
      </w:r>
      <w:r>
        <w:t xml:space="preserve">, las cuales permiten explorar distintas combinaciones de parámetros autorregresivos y exógenos. En este contexto, los términos autorregresivos corresponden a valores pasados de la variable de salida del sistema (temperatura de etapa), mientras que los términos exógenos representan la influencia de las variables de entrada del proceso, es decir, la potencia del rehervidor y la razón de reflujo de cada columna. De manera similar, se realizó un barrido para los modelos ARMAX, variando el orden asociado al polinomio de ruido (</w:t>
      </w:r>
      <m:oMath>
        <m:sSub>
          <m:e>
            <m:r>
              <m:t>n</m:t>
            </m:r>
          </m:e>
          <m:sub>
            <m:r>
              <m:t>c</m:t>
            </m:r>
          </m:sub>
        </m:sSub>
      </m:oMath>
      <w:r>
        <w:t xml:space="preserve">) y estimando los parámetros del modelo mediante las rutinas de identificación disponibles en el toolbox. Para cada valor de</w:t>
      </w:r>
      <w:r>
        <w:t xml:space="preserve"> </w:t>
      </w:r>
      <m:oMath>
        <m:sSub>
          <m:e>
            <m:r>
              <m:t>n</m:t>
            </m:r>
          </m:e>
          <m:sub>
            <m:r>
              <m:t>c</m:t>
            </m:r>
          </m:sub>
        </m:sSub>
      </m:oMath>
      <w:r>
        <w:t xml:space="preserve"> </w:t>
      </w:r>
      <w:r>
        <w:t xml:space="preserve">se generó un modelo candidato, cuyo desempeño se evualuó mediante simulación frente a los datos teóricos simulados. Por otra parte, en los modelos de función de transferencia se seleccionaron los polos y ceros que ofrecieron el mejor ajuste, junto con el retraso temporal identificado por MATLAB. En el caso de los modelos FOPDT, al tratarse de una estructura predefinida, se utilizó directamente la función correspondiente del toolbox.</w:t>
      </w:r>
    </w:p>
    <w:p>
      <w:pPr>
        <w:pStyle w:val="BodyText"/>
      </w:pPr>
      <w:r>
        <w:t xml:space="preserve">Con el objetivo de evitar el sobreajuste, la validación de los modelos se realizó mediante un conjunto de datos correspondiente a un segundo</w:t>
      </w:r>
      <w:r>
        <w:t xml:space="preserve"> </w:t>
      </w:r>
      <w:r>
        <w:rPr>
          <w:i/>
          <w:iCs/>
        </w:rPr>
        <w:t xml:space="preserve">step test</w:t>
      </w:r>
      <w:r>
        <w:t xml:space="preserve">. Para aquellos modelos con mayor flexibilidad estructural, como los de espacio de estados, ARX y ARMAX, se realizó una nueva iteración de los parámetros estructurales para mejorar el ajuste al conjunto de validación. En cambio, los modelos de función de transferencia y FOPDT se validaron únicamente mediante la comparación entre las salidas reales y las predicciones del modelo ya identificado.El desempeño de la subrogación, para cada columna del proceso (T-101 y T-102), se evaluó mediante el coeficiente de determinación (</w:t>
      </w:r>
      <m:oMath>
        <m:sSup>
          <m:e>
            <m:r>
              <m:t>R</m:t>
            </m:r>
          </m:e>
          <m:sup>
            <m:r>
              <m:t>2</m:t>
            </m:r>
          </m:sup>
        </m:sSup>
      </m:oMath>
      <w:r>
        <w:t xml:space="preserve">) y el error cuadrático medio (RMSE) entre las salidas del modelo y los datos generados por el modelo riguroso. Estos indicadores permitieron obtener una estimación preliminar del desempeño esperado de los modelos en el esquema de control predictivo.</w:t>
      </w:r>
    </w:p>
    <w:bookmarkEnd w:id="31"/>
    <w:bookmarkStart w:id="32" w:name="Xbc3ca173a08a4fc25e35bcb3bb4e4cd83d0fabb"/>
    <w:p>
      <w:pPr>
        <w:pStyle w:val="Heading3"/>
      </w:pPr>
      <w:r>
        <w:t xml:space="preserve">Métricas de evaluación de los modelos subrogados</w:t>
      </w:r>
    </w:p>
    <w:p>
      <w:pPr>
        <w:pStyle w:val="FirstParagraph"/>
      </w:pPr>
      <w:r>
        <w:t xml:space="preserve">Para evaluar la capacidad de los modelos subrogados de reproducir la dinámica del proceso se emplearon métricas estadísticas de ajuste. En particular, se calcularon el coeficiente de determinación (</w:t>
      </w:r>
      <m:oMath>
        <m:sSup>
          <m:e>
            <m:r>
              <m:t>R</m:t>
            </m:r>
          </m:e>
          <m:sup>
            <m:r>
              <m:t>2</m:t>
            </m:r>
          </m:sup>
        </m:sSup>
      </m:oMath>
      <w:r>
        <w:t xml:space="preserve">) y la raíz del error cuadrático medio (RECM), calculados entre las salidas predichas por el modelo y los datos generados por la simulación rigurosa. Estas métricas se calcularon según las Ecs. </w:t>
      </w:r>
      <w:hyperlink w:anchor="eq:RECM">
        <w:r>
          <w:rPr>
            <w:rStyle w:val="Hyperlink"/>
          </w:rPr>
          <w:t xml:space="preserve">[eq:RECM]</w:t>
        </w:r>
      </w:hyperlink>
      <w:r>
        <w:t xml:space="preserve"> </w:t>
      </w:r>
      <w:r>
        <w:t xml:space="preserve">y</w:t>
      </w:r>
      <w:r>
        <w:t xml:space="preserve"> </w:t>
      </w:r>
      <w:hyperlink w:anchor="eq:R2">
        <w:r>
          <w:rPr>
            <w:rStyle w:val="Hyperlink"/>
          </w:rPr>
          <w:t xml:space="preserve">[eq:R2]</w:t>
        </w:r>
      </w:hyperlink>
      <w:r>
        <w:t xml:space="preserve">:</w:t>
      </w:r>
    </w:p>
    <w:p>
      <w:pPr>
        <w:pStyle w:val="BodyText"/>
      </w:pPr>
      <m:oMathPara>
        <m:oMathParaPr>
          <m:jc m:val="center"/>
        </m:oMathParaPr>
        <m:oMath>
          <m:r>
            <m:rPr>
              <m:sty m:val="p"/>
            </m:rPr>
            <m:t>R</m:t>
          </m:r>
          <m:r>
            <m:rPr>
              <m:sty m:val="p"/>
            </m:rPr>
            <m:t>E</m:t>
          </m:r>
          <m:r>
            <m:rPr>
              <m:sty m:val="p"/>
            </m:rPr>
            <m:t>C</m:t>
          </m:r>
          <m:r>
            <m:rPr>
              <m:sty m:val="p"/>
            </m:rPr>
            <m:t>M</m:t>
          </m:r>
          <m:r>
            <m:rPr>
              <m:sty m:val="p"/>
            </m:rPr>
            <m:t>=</m:t>
          </m:r>
          <m:rad>
            <m:radPr>
              <m:degHide m:val="on"/>
            </m:radPr>
            <m:deg/>
            <m:e>
              <m:f>
                <m:fPr>
                  <m:type m:val="bar"/>
                </m:fPr>
                <m:num>
                  <m:nary>
                    <m:naryPr>
                      <m:chr m:val="∑"/>
                      <m:limLoc m:val="undOvr"/>
                      <m:subHide m:val="off"/>
                      <m:supHide m:val="off"/>
                    </m:naryPr>
                    <m:sub>
                      <m:r>
                        <m:t>n</m:t>
                      </m:r>
                      <m:r>
                        <m:rPr>
                          <m:sty m:val="p"/>
                        </m:rPr>
                        <m:t>=</m:t>
                      </m:r>
                      <m:r>
                        <m:t>1</m:t>
                      </m:r>
                    </m:sub>
                    <m:sup>
                      <m:r>
                        <m:t>N</m:t>
                      </m:r>
                    </m:sup>
                    <m:e>
                      <m:r>
                        <m:t>​</m:t>
                      </m:r>
                    </m:e>
                  </m:nary>
                  <m:sSup>
                    <m:e>
                      <m:d>
                        <m:dPr>
                          <m:begChr m:val="("/>
                          <m:sepChr m:val=""/>
                          <m:endChr m:val=")"/>
                          <m:grow/>
                        </m:dPr>
                        <m:e>
                          <m:sSub>
                            <m:e>
                              <m:acc>
                                <m:accPr>
                                  <m:chr m:val="̂"/>
                                </m:accPr>
                                <m:e>
                                  <m:r>
                                    <m:t>y</m:t>
                                  </m:r>
                                </m:e>
                              </m:acc>
                            </m:e>
                            <m:sub>
                              <m:r>
                                <m:t>n</m:t>
                              </m:r>
                            </m:sub>
                          </m:sSub>
                          <m:r>
                            <m:rPr>
                              <m:sty m:val="p"/>
                            </m:rPr>
                            <m:t>−</m:t>
                          </m:r>
                          <m:sSub>
                            <m:e>
                              <m:r>
                                <m:t>y</m:t>
                              </m:r>
                            </m:e>
                            <m:sub>
                              <m:r>
                                <m:t>n</m:t>
                              </m:r>
                            </m:sub>
                          </m:sSub>
                        </m:e>
                      </m:d>
                    </m:e>
                    <m:sup>
                      <m:r>
                        <m:t>2</m:t>
                      </m:r>
                    </m:sup>
                  </m:sSup>
                </m:num>
                <m:den>
                  <m:r>
                    <m:t>N</m:t>
                  </m:r>
                </m:den>
              </m:f>
            </m:e>
          </m:rad>
        </m:oMath>
      </m:oMathPara>
    </w:p>
    <w:p>
      <w:pPr>
        <w:pStyle w:val="FirstParagraph"/>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n</m:t>
                  </m:r>
                  <m:r>
                    <m:rPr>
                      <m:sty m:val="p"/>
                    </m:rPr>
                    <m:t>=</m:t>
                  </m:r>
                  <m:r>
                    <m:t>1</m:t>
                  </m:r>
                </m:sub>
                <m:sup>
                  <m:r>
                    <m:t>N</m:t>
                  </m:r>
                </m:sup>
                <m:e>
                  <m:r>
                    <m:t>​</m:t>
                  </m:r>
                </m:e>
              </m:nary>
              <m:sSup>
                <m:e>
                  <m:d>
                    <m:dPr>
                      <m:begChr m:val="("/>
                      <m:sepChr m:val=""/>
                      <m:endChr m:val=")"/>
                      <m:grow/>
                    </m:dPr>
                    <m:e>
                      <m:sSub>
                        <m:e>
                          <m:r>
                            <m:t>y</m:t>
                          </m:r>
                        </m:e>
                        <m:sub>
                          <m:r>
                            <m:t>n</m:t>
                          </m:r>
                        </m:sub>
                      </m:sSub>
                      <m:r>
                        <m:rPr>
                          <m:sty m:val="p"/>
                        </m:rPr>
                        <m:t>−</m:t>
                      </m:r>
                      <m:sSub>
                        <m:e>
                          <m:acc>
                            <m:accPr>
                              <m:chr m:val="̂"/>
                            </m:accPr>
                            <m:e>
                              <m:r>
                                <m:t>y</m:t>
                              </m:r>
                            </m:e>
                          </m:acc>
                        </m:e>
                        <m:sub>
                          <m:r>
                            <m:t>n</m:t>
                          </m:r>
                        </m:sub>
                      </m:sSub>
                    </m:e>
                  </m:d>
                </m:e>
                <m:sup>
                  <m:r>
                    <m:t>2</m:t>
                  </m:r>
                </m:sup>
              </m:sSup>
            </m:num>
            <m:den>
              <m:nary>
                <m:naryPr>
                  <m:chr m:val="∑"/>
                  <m:limLoc m:val="undOvr"/>
                  <m:subHide m:val="off"/>
                  <m:supHide m:val="off"/>
                </m:naryPr>
                <m:sub>
                  <m:r>
                    <m:t>n</m:t>
                  </m:r>
                  <m:r>
                    <m:rPr>
                      <m:sty m:val="p"/>
                    </m:rPr>
                    <m:t>=</m:t>
                  </m:r>
                  <m:r>
                    <m:t>1</m:t>
                  </m:r>
                </m:sub>
                <m:sup>
                  <m:r>
                    <m:t>N</m:t>
                  </m:r>
                </m:sup>
                <m:e>
                  <m:r>
                    <m:t>​</m:t>
                  </m:r>
                </m:e>
              </m:nary>
              <m:sSup>
                <m:e>
                  <m:d>
                    <m:dPr>
                      <m:begChr m:val="("/>
                      <m:sepChr m:val=""/>
                      <m:endChr m:val=")"/>
                      <m:grow/>
                    </m:dPr>
                    <m:e>
                      <m:sSub>
                        <m:e>
                          <m:r>
                            <m:t>y</m:t>
                          </m:r>
                        </m:e>
                        <m:sub>
                          <m:r>
                            <m:t>n</m:t>
                          </m:r>
                        </m:sub>
                      </m:sSub>
                      <m:r>
                        <m:rPr>
                          <m:sty m:val="p"/>
                        </m:rPr>
                        <m:t>−</m:t>
                      </m:r>
                      <m:acc>
                        <m:accPr>
                          <m:chr m:val="‾"/>
                        </m:accPr>
                        <m:e>
                          <m:r>
                            <m:t>y</m:t>
                          </m:r>
                        </m:e>
                      </m:acc>
                    </m:e>
                  </m:d>
                </m:e>
                <m:sup>
                  <m:r>
                    <m:t>2</m:t>
                  </m:r>
                </m:sup>
              </m:sSup>
            </m:den>
          </m:f>
        </m:oMath>
      </m:oMathPara>
    </w:p>
    <w:p>
      <w:pPr>
        <w:pStyle w:val="FirstParagraph"/>
      </w:pPr>
      <w:r>
        <w:t xml:space="preserve">donde</w:t>
      </w:r>
      <w:r>
        <w:t xml:space="preserve"> </w:t>
      </w:r>
      <m:oMath>
        <m:r>
          <m:t>N</m:t>
        </m:r>
      </m:oMath>
      <w:r>
        <w:t xml:space="preserve"> </w:t>
      </w:r>
      <w:r>
        <w:t xml:space="preserve">es el número de datos,</w:t>
      </w:r>
      <w:r>
        <w:t xml:space="preserve"> </w:t>
      </w:r>
      <m:oMath>
        <m:sSub>
          <m:e>
            <m:r>
              <m:t>y</m:t>
            </m:r>
          </m:e>
          <m:sub>
            <m:r>
              <m:t>n</m:t>
            </m:r>
          </m:sub>
        </m:sSub>
      </m:oMath>
      <w:r>
        <w:t xml:space="preserve"> </w:t>
      </w:r>
      <w:r>
        <w:t xml:space="preserve">es el valor real,</w:t>
      </w:r>
      <w:r>
        <w:t xml:space="preserve"> </w:t>
      </w:r>
      <m:oMath>
        <m:sSub>
          <m:e>
            <m:acc>
              <m:accPr>
                <m:chr m:val="̂"/>
              </m:accPr>
              <m:e>
                <m:r>
                  <m:t>y</m:t>
                </m:r>
              </m:e>
            </m:acc>
          </m:e>
          <m:sub>
            <m:r>
              <m:t>n</m:t>
            </m:r>
          </m:sub>
        </m:sSub>
      </m:oMath>
      <w:r>
        <w:t xml:space="preserve"> </w:t>
      </w:r>
      <w:r>
        <w:t xml:space="preserve">es el</w:t>
      </w:r>
      <w:r>
        <w:t xml:space="preserve"> </w:t>
      </w:r>
      <w:r>
        <w:t xml:space="preserve">valor predicho por el modelo para el instante</w:t>
      </w:r>
      <w:r>
        <w:t xml:space="preserve"> </w:t>
      </w:r>
      <m:oMath>
        <m:r>
          <m:t>n</m:t>
        </m:r>
      </m:oMath>
      <w:r>
        <w:t xml:space="preserve">, y</w:t>
      </w:r>
      <w:r>
        <w:t xml:space="preserve"> </w:t>
      </w:r>
      <m:oMath>
        <m:acc>
          <m:accPr>
            <m:chr m:val="‾"/>
          </m:accPr>
          <m:e>
            <m:r>
              <m:t>y</m:t>
            </m:r>
          </m:e>
        </m:acc>
      </m:oMath>
      <w:r>
        <w:t xml:space="preserve"> </w:t>
      </w:r>
      <w:r>
        <w:t xml:space="preserve">es la media de los datos reales. Un valor de</w:t>
      </w:r>
      <w:r>
        <w:t xml:space="preserve"> </w:t>
      </w:r>
      <m:oMath>
        <m:sSup>
          <m:e>
            <m:r>
              <m:t>R</m:t>
            </m:r>
          </m:e>
          <m:sup>
            <m:r>
              <m:t>2</m:t>
            </m:r>
          </m:sup>
        </m:sSup>
      </m:oMath>
      <w:r>
        <w:t xml:space="preserve"> </w:t>
      </w:r>
      <w:r>
        <w:t xml:space="preserve">cercano a la unidad indica un ajuste adecuado, mientras que valores bajos de RECM señalan errores de predicción pequeños. Estos indicadores proporcionaron una evaluación previa de la capacidad predictiva de cada estructura, sirviendo de guía para su posterior implementación en el esquema de control.</w:t>
      </w:r>
    </w:p>
    <w:bookmarkEnd w:id="32"/>
    <w:bookmarkEnd w:id="33"/>
    <w:bookmarkStart w:id="41" w:name="X04533bf5f892e54e144d0d79f35975c41e04a5e"/>
    <w:p>
      <w:pPr>
        <w:pStyle w:val="Heading2"/>
      </w:pPr>
      <w:r>
        <w:t xml:space="preserve">Implementación del control MPC y co-simulación</w:t>
      </w:r>
    </w:p>
    <w:p>
      <w:pPr>
        <w:pStyle w:val="FirstParagraph"/>
      </w:pPr>
      <w:r>
        <w:t xml:space="preserve">Con el fin de evaluar el desempeño de los modelos subrogados en un entorno de control</w:t>
      </w:r>
      <w:r>
        <w:t xml:space="preserve"> </w:t>
      </w:r>
      <w:r>
        <w:t xml:space="preserve">real, se implementó un esquema de MPC mediante una co-simulación entre Aspen Plus Dynamics y MATLAB®–Simulink®. En este esquema, la simulación dinámica rigurosa del proceso se ejecuta en Aspen Plus Dynamics, mientras que el controlador MPC opera en Simulink. La comunicación entre ambos entornos se realiza a través de la interfaz ActiveX en cada intervalo de muestreo: Aspen envía a Simulink las mediciones actuales de las variables controladas (temperaturas de etapa), y el controlador calcula las acciones de control, que se devuelven a Aspen como consignas de potencia de los rehervidores y de la razón de reflujo, cerrando así el lazo de control.</w:t>
      </w:r>
    </w:p>
    <w:p>
      <w:pPr>
        <w:pStyle w:val="BodyText"/>
      </w:pPr>
      <w:r>
        <w:t xml:space="preserve">Las variables manipuladas consideradas fueron la potencia de los rehervidores</w:t>
      </w:r>
      <w:r>
        <w:t xml:space="preserve"> </w:t>
      </w:r>
      <w:r>
        <w:t xml:space="preserve">(</w:t>
      </w:r>
      <m:oMath>
        <m:sSub>
          <m:e>
            <m:r>
              <m:t>Q</m:t>
            </m:r>
          </m:e>
          <m:sub>
            <m:r>
              <m:t>R</m:t>
            </m:r>
            <m:r>
              <m:rPr>
                <m:sty m:val="p"/>
              </m:rPr>
              <m:t>,</m:t>
            </m:r>
            <m:r>
              <m:t>T</m:t>
            </m:r>
            <m:r>
              <m:rPr>
                <m:nor/>
                <m:sty m:val="p"/>
              </m:rPr>
              <m:t>-</m:t>
            </m:r>
            <m:r>
              <m:t>101</m:t>
            </m:r>
          </m:sub>
        </m:sSub>
      </m:oMath>
      <w:r>
        <w:t xml:space="preserve">,</w:t>
      </w:r>
      <w:r>
        <w:t xml:space="preserve"> </w:t>
      </w:r>
      <m:oMath>
        <m:sSub>
          <m:e>
            <m:r>
              <m:t>Q</m:t>
            </m:r>
          </m:e>
          <m:sub>
            <m:r>
              <m:t>R</m:t>
            </m:r>
            <m:r>
              <m:rPr>
                <m:sty m:val="p"/>
              </m:rPr>
              <m:t>,</m:t>
            </m:r>
            <m:r>
              <m:t>T</m:t>
            </m:r>
            <m:r>
              <m:rPr>
                <m:nor/>
                <m:sty m:val="p"/>
              </m:rPr>
              <m:t>-</m:t>
            </m:r>
            <m:r>
              <m:t>102</m:t>
            </m:r>
          </m:sub>
        </m:sSub>
      </m:oMath>
      <w:r>
        <w:t xml:space="preserve">) y la razón de reflujo de las columnas</w:t>
      </w:r>
      <w:r>
        <w:t xml:space="preserve"> </w:t>
      </w:r>
      <w:r>
        <w:t xml:space="preserve">(</w:t>
      </w:r>
      <m:oMath>
        <m:r>
          <m:t>R</m:t>
        </m:r>
        <m:sSub>
          <m:e>
            <m:r>
              <m:t>R</m:t>
            </m:r>
          </m:e>
          <m:sub>
            <m:r>
              <m:t>T</m:t>
            </m:r>
            <m:r>
              <m:rPr>
                <m:nor/>
                <m:sty m:val="p"/>
              </m:rPr>
              <m:t>-</m:t>
            </m:r>
            <m:r>
              <m:t>101</m:t>
            </m:r>
          </m:sub>
        </m:sSub>
      </m:oMath>
      <w:r>
        <w:t xml:space="preserve">,</w:t>
      </w:r>
      <w:r>
        <w:t xml:space="preserve"> </w:t>
      </w:r>
      <m:oMath>
        <m:r>
          <m:t>R</m:t>
        </m:r>
        <m:sSub>
          <m:e>
            <m:r>
              <m:t>R</m:t>
            </m:r>
          </m:e>
          <m:sub>
            <m:r>
              <m:t>T</m:t>
            </m:r>
            <m:r>
              <m:rPr>
                <m:nor/>
                <m:sty m:val="p"/>
              </m:rPr>
              <m:t>-</m:t>
            </m:r>
            <m:r>
              <m:t>102</m:t>
            </m:r>
          </m:sub>
        </m:sSub>
      </m:oMath>
      <w:r>
        <w:t xml:space="preserve">), mientras que las variables controladas</w:t>
      </w:r>
      <w:r>
        <w:t xml:space="preserve"> </w:t>
      </w:r>
      <w:r>
        <w:t xml:space="preserve">correspondieron a las temperaturas de etapa</w:t>
      </w:r>
      <w:r>
        <w:t xml:space="preserve"> </w:t>
      </w:r>
      <m:oMath>
        <m:sSub>
          <m:e>
            <m:r>
              <m:t>T</m:t>
            </m:r>
          </m:e>
          <m:sub>
            <m:r>
              <m:t>36</m:t>
            </m:r>
            <m:r>
              <m:rPr>
                <m:sty m:val="p"/>
              </m:rPr>
              <m:t>,</m:t>
            </m:r>
            <m:r>
              <m:t>T</m:t>
            </m:r>
            <m:r>
              <m:rPr>
                <m:nor/>
                <m:sty m:val="p"/>
              </m:rPr>
              <m:t>-</m:t>
            </m:r>
            <m:r>
              <m:t>101</m:t>
            </m:r>
          </m:sub>
        </m:sSub>
      </m:oMath>
      <w:r>
        <w:t xml:space="preserve"> </w:t>
      </w:r>
      <w:r>
        <w:t xml:space="preserve">y</w:t>
      </w:r>
      <w:r>
        <w:t xml:space="preserve"> </w:t>
      </w:r>
      <m:oMath>
        <m:sSub>
          <m:e>
            <m:r>
              <m:t>T</m:t>
            </m:r>
          </m:e>
          <m:sub>
            <m:r>
              <m:t>8</m:t>
            </m:r>
            <m:r>
              <m:rPr>
                <m:sty m:val="p"/>
              </m:rPr>
              <m:t>,</m:t>
            </m:r>
            <m:r>
              <m:t>T</m:t>
            </m:r>
            <m:r>
              <m:rPr>
                <m:nor/>
                <m:sty m:val="p"/>
              </m:rPr>
              <m:t>-</m:t>
            </m:r>
            <m:r>
              <m:t>102</m:t>
            </m:r>
          </m:sub>
        </m:sSub>
      </m:oMath>
      <w:r>
        <w:t xml:space="preserve">. Para evaluar el desempeño del controlador se aplicaron dos perturbaciones tipo escalón en los flujos de alimentación del proceso (un incremento del 10 % respecto al valor nominal para la alimentación y una disminución en el DMSO), sobre un horizonte de simulación de 100 horas. Las perturbaciones se aplicaron en instantes predefinidos dentro del horizonte de simulación para de evaluar la capacidad de rechazo del controlador en condiciones reproducibles. Este horizonte de simulación ademas puede ser considerado el</w:t>
      </w:r>
      <w:r>
        <w:t xml:space="preserve"> </w:t>
      </w:r>
      <m:oMath>
        <m:r>
          <m:t>o</m:t>
        </m:r>
        <m:r>
          <m:t>u</m:t>
        </m:r>
        <m:r>
          <m:t>t</m:t>
        </m:r>
        <m:r>
          <m:t>p</m:t>
        </m:r>
        <m:r>
          <m:t>u</m:t>
        </m:r>
        <m:r>
          <m:t>t</m:t>
        </m:r>
      </m:oMath>
      <w:r>
        <w:t xml:space="preserve"> </w:t>
      </w:r>
      <m:oMath>
        <m:r>
          <m:t>h</m:t>
        </m:r>
        <m:r>
          <m:t>o</m:t>
        </m:r>
        <m:r>
          <m:t>r</m:t>
        </m:r>
        <m:r>
          <m:t>i</m:t>
        </m:r>
        <m:r>
          <m:t>z</m:t>
        </m:r>
        <m:r>
          <m:t>o</m:t>
        </m:r>
        <m:r>
          <m:t>n</m:t>
        </m:r>
      </m:oMath>
      <w:r>
        <w:t xml:space="preserve">, que debe ser lo suficientemente grande como para que el</w:t>
      </w:r>
      <w:r>
        <w:t xml:space="preserve"> </w:t>
      </w:r>
      <m:oMath>
        <m:r>
          <m:t>i</m:t>
        </m:r>
        <m:r>
          <m:t>n</m:t>
        </m:r>
        <m:r>
          <m:t>p</m:t>
        </m:r>
        <m:r>
          <m:t>u</m:t>
        </m:r>
        <m:r>
          <m:t>t</m:t>
        </m:r>
      </m:oMath>
      <w:r>
        <w:t xml:space="preserve"> </w:t>
      </w:r>
      <m:oMath>
        <m:r>
          <m:t>h</m:t>
        </m:r>
        <m:r>
          <m:t>o</m:t>
        </m:r>
        <m:r>
          <m:t>r</m:t>
        </m:r>
        <m:r>
          <m:t>i</m:t>
        </m:r>
        <m:r>
          <m:t>z</m:t>
        </m:r>
        <m:r>
          <m:t>o</m:t>
        </m:r>
        <m:r>
          <m:t>n</m:t>
        </m:r>
      </m:oMath>
      <w:r>
        <w:t xml:space="preserve"> </w:t>
      </w:r>
      <w:r>
        <w:t xml:space="preserve">alcance a modificar las variables manipulables y logre el rechazo de la perturbación.</w:t>
      </w:r>
    </w:p>
    <w:bookmarkStart w:id="37" w:name="fig:1.4_biegler"/>
    <w:p>
      <w:pPr>
        <w:pStyle w:val="CaptionedFigure"/>
      </w:pPr>
      <w:r>
        <w:drawing>
          <wp:inline>
            <wp:extent cx="4267200" cy="2447139"/>
            <wp:effectExtent b="0" l="0" r="0" t="0"/>
            <wp:docPr descr="Figure 2: Ejemplo MISO de la esquematica de un controlador MPC utilizando la T-102." title="" id="35" name="Picture"/>
            <a:graphic>
              <a:graphicData uri="http://schemas.openxmlformats.org/drawingml/2006/picture">
                <pic:pic>
                  <pic:nvPicPr>
                    <pic:cNvPr descr="figures/mpc_T102.png" id="36" name="Picture"/>
                    <pic:cNvPicPr>
                      <a:picLocks noChangeArrowheads="1" noChangeAspect="1"/>
                    </pic:cNvPicPr>
                  </pic:nvPicPr>
                  <pic:blipFill>
                    <a:blip r:embed="rId34"/>
                    <a:stretch>
                      <a:fillRect/>
                    </a:stretch>
                  </pic:blipFill>
                  <pic:spPr bwMode="auto">
                    <a:xfrm>
                      <a:off x="0" y="0"/>
                      <a:ext cx="4267200" cy="2447139"/>
                    </a:xfrm>
                    <a:prstGeom prst="rect">
                      <a:avLst/>
                    </a:prstGeom>
                    <a:noFill/>
                    <a:ln w="9525">
                      <a:noFill/>
                      <a:headEnd/>
                      <a:tailEnd/>
                    </a:ln>
                  </pic:spPr>
                </pic:pic>
              </a:graphicData>
            </a:graphic>
          </wp:inline>
        </w:drawing>
      </w:r>
    </w:p>
    <w:p>
      <w:pPr>
        <w:pStyle w:val="ImageCaption"/>
      </w:pPr>
      <w:r>
        <w:t xml:space="preserve">Figure 2: Ejemplo MISO de la esquematica de un controlador MPC utilizando la T-102.</w:t>
      </w:r>
    </w:p>
    <w:bookmarkEnd w:id="37"/>
    <w:bookmarkStart w:id="38" w:name="subsec:formulacion_mpc"/>
    <w:p>
      <w:pPr>
        <w:pStyle w:val="Heading3"/>
      </w:pPr>
      <w:r>
        <w:t xml:space="preserve">Formulación del problema de optimización MPC</w:t>
      </w:r>
    </w:p>
    <w:p>
      <w:pPr>
        <w:pStyle w:val="FirstParagraph"/>
      </w:pPr>
      <w:r>
        <w:t xml:space="preserve">En cada instante de control</w:t>
      </w:r>
      <w:r>
        <w:t xml:space="preserve"> </w:t>
      </w:r>
      <m:oMath>
        <m:r>
          <m:t>k</m:t>
        </m:r>
      </m:oMath>
      <w:r>
        <w:t xml:space="preserve">, el controlador MPC resuelve un problema de programación cuadrática (QP) sobre un horizonte de predicción</w:t>
      </w:r>
      <w:r>
        <w:t xml:space="preserve"> </w:t>
      </w:r>
      <m:oMath>
        <m:r>
          <m:t>p</m:t>
        </m:r>
      </m:oMath>
      <w:r>
        <w:t xml:space="preserve">. El vector de decisión</w:t>
      </w:r>
      <w:r>
        <w:t xml:space="preserve"> </w:t>
      </w:r>
      <m:oMath>
        <m:sSub>
          <m:e>
            <m:r>
              <m:t>z</m:t>
            </m:r>
          </m:e>
          <m:sub>
            <m:r>
              <m:t>k</m:t>
            </m:r>
          </m:sub>
        </m:sSub>
      </m:oMath>
      <w:r>
        <w:t xml:space="preserve"> </w:t>
      </w:r>
      <w:r>
        <w:t xml:space="preserve">agrupa las acciones de control futuras y la variable de holgura</w:t>
      </w:r>
      <w:r>
        <w:t xml:space="preserve"> </w:t>
      </w:r>
      <m:oMath>
        <m:sSub>
          <m:e>
            <m:r>
              <m:t>ε</m:t>
            </m:r>
          </m:e>
          <m:sub>
            <m:r>
              <m:t>k</m:t>
            </m:r>
          </m:sub>
        </m:sSub>
      </m:oMath>
      <w:r>
        <w:t xml:space="preserve">:</w:t>
      </w:r>
    </w:p>
    <w:p>
      <w:pPr>
        <w:pStyle w:val="BodyText"/>
      </w:pPr>
      <m:oMathPara>
        <m:oMathParaPr>
          <m:jc m:val="center"/>
        </m:oMathParaPr>
        <m:oMath>
          <m:sSubSup>
            <m:e>
              <m:r>
                <m:t>z</m:t>
              </m:r>
            </m:e>
            <m:sub>
              <m:r>
                <m:t>k</m:t>
              </m:r>
            </m:sub>
            <m:sup>
              <m:r>
                <m:t>T</m:t>
              </m:r>
            </m:sup>
          </m:sSubSup>
          <m:r>
            <m:rPr>
              <m:sty m:val="p"/>
            </m:rPr>
            <m:t>=</m:t>
          </m:r>
          <m:d>
            <m:dPr>
              <m:begChr m:val="["/>
              <m:sepChr m:val=""/>
              <m:endChr m:val="]"/>
              <m:grow/>
            </m:dPr>
            <m:e>
              <m:r>
                <m:t>u</m:t>
              </m:r>
              <m:r>
                <m:rPr>
                  <m:sty m:val="p"/>
                </m:rPr>
                <m:t>(</m:t>
              </m:r>
              <m:r>
                <m:t>k</m:t>
              </m:r>
              <m:r>
                <m:rPr>
                  <m:sty m:val="p"/>
                </m:rPr>
                <m:t>|</m:t>
              </m:r>
              <m:r>
                <m:t>k</m:t>
              </m:r>
              <m:sSup>
                <m:e>
                  <m:r>
                    <m:rPr>
                      <m:sty m:val="p"/>
                    </m:rPr>
                    <m:t>)</m:t>
                  </m:r>
                </m:e>
                <m:sup>
                  <m:r>
                    <m:t>T</m:t>
                  </m:r>
                </m:sup>
              </m:sSup>
              <m:r>
                <m:rPr>
                  <m:sty m:val="p"/>
                </m:rPr>
                <m:t>,</m:t>
              </m:r>
              <m:r>
                <m:t> </m:t>
              </m:r>
              <m:r>
                <m:t>u</m:t>
              </m:r>
              <m:r>
                <m:rPr>
                  <m:sty m:val="p"/>
                </m:rPr>
                <m:t>(</m:t>
              </m:r>
              <m:r>
                <m:t>k</m:t>
              </m:r>
              <m:r>
                <m:rPr>
                  <m:sty m:val="p"/>
                </m:rPr>
                <m:t>+</m:t>
              </m:r>
              <m:r>
                <m:t>1</m:t>
              </m:r>
              <m:r>
                <m:rPr>
                  <m:sty m:val="p"/>
                </m:rPr>
                <m:t>|</m:t>
              </m:r>
              <m:r>
                <m:t>k</m:t>
              </m:r>
              <m:sSup>
                <m:e>
                  <m:r>
                    <m:rPr>
                      <m:sty m:val="p"/>
                    </m:rPr>
                    <m:t>)</m:t>
                  </m:r>
                </m:e>
                <m:sup>
                  <m:r>
                    <m:t>T</m:t>
                  </m:r>
                </m:sup>
              </m:sSup>
              <m:r>
                <m:rPr>
                  <m:sty m:val="p"/>
                </m:rPr>
                <m:t>,</m:t>
              </m:r>
              <m:r>
                <m:t> </m:t>
              </m:r>
              <m:r>
                <m:rPr>
                  <m:sty m:val="p"/>
                </m:rPr>
                <m:t>…</m:t>
              </m:r>
              <m:r>
                <m:rPr>
                  <m:sty m:val="p"/>
                </m:rPr>
                <m:t>,</m:t>
              </m:r>
              <m:r>
                <m:t> </m:t>
              </m:r>
              <m:r>
                <m:t>u</m:t>
              </m:r>
              <m:r>
                <m:rPr>
                  <m:sty m:val="p"/>
                </m:rPr>
                <m:t>(</m:t>
              </m:r>
              <m:r>
                <m:t>k</m:t>
              </m:r>
              <m:r>
                <m:rPr>
                  <m:sty m:val="p"/>
                </m:rPr>
                <m:t>+</m:t>
              </m:r>
              <m:r>
                <m:t>p</m:t>
              </m:r>
              <m:r>
                <m:rPr>
                  <m:sty m:val="p"/>
                </m:rPr>
                <m:t>−</m:t>
              </m:r>
              <m:r>
                <m:t>1</m:t>
              </m:r>
              <m:r>
                <m:rPr>
                  <m:sty m:val="p"/>
                </m:rPr>
                <m:t>|</m:t>
              </m:r>
              <m:r>
                <m:t>k</m:t>
              </m:r>
              <m:sSup>
                <m:e>
                  <m:r>
                    <m:rPr>
                      <m:sty m:val="p"/>
                    </m:rPr>
                    <m:t>)</m:t>
                  </m:r>
                </m:e>
                <m:sup>
                  <m:r>
                    <m:t>T</m:t>
                  </m:r>
                </m:sup>
              </m:sSup>
              <m:r>
                <m:rPr>
                  <m:sty m:val="p"/>
                </m:rPr>
                <m:t>,</m:t>
              </m:r>
              <m:r>
                <m:t> </m:t>
              </m:r>
              <m:sSub>
                <m:e>
                  <m:r>
                    <m:t>ε</m:t>
                  </m:r>
                </m:e>
                <m:sub>
                  <m:r>
                    <m:t>k</m:t>
                  </m:r>
                </m:sub>
              </m:sSub>
            </m:e>
          </m:d>
        </m:oMath>
      </m:oMathPara>
    </w:p>
    <w:p>
      <w:pPr>
        <w:pStyle w:val="FirstParagraph"/>
      </w:pPr>
      <w:r>
        <w:t xml:space="preserve">El problema de optimización minimiza la función de costo compuesta:</w:t>
      </w:r>
    </w:p>
    <w:p>
      <w:pPr>
        <w:pStyle w:val="BodyText"/>
      </w:pPr>
      <m:oMathPara>
        <m:oMathParaPr>
          <m:jc m:val="center"/>
        </m:oMathParaPr>
        <m:oMath>
          <m:limLow>
            <m:e>
              <m:r>
                <m:rPr>
                  <m:sty m:val="p"/>
                </m:rPr>
                <m:t>min</m:t>
              </m:r>
            </m:e>
            <m:lim>
              <m:sSub>
                <m:e>
                  <m:r>
                    <m:t>z</m:t>
                  </m:r>
                </m:e>
                <m:sub>
                  <m:r>
                    <m:t>k</m:t>
                  </m:r>
                </m:sub>
              </m:sSub>
            </m:lim>
          </m:limLow>
          <m:r>
            <m:t> </m:t>
          </m:r>
          <m:r>
            <m:t>J</m:t>
          </m:r>
          <m:r>
            <m:rPr>
              <m:sty m:val="p"/>
            </m:rPr>
            <m:t>(</m:t>
          </m:r>
          <m:sSub>
            <m:e>
              <m:r>
                <m:t>z</m:t>
              </m:r>
            </m:e>
            <m:sub>
              <m:r>
                <m:t>k</m:t>
              </m:r>
            </m:sub>
          </m:sSub>
          <m:r>
            <m:rPr>
              <m:sty m:val="p"/>
            </m:rPr>
            <m:t>)</m:t>
          </m:r>
          <m:r>
            <m:rPr>
              <m:sty m:val="p"/>
            </m:rPr>
            <m:t>=</m:t>
          </m:r>
          <m:sSub>
            <m:e>
              <m:r>
                <m:t>J</m:t>
              </m:r>
            </m:e>
            <m:sub>
              <m:r>
                <m:t>y</m:t>
              </m:r>
            </m:sub>
          </m:sSub>
          <m:r>
            <m:rPr>
              <m:sty m:val="p"/>
            </m:rPr>
            <m:t>(</m:t>
          </m:r>
          <m:sSub>
            <m:e>
              <m:r>
                <m:t>z</m:t>
              </m:r>
            </m:e>
            <m:sub>
              <m:r>
                <m:t>k</m:t>
              </m:r>
            </m:sub>
          </m:sSub>
          <m:r>
            <m:rPr>
              <m:sty m:val="p"/>
            </m:rPr>
            <m:t>)</m:t>
          </m:r>
          <m:r>
            <m:rPr>
              <m:sty m:val="p"/>
            </m:rPr>
            <m:t>+</m:t>
          </m:r>
          <m:sSub>
            <m:e>
              <m:r>
                <m:t>J</m:t>
              </m:r>
            </m:e>
            <m:sub>
              <m:r>
                <m:t>u</m:t>
              </m:r>
            </m:sub>
          </m:sSub>
          <m:r>
            <m:rPr>
              <m:sty m:val="p"/>
            </m:rPr>
            <m:t>(</m:t>
          </m:r>
          <m:sSub>
            <m:e>
              <m:r>
                <m:t>z</m:t>
              </m:r>
            </m:e>
            <m:sub>
              <m:r>
                <m:t>k</m:t>
              </m:r>
            </m:sub>
          </m:sSub>
          <m:r>
            <m:rPr>
              <m:sty m:val="p"/>
            </m:rPr>
            <m:t>)</m:t>
          </m:r>
          <m:r>
            <m:rPr>
              <m:sty m:val="p"/>
            </m:rPr>
            <m:t>+</m:t>
          </m:r>
          <m:sSub>
            <m:e>
              <m:r>
                <m:t>J</m:t>
              </m:r>
            </m:e>
            <m:sub>
              <m:r>
                <m:rPr>
                  <m:sty m:val="p"/>
                </m:rPr>
                <m:t>Δ</m:t>
              </m:r>
              <m:r>
                <m:t>u</m:t>
              </m:r>
            </m:sub>
          </m:sSub>
          <m:r>
            <m:rPr>
              <m:sty m:val="p"/>
            </m:rPr>
            <m:t>(</m:t>
          </m:r>
          <m:sSub>
            <m:e>
              <m:r>
                <m:t>z</m:t>
              </m:r>
            </m:e>
            <m:sub>
              <m:r>
                <m:t>k</m:t>
              </m:r>
            </m:sub>
          </m:sSub>
          <m:r>
            <m:rPr>
              <m:sty m:val="p"/>
            </m:rPr>
            <m:t>)</m:t>
          </m:r>
          <m:r>
            <m:rPr>
              <m:sty m:val="p"/>
            </m:rPr>
            <m:t>+</m:t>
          </m:r>
          <m:sSub>
            <m:e>
              <m:r>
                <m:t>J</m:t>
              </m:r>
            </m:e>
            <m:sub>
              <m:r>
                <m:t>ε</m:t>
              </m:r>
            </m:sub>
          </m:sSub>
          <m:r>
            <m:rPr>
              <m:sty m:val="p"/>
            </m:rPr>
            <m:t>(</m:t>
          </m:r>
          <m:sSub>
            <m:e>
              <m:r>
                <m:t>z</m:t>
              </m:r>
            </m:e>
            <m:sub>
              <m:r>
                <m:t>k</m:t>
              </m:r>
            </m:sub>
          </m:sSub>
          <m:r>
            <m:rPr>
              <m:sty m:val="p"/>
            </m:rPr>
            <m:t>)</m:t>
          </m:r>
        </m:oMath>
      </m:oMathPara>
    </w:p>
    <w:p>
      <w:pPr>
        <w:pStyle w:val="FirstParagraph"/>
      </w:pPr>
      <w:r>
        <w:t xml:space="preserve">donde cada término penaliza un aspecto distinto del desempeño del controlador. El término</w:t>
      </w:r>
      <w:r>
        <w:t xml:space="preserve"> </w:t>
      </w:r>
      <m:oMath>
        <m:sSub>
          <m:e>
            <m:r>
              <m:t>J</m:t>
            </m:r>
          </m:e>
          <m:sub>
            <m:r>
              <m:t>y</m:t>
            </m:r>
          </m:sub>
        </m:sSub>
      </m:oMath>
      <w:r>
        <w:t xml:space="preserve"> </w:t>
      </w:r>
      <w:r>
        <w:t xml:space="preserve">cuantifica el error entre la trayectoria predicha y la referencia:</w:t>
      </w:r>
    </w:p>
    <w:p>
      <w:pPr>
        <w:pStyle w:val="BodyText"/>
      </w:pPr>
      <m:oMathPara>
        <m:oMathParaPr>
          <m:jc m:val="center"/>
        </m:oMathParaPr>
        <m:oMath>
          <m:sSub>
            <m:e>
              <m:r>
                <m:t>J</m:t>
              </m:r>
            </m:e>
            <m:sub>
              <m:r>
                <m:t>y</m:t>
              </m:r>
            </m:sub>
          </m:sSub>
          <m:r>
            <m:rPr>
              <m:sty m:val="p"/>
            </m:rPr>
            <m:t>(</m:t>
          </m:r>
          <m:sSub>
            <m:e>
              <m:r>
                <m:t>z</m:t>
              </m:r>
            </m:e>
            <m:sub>
              <m:r>
                <m:t>k</m:t>
              </m:r>
            </m:sub>
          </m:sSub>
          <m:r>
            <m:rPr>
              <m:sty m:val="p"/>
            </m:rPr>
            <m:t>)</m:t>
          </m:r>
          <m:r>
            <m:rPr>
              <m:sty m:val="p"/>
            </m:rPr>
            <m:t>=</m:t>
          </m:r>
          <m:nary>
            <m:naryPr>
              <m:chr m:val="∑"/>
              <m:limLoc m:val="undOvr"/>
              <m:subHide m:val="off"/>
              <m:supHide m:val="off"/>
            </m:naryPr>
            <m:sub>
              <m:r>
                <m:t>j</m:t>
              </m:r>
              <m:r>
                <m:rPr>
                  <m:sty m:val="p"/>
                </m:rPr>
                <m:t>=</m:t>
              </m:r>
              <m:r>
                <m:t>1</m:t>
              </m:r>
            </m:sub>
            <m:sup>
              <m:sSub>
                <m:e>
                  <m:r>
                    <m:t>n</m:t>
                  </m:r>
                </m:e>
                <m:sub>
                  <m:r>
                    <m:t>y</m:t>
                  </m:r>
                </m:sub>
              </m:sSub>
            </m:sup>
            <m:e>
              <m:nary>
                <m:naryPr>
                  <m:chr m:val="∑"/>
                  <m:limLoc m:val="undOvr"/>
                  <m:subHide m:val="off"/>
                  <m:supHide m:val="off"/>
                </m:naryPr>
                <m:sub>
                  <m:r>
                    <m:t>i</m:t>
                  </m:r>
                  <m:r>
                    <m:rPr>
                      <m:sty m:val="p"/>
                    </m:rPr>
                    <m:t>=</m:t>
                  </m:r>
                  <m:r>
                    <m:t>1</m:t>
                  </m:r>
                </m:sub>
                <m:sup>
                  <m:r>
                    <m:t>p</m:t>
                  </m:r>
                </m:sup>
                <m:e>
                  <m:sSup>
                    <m:e>
                      <m:d>
                        <m:dPr>
                          <m:begChr m:val="{"/>
                          <m:sepChr m:val=""/>
                          <m:endChr m:val="}"/>
                          <m:grow/>
                        </m:dPr>
                        <m:e>
                          <m:f>
                            <m:fPr>
                              <m:type m:val="bar"/>
                            </m:fPr>
                            <m:num>
                              <m:sSubSup>
                                <m:e>
                                  <m:r>
                                    <m:t>w</m:t>
                                  </m:r>
                                </m:e>
                                <m:sub>
                                  <m:r>
                                    <m:t>i</m:t>
                                  </m:r>
                                  <m:r>
                                    <m:rPr>
                                      <m:sty m:val="p"/>
                                    </m:rPr>
                                    <m:t>,</m:t>
                                  </m:r>
                                  <m:r>
                                    <m:t>j</m:t>
                                  </m:r>
                                </m:sub>
                                <m:sup>
                                  <m:r>
                                    <m:t>y</m:t>
                                  </m:r>
                                </m:sup>
                              </m:sSubSup>
                            </m:num>
                            <m:den>
                              <m:sSubSup>
                                <m:e>
                                  <m:r>
                                    <m:t>s</m:t>
                                  </m:r>
                                </m:e>
                                <m:sub>
                                  <m:r>
                                    <m:t>j</m:t>
                                  </m:r>
                                </m:sub>
                                <m:sup>
                                  <m:r>
                                    <m:t>y</m:t>
                                  </m:r>
                                </m:sup>
                              </m:sSubSup>
                            </m:den>
                          </m:f>
                          <m:r>
                            <m:rPr>
                              <m:sty m:val="p"/>
                            </m:rPr>
                            <m:t>[</m:t>
                          </m:r>
                          <m:sSub>
                            <m:e>
                              <m:r>
                                <m:t>r</m:t>
                              </m:r>
                            </m:e>
                            <m:sub>
                              <m:r>
                                <m:t>j</m:t>
                              </m:r>
                            </m:sub>
                          </m:sSub>
                          <m:r>
                            <m:rPr>
                              <m:sty m:val="p"/>
                            </m:rPr>
                            <m:t>(</m:t>
                          </m:r>
                          <m:r>
                            <m:t>k</m:t>
                          </m:r>
                          <m:r>
                            <m:rPr>
                              <m:sty m:val="p"/>
                            </m:rPr>
                            <m:t>+</m:t>
                          </m:r>
                          <m:r>
                            <m:t>i</m:t>
                          </m:r>
                          <m:r>
                            <m:rPr>
                              <m:sty m:val="p"/>
                            </m:rPr>
                            <m:t>|</m:t>
                          </m:r>
                          <m:r>
                            <m:t>k</m:t>
                          </m:r>
                          <m:r>
                            <m:rPr>
                              <m:sty m:val="p"/>
                            </m:rPr>
                            <m:t>)</m:t>
                          </m:r>
                          <m:r>
                            <m:rPr>
                              <m:sty m:val="p"/>
                            </m:rPr>
                            <m:t>−</m:t>
                          </m:r>
                          <m:sSub>
                            <m:e>
                              <m:r>
                                <m:t>y</m:t>
                              </m:r>
                            </m:e>
                            <m:sub>
                              <m:r>
                                <m:t>j</m:t>
                              </m:r>
                            </m:sub>
                          </m:sSub>
                          <m:r>
                            <m:rPr>
                              <m:sty m:val="p"/>
                            </m:rPr>
                            <m:t>(</m:t>
                          </m:r>
                          <m:r>
                            <m:t>k</m:t>
                          </m:r>
                          <m:r>
                            <m:rPr>
                              <m:sty m:val="p"/>
                            </m:rPr>
                            <m:t>+</m:t>
                          </m:r>
                          <m:r>
                            <m:t>i</m:t>
                          </m:r>
                          <m:r>
                            <m:rPr>
                              <m:sty m:val="p"/>
                            </m:rPr>
                            <m:t>|</m:t>
                          </m:r>
                          <m:r>
                            <m:t>k</m:t>
                          </m:r>
                          <m:r>
                            <m:rPr>
                              <m:sty m:val="p"/>
                            </m:rPr>
                            <m:t>)</m:t>
                          </m:r>
                          <m:r>
                            <m:rPr>
                              <m:sty m:val="p"/>
                            </m:rPr>
                            <m:t>]</m:t>
                          </m:r>
                        </m:e>
                      </m:d>
                    </m:e>
                    <m:sup>
                      <m:r>
                        <m:t>2</m:t>
                      </m:r>
                    </m:sup>
                  </m:sSup>
                </m:e>
              </m:nary>
            </m:e>
          </m:nary>
        </m:oMath>
      </m:oMathPara>
    </w:p>
    <w:p>
      <w:pPr>
        <w:pStyle w:val="FirstParagraph"/>
      </w:pPr>
      <w:r>
        <w:t xml:space="preserve">El término</w:t>
      </w:r>
      <w:r>
        <w:t xml:space="preserve"> </w:t>
      </w:r>
      <m:oMath>
        <m:sSub>
          <m:e>
            <m:r>
              <m:t>J</m:t>
            </m:r>
          </m:e>
          <m:sub>
            <m:r>
              <m:t>u</m:t>
            </m:r>
          </m:sub>
        </m:sSub>
      </m:oMath>
      <w:r>
        <w:t xml:space="preserve"> </w:t>
      </w:r>
      <w:r>
        <w:t xml:space="preserve">penaliza las desviaciones de las variables manipuladas respecto a su</w:t>
      </w:r>
      <w:r>
        <w:t xml:space="preserve"> </w:t>
      </w:r>
      <w:r>
        <w:t xml:space="preserve">valor objetivo en estado estable:</w:t>
      </w:r>
    </w:p>
    <w:p>
      <w:pPr>
        <w:pStyle w:val="BodyText"/>
      </w:pPr>
      <m:oMathPara>
        <m:oMathParaPr>
          <m:jc m:val="center"/>
        </m:oMathParaPr>
        <m:oMath>
          <m:sSub>
            <m:e>
              <m:r>
                <m:t>J</m:t>
              </m:r>
            </m:e>
            <m:sub>
              <m:r>
                <m:t>u</m:t>
              </m:r>
            </m:sub>
          </m:sSub>
          <m:r>
            <m:rPr>
              <m:sty m:val="p"/>
            </m:rPr>
            <m:t>(</m:t>
          </m:r>
          <m:sSub>
            <m:e>
              <m:r>
                <m:t>z</m:t>
              </m:r>
            </m:e>
            <m:sub>
              <m:r>
                <m:t>k</m:t>
              </m:r>
            </m:sub>
          </m:sSub>
          <m:r>
            <m:rPr>
              <m:sty m:val="p"/>
            </m:rPr>
            <m:t>)</m:t>
          </m:r>
          <m:r>
            <m:rPr>
              <m:sty m:val="p"/>
            </m:rPr>
            <m:t>=</m:t>
          </m:r>
          <m:nary>
            <m:naryPr>
              <m:chr m:val="∑"/>
              <m:limLoc m:val="undOvr"/>
              <m:subHide m:val="off"/>
              <m:supHide m:val="off"/>
            </m:naryPr>
            <m:sub>
              <m:r>
                <m:t>j</m:t>
              </m:r>
              <m:r>
                <m:rPr>
                  <m:sty m:val="p"/>
                </m:rPr>
                <m:t>=</m:t>
              </m:r>
              <m:r>
                <m:t>1</m:t>
              </m:r>
            </m:sub>
            <m:sup>
              <m:sSub>
                <m:e>
                  <m:r>
                    <m:t>n</m:t>
                  </m:r>
                </m:e>
                <m:sub>
                  <m:r>
                    <m:t>u</m:t>
                  </m:r>
                </m:sub>
              </m:sSub>
            </m:sup>
            <m:e>
              <m:nary>
                <m:naryPr>
                  <m:chr m:val="∑"/>
                  <m:limLoc m:val="undOvr"/>
                  <m:subHide m:val="off"/>
                  <m:supHide m:val="off"/>
                </m:naryPr>
                <m:sub>
                  <m:r>
                    <m:t>i</m:t>
                  </m:r>
                  <m:r>
                    <m:rPr>
                      <m:sty m:val="p"/>
                    </m:rPr>
                    <m:t>=</m:t>
                  </m:r>
                  <m:r>
                    <m:t>1</m:t>
                  </m:r>
                </m:sub>
                <m:sup>
                  <m:r>
                    <m:t>p</m:t>
                  </m:r>
                  <m:r>
                    <m:rPr>
                      <m:sty m:val="p"/>
                    </m:rPr>
                    <m:t>−</m:t>
                  </m:r>
                  <m:r>
                    <m:t>1</m:t>
                  </m:r>
                </m:sup>
                <m:e>
                  <m:sSup>
                    <m:e>
                      <m:d>
                        <m:dPr>
                          <m:begChr m:val="{"/>
                          <m:sepChr m:val=""/>
                          <m:endChr m:val="}"/>
                          <m:grow/>
                        </m:dPr>
                        <m:e>
                          <m:f>
                            <m:fPr>
                              <m:type m:val="bar"/>
                            </m:fPr>
                            <m:num>
                              <m:sSubSup>
                                <m:e>
                                  <m:r>
                                    <m:t>w</m:t>
                                  </m:r>
                                </m:e>
                                <m:sub>
                                  <m:r>
                                    <m:t>i</m:t>
                                  </m:r>
                                  <m:r>
                                    <m:rPr>
                                      <m:sty m:val="p"/>
                                    </m:rPr>
                                    <m:t>,</m:t>
                                  </m:r>
                                  <m:r>
                                    <m:t>j</m:t>
                                  </m:r>
                                </m:sub>
                                <m:sup>
                                  <m:r>
                                    <m:t>u</m:t>
                                  </m:r>
                                </m:sup>
                              </m:sSubSup>
                            </m:num>
                            <m:den>
                              <m:sSubSup>
                                <m:e>
                                  <m:r>
                                    <m:t>s</m:t>
                                  </m:r>
                                </m:e>
                                <m:sub>
                                  <m:r>
                                    <m:t>j</m:t>
                                  </m:r>
                                </m:sub>
                                <m:sup>
                                  <m:r>
                                    <m:t>u</m:t>
                                  </m:r>
                                </m:sup>
                              </m:sSubSup>
                            </m:den>
                          </m:f>
                          <m:r>
                            <m:rPr>
                              <m:sty m:val="p"/>
                            </m:rPr>
                            <m:t>[</m:t>
                          </m:r>
                          <m:sSub>
                            <m:e>
                              <m:r>
                                <m:t>u</m:t>
                              </m:r>
                            </m:e>
                            <m:sub>
                              <m:r>
                                <m:t>j</m:t>
                              </m:r>
                            </m:sub>
                          </m:sSub>
                          <m:r>
                            <m:rPr>
                              <m:sty m:val="p"/>
                            </m:rPr>
                            <m:t>(</m:t>
                          </m:r>
                          <m:r>
                            <m:t>k</m:t>
                          </m:r>
                          <m:r>
                            <m:rPr>
                              <m:sty m:val="p"/>
                            </m:rPr>
                            <m:t>+</m:t>
                          </m:r>
                          <m:r>
                            <m:t>i</m:t>
                          </m:r>
                          <m:r>
                            <m:rPr>
                              <m:sty m:val="p"/>
                            </m:rPr>
                            <m:t>|</m:t>
                          </m:r>
                          <m:r>
                            <m:t>k</m:t>
                          </m:r>
                          <m:r>
                            <m:rPr>
                              <m:sty m:val="p"/>
                            </m:rPr>
                            <m:t>)</m:t>
                          </m:r>
                          <m:r>
                            <m:rPr>
                              <m:sty m:val="p"/>
                            </m:rPr>
                            <m:t>−</m:t>
                          </m:r>
                          <m:sSub>
                            <m:e>
                              <m:r>
                                <m:t>u</m:t>
                              </m:r>
                            </m:e>
                            <m:sub>
                              <m:r>
                                <m:t>j</m:t>
                              </m:r>
                              <m:r>
                                <m:rPr>
                                  <m:sty m:val="p"/>
                                </m:rPr>
                                <m:t>,</m:t>
                              </m:r>
                              <m:r>
                                <m:rPr>
                                  <m:sty m:val="p"/>
                                </m:rPr>
                                <m:t>t</m:t>
                              </m:r>
                              <m:r>
                                <m:rPr>
                                  <m:sty m:val="p"/>
                                </m:rPr>
                                <m:t>a</m:t>
                              </m:r>
                              <m:r>
                                <m:rPr>
                                  <m:sty m:val="p"/>
                                </m:rPr>
                                <m:t>r</m:t>
                              </m:r>
                              <m:r>
                                <m:rPr>
                                  <m:sty m:val="p"/>
                                </m:rPr>
                                <m:t>g</m:t>
                              </m:r>
                              <m:r>
                                <m:rPr>
                                  <m:sty m:val="p"/>
                                </m:rPr>
                                <m:t>e</m:t>
                              </m:r>
                              <m:r>
                                <m:rPr>
                                  <m:sty m:val="p"/>
                                </m:rPr>
                                <m:t>t</m:t>
                              </m:r>
                            </m:sub>
                          </m:sSub>
                          <m:r>
                            <m:rPr>
                              <m:sty m:val="p"/>
                            </m:rPr>
                            <m:t>(</m:t>
                          </m:r>
                          <m:r>
                            <m:t>k</m:t>
                          </m:r>
                          <m:r>
                            <m:rPr>
                              <m:sty m:val="p"/>
                            </m:rPr>
                            <m:t>+</m:t>
                          </m:r>
                          <m:r>
                            <m:t>i</m:t>
                          </m:r>
                          <m:r>
                            <m:rPr>
                              <m:sty m:val="p"/>
                            </m:rPr>
                            <m:t>|</m:t>
                          </m:r>
                          <m:r>
                            <m:t>k</m:t>
                          </m:r>
                          <m:r>
                            <m:rPr>
                              <m:sty m:val="p"/>
                            </m:rPr>
                            <m:t>)</m:t>
                          </m:r>
                          <m:r>
                            <m:rPr>
                              <m:sty m:val="p"/>
                            </m:rPr>
                            <m:t>]</m:t>
                          </m:r>
                        </m:e>
                      </m:d>
                    </m:e>
                    <m:sup>
                      <m:r>
                        <m:t>2</m:t>
                      </m:r>
                    </m:sup>
                  </m:sSup>
                </m:e>
              </m:nary>
            </m:e>
          </m:nary>
        </m:oMath>
      </m:oMathPara>
    </w:p>
    <w:p>
      <w:pPr>
        <w:pStyle w:val="FirstParagraph"/>
      </w:pPr>
      <w:r>
        <w:t xml:space="preserve">El término</w:t>
      </w:r>
      <w:r>
        <w:t xml:space="preserve"> </w:t>
      </w:r>
      <m:oMath>
        <m:sSub>
          <m:e>
            <m:r>
              <m:t>J</m:t>
            </m:r>
          </m:e>
          <m:sub>
            <m:r>
              <m:rPr>
                <m:sty m:val="p"/>
              </m:rPr>
              <m:t>Δ</m:t>
            </m:r>
            <m:r>
              <m:t>u</m:t>
            </m:r>
          </m:sub>
        </m:sSub>
      </m:oMath>
      <w:r>
        <w:t xml:space="preserve"> </w:t>
      </w:r>
      <w:r>
        <w:t xml:space="preserve">penaliza los cambios bruscos en las acciones de control,</w:t>
      </w:r>
      <w:r>
        <w:t xml:space="preserve"> </w:t>
      </w:r>
      <w:r>
        <w:t xml:space="preserve">favoreciendo trayectorias suaves de las variables manipuladas:</w:t>
      </w:r>
    </w:p>
    <w:p>
      <w:pPr>
        <w:pStyle w:val="BodyText"/>
      </w:pPr>
      <m:oMathPara>
        <m:oMathParaPr>
          <m:jc m:val="center"/>
        </m:oMathParaPr>
        <m:oMath>
          <m:sSub>
            <m:e>
              <m:r>
                <m:t>J</m:t>
              </m:r>
            </m:e>
            <m:sub>
              <m:r>
                <m:rPr>
                  <m:sty m:val="p"/>
                </m:rPr>
                <m:t>Δ</m:t>
              </m:r>
              <m:r>
                <m:t>u</m:t>
              </m:r>
            </m:sub>
          </m:sSub>
          <m:r>
            <m:rPr>
              <m:sty m:val="p"/>
            </m:rPr>
            <m:t>(</m:t>
          </m:r>
          <m:sSub>
            <m:e>
              <m:r>
                <m:t>z</m:t>
              </m:r>
            </m:e>
            <m:sub>
              <m:r>
                <m:t>k</m:t>
              </m:r>
            </m:sub>
          </m:sSub>
          <m:r>
            <m:rPr>
              <m:sty m:val="p"/>
            </m:rPr>
            <m:t>)</m:t>
          </m:r>
          <m:r>
            <m:rPr>
              <m:sty m:val="p"/>
            </m:rPr>
            <m:t>=</m:t>
          </m:r>
          <m:nary>
            <m:naryPr>
              <m:chr m:val="∑"/>
              <m:limLoc m:val="undOvr"/>
              <m:subHide m:val="off"/>
              <m:supHide m:val="off"/>
            </m:naryPr>
            <m:sub>
              <m:r>
                <m:t>j</m:t>
              </m:r>
              <m:r>
                <m:rPr>
                  <m:sty m:val="p"/>
                </m:rPr>
                <m:t>=</m:t>
              </m:r>
              <m:r>
                <m:t>1</m:t>
              </m:r>
            </m:sub>
            <m:sup>
              <m:sSub>
                <m:e>
                  <m:r>
                    <m:t>n</m:t>
                  </m:r>
                </m:e>
                <m:sub>
                  <m:r>
                    <m:t>u</m:t>
                  </m:r>
                </m:sub>
              </m:sSub>
            </m:sup>
            <m:e>
              <m:nary>
                <m:naryPr>
                  <m:chr m:val="∑"/>
                  <m:limLoc m:val="undOvr"/>
                  <m:subHide m:val="off"/>
                  <m:supHide m:val="off"/>
                </m:naryPr>
                <m:sub>
                  <m:r>
                    <m:t>i</m:t>
                  </m:r>
                  <m:r>
                    <m:rPr>
                      <m:sty m:val="p"/>
                    </m:rPr>
                    <m:t>=</m:t>
                  </m:r>
                  <m:r>
                    <m:t>1</m:t>
                  </m:r>
                </m:sub>
                <m:sup>
                  <m:r>
                    <m:t>p</m:t>
                  </m:r>
                  <m:r>
                    <m:rPr>
                      <m:sty m:val="p"/>
                    </m:rPr>
                    <m:t>−</m:t>
                  </m:r>
                  <m:r>
                    <m:t>1</m:t>
                  </m:r>
                </m:sup>
                <m:e>
                  <m:sSup>
                    <m:e>
                      <m:d>
                        <m:dPr>
                          <m:begChr m:val="{"/>
                          <m:sepChr m:val=""/>
                          <m:endChr m:val="}"/>
                          <m:grow/>
                        </m:dPr>
                        <m:e>
                          <m:f>
                            <m:fPr>
                              <m:type m:val="bar"/>
                            </m:fPr>
                            <m:num>
                              <m:sSubSup>
                                <m:e>
                                  <m:r>
                                    <m:t>w</m:t>
                                  </m:r>
                                </m:e>
                                <m:sub>
                                  <m:r>
                                    <m:t>i</m:t>
                                  </m:r>
                                  <m:r>
                                    <m:rPr>
                                      <m:sty m:val="p"/>
                                    </m:rPr>
                                    <m:t>,</m:t>
                                  </m:r>
                                  <m:r>
                                    <m:t>j</m:t>
                                  </m:r>
                                </m:sub>
                                <m:sup>
                                  <m:r>
                                    <m:rPr>
                                      <m:sty m:val="p"/>
                                    </m:rPr>
                                    <m:t>Δ</m:t>
                                  </m:r>
                                  <m:r>
                                    <m:t>u</m:t>
                                  </m:r>
                                </m:sup>
                              </m:sSubSup>
                            </m:num>
                            <m:den>
                              <m:sSubSup>
                                <m:e>
                                  <m:r>
                                    <m:t>s</m:t>
                                  </m:r>
                                </m:e>
                                <m:sub>
                                  <m:r>
                                    <m:t>j</m:t>
                                  </m:r>
                                </m:sub>
                                <m:sup>
                                  <m:r>
                                    <m:t>u</m:t>
                                  </m:r>
                                </m:sup>
                              </m:sSubSup>
                            </m:den>
                          </m:f>
                          <m:r>
                            <m:rPr>
                              <m:sty m:val="p"/>
                            </m:rPr>
                            <m:t>[</m:t>
                          </m:r>
                          <m:sSub>
                            <m:e>
                              <m:r>
                                <m:t>u</m:t>
                              </m:r>
                            </m:e>
                            <m:sub>
                              <m:r>
                                <m:t>j</m:t>
                              </m:r>
                            </m:sub>
                          </m:sSub>
                          <m:r>
                            <m:rPr>
                              <m:sty m:val="p"/>
                            </m:rPr>
                            <m:t>(</m:t>
                          </m:r>
                          <m:r>
                            <m:t>k</m:t>
                          </m:r>
                          <m:r>
                            <m:rPr>
                              <m:sty m:val="p"/>
                            </m:rPr>
                            <m:t>+</m:t>
                          </m:r>
                          <m:r>
                            <m:t>i</m:t>
                          </m:r>
                          <m:r>
                            <m:rPr>
                              <m:sty m:val="p"/>
                            </m:rPr>
                            <m:t>|</m:t>
                          </m:r>
                          <m:r>
                            <m:t>k</m:t>
                          </m:r>
                          <m:r>
                            <m:rPr>
                              <m:sty m:val="p"/>
                            </m:rPr>
                            <m:t>)</m:t>
                          </m:r>
                          <m:r>
                            <m:rPr>
                              <m:sty m:val="p"/>
                            </m:rPr>
                            <m:t>−</m:t>
                          </m:r>
                          <m:sSub>
                            <m:e>
                              <m:r>
                                <m:t>u</m:t>
                              </m:r>
                            </m:e>
                            <m:sub>
                              <m:r>
                                <m:t>j</m:t>
                              </m:r>
                            </m:sub>
                          </m:sSub>
                          <m:r>
                            <m:rPr>
                              <m:sty m:val="p"/>
                            </m:rPr>
                            <m:t>(</m:t>
                          </m:r>
                          <m:r>
                            <m:t>k</m:t>
                          </m:r>
                          <m:r>
                            <m:rPr>
                              <m:sty m:val="p"/>
                            </m:rPr>
                            <m:t>+</m:t>
                          </m:r>
                          <m:r>
                            <m:t>i</m:t>
                          </m:r>
                          <m:r>
                            <m:rPr>
                              <m:sty m:val="p"/>
                            </m:rPr>
                            <m:t>−</m:t>
                          </m:r>
                          <m:r>
                            <m:t>1</m:t>
                          </m:r>
                          <m:r>
                            <m:rPr>
                              <m:sty m:val="p"/>
                            </m:rPr>
                            <m:t>|</m:t>
                          </m:r>
                          <m:r>
                            <m:t>k</m:t>
                          </m:r>
                          <m:r>
                            <m:rPr>
                              <m:sty m:val="p"/>
                            </m:rPr>
                            <m:t>)</m:t>
                          </m:r>
                          <m:r>
                            <m:rPr>
                              <m:sty m:val="p"/>
                            </m:rPr>
                            <m:t>]</m:t>
                          </m:r>
                        </m:e>
                      </m:d>
                    </m:e>
                    <m:sup>
                      <m:r>
                        <m:t>2</m:t>
                      </m:r>
                    </m:sup>
                  </m:sSup>
                </m:e>
              </m:nary>
            </m:e>
          </m:nary>
        </m:oMath>
      </m:oMathPara>
    </w:p>
    <w:p>
      <w:pPr>
        <w:pStyle w:val="FirstParagraph"/>
      </w:pPr>
      <w:r>
        <w:t xml:space="preserve">Finalmente,</w:t>
      </w:r>
      <w:r>
        <w:t xml:space="preserve"> </w:t>
      </w:r>
      <m:oMath>
        <m:sSub>
          <m:e>
            <m:r>
              <m:t>J</m:t>
            </m:r>
          </m:e>
          <m:sub>
            <m:r>
              <m:t>ε</m:t>
            </m:r>
          </m:sub>
        </m:sSub>
      </m:oMath>
      <w:r>
        <w:t xml:space="preserve"> </w:t>
      </w:r>
      <w:r>
        <w:t xml:space="preserve">penaliza la variable de holgura asociada a posibles</w:t>
      </w:r>
      <w:r>
        <w:t xml:space="preserve"> </w:t>
      </w:r>
      <w:r>
        <w:t xml:space="preserve">violaciones de restricciones, garantizando la factibilidad del problema de optimización:</w:t>
      </w:r>
    </w:p>
    <w:p>
      <w:pPr>
        <w:pStyle w:val="BodyText"/>
      </w:pPr>
      <m:oMathPara>
        <m:oMathParaPr>
          <m:jc m:val="center"/>
        </m:oMathParaPr>
        <m:oMath>
          <m:sSub>
            <m:e>
              <m:r>
                <m:t>J</m:t>
              </m:r>
            </m:e>
            <m:sub>
              <m:r>
                <m:t>ε</m:t>
              </m:r>
            </m:sub>
          </m:sSub>
          <m:r>
            <m:rPr>
              <m:sty m:val="p"/>
            </m:rPr>
            <m:t>(</m:t>
          </m:r>
          <m:sSub>
            <m:e>
              <m:r>
                <m:t>z</m:t>
              </m:r>
            </m:e>
            <m:sub>
              <m:r>
                <m:t>k</m:t>
              </m:r>
            </m:sub>
          </m:sSub>
          <m:r>
            <m:rPr>
              <m:sty m:val="p"/>
            </m:rPr>
            <m:t>)</m:t>
          </m:r>
          <m:r>
            <m:rPr>
              <m:sty m:val="p"/>
            </m:rPr>
            <m:t>=</m:t>
          </m:r>
          <m:sSub>
            <m:e>
              <m:r>
                <m:t>ρ</m:t>
              </m:r>
            </m:e>
            <m:sub>
              <m:r>
                <m:t>ε</m:t>
              </m:r>
            </m:sub>
          </m:sSub>
          <m:r>
            <m:t> </m:t>
          </m:r>
          <m:sSubSup>
            <m:e>
              <m:r>
                <m:t>ε</m:t>
              </m:r>
            </m:e>
            <m:sub>
              <m:r>
                <m:t>k</m:t>
              </m:r>
            </m:sub>
            <m:sup>
              <m:r>
                <m:t>2</m:t>
              </m:r>
            </m:sup>
          </m:sSubSup>
        </m:oMath>
      </m:oMathPara>
    </w:p>
    <w:p>
      <w:pPr>
        <w:pStyle w:val="FirstParagraph"/>
      </w:pPr>
      <w:r>
        <w:t xml:space="preserve">En las expresiones anteriores,</w:t>
      </w:r>
      <w:r>
        <w:t xml:space="preserve"> </w:t>
      </w:r>
      <m:oMath>
        <m:sSubSup>
          <m:e>
            <m:r>
              <m:t>w</m:t>
            </m:r>
          </m:e>
          <m:sub>
            <m:r>
              <m:t>i</m:t>
            </m:r>
            <m:r>
              <m:rPr>
                <m:sty m:val="p"/>
              </m:rPr>
              <m:t>,</m:t>
            </m:r>
            <m:r>
              <m:t>j</m:t>
            </m:r>
          </m:sub>
          <m:sup>
            <m:r>
              <m:t>y</m:t>
            </m:r>
          </m:sup>
        </m:sSubSup>
      </m:oMath>
      <w:r>
        <w:t xml:space="preserve">,</w:t>
      </w:r>
      <w:r>
        <w:t xml:space="preserve"> </w:t>
      </w:r>
      <m:oMath>
        <m:sSubSup>
          <m:e>
            <m:r>
              <m:t>w</m:t>
            </m:r>
          </m:e>
          <m:sub>
            <m:r>
              <m:t>i</m:t>
            </m:r>
            <m:r>
              <m:rPr>
                <m:sty m:val="p"/>
              </m:rPr>
              <m:t>,</m:t>
            </m:r>
            <m:r>
              <m:t>j</m:t>
            </m:r>
          </m:sub>
          <m:sup>
            <m:r>
              <m:t>u</m:t>
            </m:r>
          </m:sup>
        </m:sSubSup>
      </m:oMath>
      <w:r>
        <w:t xml:space="preserve"> </w:t>
      </w:r>
      <w:r>
        <w:t xml:space="preserve">y</w:t>
      </w:r>
      <w:r>
        <w:t xml:space="preserve"> </w:t>
      </w:r>
      <m:oMath>
        <m:sSubSup>
          <m:e>
            <m:r>
              <m:t>w</m:t>
            </m:r>
          </m:e>
          <m:sub>
            <m:r>
              <m:t>i</m:t>
            </m:r>
            <m:r>
              <m:rPr>
                <m:sty m:val="p"/>
              </m:rPr>
              <m:t>,</m:t>
            </m:r>
            <m:r>
              <m:t>j</m:t>
            </m:r>
          </m:sub>
          <m:sup>
            <m:r>
              <m:rPr>
                <m:sty m:val="p"/>
              </m:rPr>
              <m:t>Δ</m:t>
            </m:r>
            <m:r>
              <m:t>u</m:t>
            </m:r>
          </m:sup>
        </m:sSubSup>
      </m:oMath>
      <w:r>
        <w:t xml:space="preserve"> </w:t>
      </w:r>
      <w:r>
        <w:t xml:space="preserve">son los pesos de ponderación,</w:t>
      </w:r>
      <w:r>
        <w:t xml:space="preserve"> </w:t>
      </w:r>
      <m:oMath>
        <m:sSubSup>
          <m:e>
            <m:r>
              <m:t>s</m:t>
            </m:r>
          </m:e>
          <m:sub>
            <m:r>
              <m:t>j</m:t>
            </m:r>
          </m:sub>
          <m:sup>
            <m:r>
              <m:t>y</m:t>
            </m:r>
          </m:sup>
        </m:sSubSup>
      </m:oMath>
      <w:r>
        <w:t xml:space="preserve"> </w:t>
      </w:r>
      <w:r>
        <w:t xml:space="preserve">y</w:t>
      </w:r>
      <w:r>
        <w:t xml:space="preserve"> </w:t>
      </w:r>
      <m:oMath>
        <m:sSubSup>
          <m:e>
            <m:r>
              <m:t>s</m:t>
            </m:r>
          </m:e>
          <m:sub>
            <m:r>
              <m:t>j</m:t>
            </m:r>
          </m:sub>
          <m:sup>
            <m:r>
              <m:t>u</m:t>
            </m:r>
          </m:sup>
        </m:sSubSup>
      </m:oMath>
      <w:r>
        <w:t xml:space="preserve"> </w:t>
      </w:r>
      <w:r>
        <w:t xml:space="preserve">son los</w:t>
      </w:r>
      <w:r>
        <w:t xml:space="preserve"> </w:t>
      </w:r>
      <w:r>
        <w:t xml:space="preserve">factores de escala,</w:t>
      </w:r>
      <w:r>
        <w:t xml:space="preserve"> </w:t>
      </w:r>
      <m:oMath>
        <m:sSub>
          <m:e>
            <m:r>
              <m:t>r</m:t>
            </m:r>
          </m:e>
          <m:sub>
            <m:r>
              <m:t>j</m:t>
            </m:r>
          </m:sub>
        </m:sSub>
        <m:r>
          <m:rPr>
            <m:sty m:val="p"/>
          </m:rPr>
          <m:t>(</m:t>
        </m:r>
        <m:r>
          <m:t>k</m:t>
        </m:r>
        <m:r>
          <m:rPr>
            <m:sty m:val="p"/>
          </m:rPr>
          <m:t>+</m:t>
        </m:r>
        <m:r>
          <m:t>i</m:t>
        </m:r>
        <m:r>
          <m:rPr>
            <m:sty m:val="p"/>
          </m:rPr>
          <m:t>|</m:t>
        </m:r>
        <m:r>
          <m:t>k</m:t>
        </m:r>
        <m:r>
          <m:rPr>
            <m:sty m:val="p"/>
          </m:rPr>
          <m:t>)</m:t>
        </m:r>
      </m:oMath>
      <w:r>
        <w:t xml:space="preserve"> </w:t>
      </w:r>
      <w:r>
        <w:t xml:space="preserve">es la referencia predicha, y</w:t>
      </w:r>
      <w:r>
        <w:t xml:space="preserve"> </w:t>
      </w:r>
      <m:oMath>
        <m:sSub>
          <m:e>
            <m:r>
              <m:t>y</m:t>
            </m:r>
          </m:e>
          <m:sub>
            <m:r>
              <m:t>j</m:t>
            </m:r>
          </m:sub>
        </m:sSub>
        <m:r>
          <m:rPr>
            <m:sty m:val="p"/>
          </m:rPr>
          <m:t>(</m:t>
        </m:r>
        <m:r>
          <m:t>k</m:t>
        </m:r>
        <m:r>
          <m:rPr>
            <m:sty m:val="p"/>
          </m:rPr>
          <m:t>+</m:t>
        </m:r>
        <m:r>
          <m:t>i</m:t>
        </m:r>
        <m:r>
          <m:rPr>
            <m:sty m:val="p"/>
          </m:rPr>
          <m:t>|</m:t>
        </m:r>
        <m:r>
          <m:t>k</m:t>
        </m:r>
        <m:r>
          <m:rPr>
            <m:sty m:val="p"/>
          </m:rPr>
          <m:t>)</m:t>
        </m:r>
      </m:oMath>
      <w:r>
        <w:t xml:space="preserve"> </w:t>
      </w:r>
      <w:r>
        <w:t xml:space="preserve">y</w:t>
      </w:r>
      <w:r>
        <w:t xml:space="preserve"> </w:t>
      </w:r>
      <m:oMath>
        <m:sSub>
          <m:e>
            <m:r>
              <m:t>u</m:t>
            </m:r>
          </m:e>
          <m:sub>
            <m:r>
              <m:t>j</m:t>
            </m:r>
          </m:sub>
        </m:sSub>
        <m:r>
          <m:rPr>
            <m:sty m:val="p"/>
          </m:rPr>
          <m:t>(</m:t>
        </m:r>
        <m:r>
          <m:t>k</m:t>
        </m:r>
        <m:r>
          <m:rPr>
            <m:sty m:val="p"/>
          </m:rPr>
          <m:t>+</m:t>
        </m:r>
        <m:r>
          <m:t>i</m:t>
        </m:r>
        <m:r>
          <m:rPr>
            <m:sty m:val="p"/>
          </m:rPr>
          <m:t>|</m:t>
        </m:r>
        <m:r>
          <m:t>k</m:t>
        </m:r>
        <m:r>
          <m:rPr>
            <m:sty m:val="p"/>
          </m:rPr>
          <m:t>)</m:t>
        </m:r>
      </m:oMath>
      <w:r>
        <w:t xml:space="preserve"> </w:t>
      </w:r>
      <w:r>
        <w:t xml:space="preserve">son las salidas y entradas predichas, respectivamente, para el instante</w:t>
      </w:r>
      <w:r>
        <w:t xml:space="preserve"> </w:t>
      </w:r>
      <m:oMath>
        <m:r>
          <m:t>k</m:t>
        </m:r>
        <m:r>
          <m:rPr>
            <m:sty m:val="p"/>
          </m:rPr>
          <m:t>+</m:t>
        </m:r>
        <m:r>
          <m:t>i</m:t>
        </m:r>
      </m:oMath>
      <w:r>
        <w:t xml:space="preserve"> </w:t>
      </w:r>
      <w:r>
        <w:t xml:space="preserve">calculadas en el instante</w:t>
      </w:r>
      <w:r>
        <w:t xml:space="preserve"> </w:t>
      </w:r>
      <m:oMath>
        <m:r>
          <m:t>k</m:t>
        </m:r>
      </m:oMath>
      <w:r>
        <w:t xml:space="preserve"> </w:t>
      </w:r>
      <w:r>
        <w:t xml:space="preserve">[22]</w:t>
      </w:r>
      <w:r>
        <w:t xml:space="preserve">. En el contexto del presente estudio, los modelos subrogados SS, ARX, ARMAX y TF son los encargados de proporcionar las salidas predichas</w:t>
      </w:r>
      <w:r>
        <w:t xml:space="preserve"> </w:t>
      </w:r>
      <m:oMath>
        <m:sSub>
          <m:e>
            <m:r>
              <m:t>y</m:t>
            </m:r>
          </m:e>
          <m:sub>
            <m:r>
              <m:t>j</m:t>
            </m:r>
          </m:sub>
        </m:sSub>
        <m:r>
          <m:rPr>
            <m:sty m:val="p"/>
          </m:rPr>
          <m:t>(</m:t>
        </m:r>
        <m:r>
          <m:t>k</m:t>
        </m:r>
        <m:r>
          <m:rPr>
            <m:sty m:val="p"/>
          </m:rPr>
          <m:t>+</m:t>
        </m:r>
        <m:r>
          <m:t>i</m:t>
        </m:r>
        <m:r>
          <m:rPr>
            <m:sty m:val="p"/>
          </m:rPr>
          <m:t>|</m:t>
        </m:r>
        <m:r>
          <m:t>k</m:t>
        </m:r>
        <m:r>
          <m:rPr>
            <m:sty m:val="p"/>
          </m:rPr>
          <m:t>)</m:t>
        </m:r>
      </m:oMath>
      <w:r>
        <w:t xml:space="preserve">, es decir, la relación</w:t>
      </w:r>
      <w:r>
        <w:t xml:space="preserve"> </w:t>
      </w:r>
      <w:r>
        <w:t xml:space="preserve">dinámica entre las variables manipuladas futuras y el comportamiento esperado del proceso, lo que permite al optimizador evaluar el impacto de cada secuencia de control posible sobre el desempeño futuro del sistema.</w:t>
      </w:r>
    </w:p>
    <w:bookmarkEnd w:id="38"/>
    <w:bookmarkStart w:id="39" w:name="integración-con-aspen-plus-dynamics"/>
    <w:p>
      <w:pPr>
        <w:pStyle w:val="Heading3"/>
      </w:pPr>
      <w:r>
        <w:t xml:space="preserve">Integración con Aspen Plus Dynamics</w:t>
      </w:r>
    </w:p>
    <w:p>
      <w:pPr>
        <w:pStyle w:val="FirstParagraph"/>
      </w:pPr>
      <w:r>
        <w:t xml:space="preserve">La co-simulación entre Simulink y Aspen Plus Dynamics se realiza mediante el intercambio</w:t>
      </w:r>
      <w:r>
        <w:t xml:space="preserve"> </w:t>
      </w:r>
      <w:r>
        <w:t xml:space="preserve">de señales de entrada y salida en cada intervalo de muestreo a través de la interfaz</w:t>
      </w:r>
      <w:r>
        <w:t xml:space="preserve"> </w:t>
      </w:r>
      <w:r>
        <w:t xml:space="preserve">ActiveX. En cada paso, Aspen Plus Dynamics proporciona a Simulink las mediciones actuales de las temperaturas de etapa de ambas columnas, y el controlador MPC calcula las acciones de control óptimas conforme al problema de la Ec. </w:t>
      </w:r>
      <w:hyperlink w:anchor="eq:OptimizationProblem">
        <w:r>
          <w:rPr>
            <w:rStyle w:val="Hyperlink"/>
          </w:rPr>
          <w:t xml:space="preserve">[eq:OptimizationProblem]</w:t>
        </w:r>
      </w:hyperlink>
      <w:r>
        <w:t xml:space="preserve">. Dichas acciones son enviadas de regreso a Aspen Plus Dynamics como consignas de la potencia de los rehervidores y de las razones de reflujo, cerrando el lazo de control y permitiendo evaluar la respuesta del proceso riguroso ante la acción del controlador basado en los modelos subrogados.</w:t>
      </w:r>
    </w:p>
    <w:bookmarkEnd w:id="39"/>
    <w:bookmarkStart w:id="40" w:name="sec:criterios"/>
    <w:p>
      <w:pPr>
        <w:pStyle w:val="Heading3"/>
      </w:pPr>
      <w:r>
        <w:t xml:space="preserve">Evaluación del desempeño del controlador</w:t>
      </w:r>
    </w:p>
    <w:p>
      <w:pPr>
        <w:pStyle w:val="FirstParagraph"/>
      </w:pPr>
      <w:r>
        <w:t xml:space="preserve">Para cuantificar la efectividad del esquema de control implementado, se empleó un</w:t>
      </w:r>
      <w:r>
        <w:t xml:space="preserve"> </w:t>
      </w:r>
      <w:r>
        <w:t xml:space="preserve">conjunto de métricas complementarias que permiten analizar la calidad del seguimiento de</w:t>
      </w:r>
      <w:r>
        <w:t xml:space="preserve"> </w:t>
      </w:r>
      <w:r>
        <w:t xml:space="preserve">referencia, la rapidez de la respuesta y el esfuerzo de control requerido.</w:t>
      </w:r>
    </w:p>
    <w:p>
      <w:pPr>
        <w:pStyle w:val="BodyText"/>
      </w:pPr>
      <w:r>
        <w:t xml:space="preserve">El</w:t>
      </w:r>
      <w:r>
        <w:t xml:space="preserve"> </w:t>
      </w:r>
      <w:r>
        <w:rPr>
          <w:b/>
          <w:bCs/>
        </w:rPr>
        <w:t xml:space="preserve">error relativo de seguimiento</w:t>
      </w:r>
      <w:r>
        <w:t xml:space="preserve"> </w:t>
      </w:r>
      <w:r>
        <w:t xml:space="preserve">cuantifica la diferencia entre la variable</w:t>
      </w:r>
      <w:r>
        <w:t xml:space="preserve"> </w:t>
      </w:r>
      <w:r>
        <w:t xml:space="preserve">controlada y su referencia en cada instante:</w:t>
      </w:r>
    </w:p>
    <w:p>
      <w:pPr>
        <w:pStyle w:val="BodyText"/>
      </w:pPr>
      <m:oMathPara>
        <m:oMathParaPr>
          <m:jc m:val="center"/>
        </m:oMathParaPr>
        <m:oMath>
          <m:sSub>
            <m:e>
              <m:r>
                <m:t>e</m:t>
              </m:r>
            </m:e>
            <m:sub>
              <m:r>
                <m:rPr>
                  <m:sty m:val="p"/>
                </m:rPr>
                <m:t>r</m:t>
              </m:r>
              <m:r>
                <m:rPr>
                  <m:sty m:val="p"/>
                </m:rPr>
                <m:t>e</m:t>
              </m:r>
              <m:r>
                <m:rPr>
                  <m:sty m:val="p"/>
                </m:rPr>
                <m:t>l</m:t>
              </m:r>
            </m:sub>
          </m:sSub>
          <m:r>
            <m:rPr>
              <m:sty m:val="p"/>
            </m:rPr>
            <m:t>(</m:t>
          </m:r>
          <m:r>
            <m:t>t</m:t>
          </m:r>
          <m:r>
            <m:rPr>
              <m:sty m:val="p"/>
            </m:rPr>
            <m:t>)</m:t>
          </m:r>
          <m:r>
            <m:rPr>
              <m:sty m:val="p"/>
            </m:rPr>
            <m:t>=</m:t>
          </m:r>
          <m:f>
            <m:fPr>
              <m:type m:val="bar"/>
            </m:fPr>
            <m:num>
              <m:d>
                <m:dPr>
                  <m:begChr m:val="|"/>
                  <m:sepChr m:val=""/>
                  <m:endChr m:val="|"/>
                  <m:grow/>
                </m:dPr>
                <m:e>
                  <m:r>
                    <m:t>Y</m:t>
                  </m:r>
                  <m:r>
                    <m:rPr>
                      <m:sty m:val="p"/>
                    </m:rPr>
                    <m:t>(</m:t>
                  </m:r>
                  <m:r>
                    <m:t>t</m:t>
                  </m:r>
                  <m:r>
                    <m:rPr>
                      <m:sty m:val="p"/>
                    </m:rPr>
                    <m:t>)</m:t>
                  </m:r>
                  <m:r>
                    <m:rPr>
                      <m:sty m:val="p"/>
                    </m:rPr>
                    <m:t>−</m:t>
                  </m:r>
                  <m:sSub>
                    <m:e>
                      <m:r>
                        <m:t>Y</m:t>
                      </m:r>
                    </m:e>
                    <m:sub>
                      <m:r>
                        <m:rPr>
                          <m:sty m:val="p"/>
                        </m:rPr>
                        <m:t>r</m:t>
                      </m:r>
                      <m:r>
                        <m:rPr>
                          <m:sty m:val="p"/>
                        </m:rPr>
                        <m:t>e</m:t>
                      </m:r>
                      <m:r>
                        <m:rPr>
                          <m:sty m:val="p"/>
                        </m:rPr>
                        <m:t>f</m:t>
                      </m:r>
                    </m:sub>
                  </m:sSub>
                  <m:r>
                    <m:rPr>
                      <m:sty m:val="p"/>
                    </m:rPr>
                    <m:t>(</m:t>
                  </m:r>
                  <m:r>
                    <m:t>t</m:t>
                  </m:r>
                  <m:r>
                    <m:rPr>
                      <m:sty m:val="p"/>
                    </m:rPr>
                    <m:t>)</m:t>
                  </m:r>
                </m:e>
              </m:d>
            </m:num>
            <m:den>
              <m:sSub>
                <m:e>
                  <m:r>
                    <m:t>Y</m:t>
                  </m:r>
                </m:e>
                <m:sub>
                  <m:r>
                    <m:rPr>
                      <m:sty m:val="p"/>
                    </m:rPr>
                    <m:t>r</m:t>
                  </m:r>
                  <m:r>
                    <m:rPr>
                      <m:sty m:val="p"/>
                    </m:rPr>
                    <m:t>e</m:t>
                  </m:r>
                  <m:r>
                    <m:rPr>
                      <m:sty m:val="p"/>
                    </m:rPr>
                    <m:t>f</m:t>
                  </m:r>
                </m:sub>
              </m:sSub>
              <m:r>
                <m:rPr>
                  <m:sty m:val="p"/>
                </m:rPr>
                <m:t>(</m:t>
              </m:r>
              <m:r>
                <m:t>t</m:t>
              </m:r>
              <m:r>
                <m:rPr>
                  <m:sty m:val="p"/>
                </m:rPr>
                <m:t>)</m:t>
              </m:r>
            </m:den>
          </m:f>
        </m:oMath>
      </m:oMathPara>
    </w:p>
    <w:p>
      <w:pPr>
        <w:pStyle w:val="FirstParagraph"/>
      </w:pPr>
      <w:r>
        <w:t xml:space="preserve">El</w:t>
      </w:r>
      <w:r>
        <w:t xml:space="preserve"> </w:t>
      </w:r>
      <w:r>
        <w:rPr>
          <w:b/>
          <w:bCs/>
        </w:rPr>
        <w:t xml:space="preserve">tiempo de estabilización</w:t>
      </w:r>
      <w:r>
        <w:t xml:space="preserve"> </w:t>
      </w:r>
      <w:r>
        <w:t xml:space="preserve">se define como el tiempo requerido para que la</w:t>
      </w:r>
      <w:r>
        <w:t xml:space="preserve"> </w:t>
      </w:r>
      <w:r>
        <w:t xml:space="preserve">variable controlada ingrese y permanezca dentro de una banda de tolerancia de</w:t>
      </w:r>
      <w:r>
        <w:t xml:space="preserve"> </w:t>
      </w:r>
      <m:oMath>
        <m:r>
          <m:rPr>
            <m:sty m:val="p"/>
          </m:rPr>
          <m:t>±</m:t>
        </m:r>
        <m:r>
          <m:t>2</m:t>
        </m:r>
        <m:r>
          <m:t> </m:t>
        </m:r>
        <m:r>
          <m:rPr>
            <m:sty m:val="p"/>
          </m:rPr>
          <m:t>%</m:t>
        </m:r>
      </m:oMath>
      <w:r>
        <w:t xml:space="preserve"> </w:t>
      </w:r>
      <w:r>
        <w:t xml:space="preserve">respecto a su valor nominal tras la aplicación de una perturbación.</w:t>
      </w:r>
    </w:p>
    <w:p>
      <w:pPr>
        <w:pStyle w:val="BodyText"/>
      </w:pPr>
      <w:r>
        <w:t xml:space="preserve">Las</w:t>
      </w:r>
      <w:r>
        <w:t xml:space="preserve"> </w:t>
      </w:r>
      <w:r>
        <w:rPr>
          <w:b/>
          <w:bCs/>
        </w:rPr>
        <w:t xml:space="preserve">métricas de error integral</w:t>
      </w:r>
      <w:r>
        <w:t xml:space="preserve"> </w:t>
      </w:r>
      <w:r>
        <w:t xml:space="preserve">permiten una evaluación cuantitativa global del</w:t>
      </w:r>
      <w:r>
        <w:t xml:space="preserve"> </w:t>
      </w:r>
      <w:r>
        <w:t xml:space="preserve">desempeño del controlador a lo largo de toda la simulación, considerando tanto la</w:t>
      </w:r>
      <w:r>
        <w:t xml:space="preserve"> </w:t>
      </w:r>
      <w:r>
        <w:t xml:space="preserve">magnitud de los errores como su persistencia en el tiempo. El criterio</w:t>
      </w:r>
      <w:r>
        <w:t xml:space="preserve"> </w:t>
      </w:r>
      <w:r>
        <w:t xml:space="preserve">de la integral del valor absoluto del error (IAE) mide el error absoluto acumulado:</w:t>
      </w:r>
    </w:p>
    <w:p>
      <w:pPr>
        <w:pStyle w:val="BodyText"/>
      </w:pPr>
      <w:r>
        <w:t xml:space="preserve">$$\begin{equation}
        \mathrm{IAE} = \int_0^{\infty} |e(t)|\, dt
        \label{eq:IAE}
    \end{equation}$$</w:t>
      </w:r>
    </w:p>
    <w:p>
      <w:pPr>
        <w:pStyle w:val="FirstParagraph"/>
      </w:pPr>
      <w:r>
        <w:t xml:space="preserve">El criterio de la integral del error cuadrático (ISE) penaliza con mayor severidad los</w:t>
      </w:r>
      <w:r>
        <w:t xml:space="preserve"> </w:t>
      </w:r>
      <w:r>
        <w:t xml:space="preserve">errores de magnitud elevada:</w:t>
      </w:r>
    </w:p>
    <w:p>
      <w:pPr>
        <w:pStyle w:val="BodyText"/>
      </w:pPr>
      <w:r>
        <w:t xml:space="preserve">$$\begin{equation}
        \mathrm{ISE} = \int_0^{\infty} e^2(t)\, dt
        \label{eq:ISE}
    \end{equation}$$</w:t>
      </w:r>
    </w:p>
    <w:p>
      <w:pPr>
        <w:pStyle w:val="FirstParagraph"/>
      </w:pPr>
      <w:r>
        <w:t xml:space="preserve">El criterio de la integral del valor absoluto del error ponderado por el tiempo (ITAE)</w:t>
      </w:r>
      <w:r>
        <w:t xml:space="preserve"> </w:t>
      </w:r>
      <w:r>
        <w:t xml:space="preserve">penaliza los errores de larga duración, favoreciendo controladores con rechazo rápido de</w:t>
      </w:r>
      <w:r>
        <w:t xml:space="preserve"> </w:t>
      </w:r>
      <w:r>
        <w:t xml:space="preserve">perturbaciones:</w:t>
      </w:r>
    </w:p>
    <w:p>
      <w:pPr>
        <w:pStyle w:val="BodyText"/>
      </w:pPr>
      <w:r>
        <w:t xml:space="preserve">$$\begin{equation}
        \mathrm{ITAE} = \int_0^{\infty} t\,|e(t)|\, dt
        \label{eq:ITAE}
    \end{equation}$$</w:t>
      </w:r>
    </w:p>
    <w:p>
      <w:pPr>
        <w:pStyle w:val="FirstParagraph"/>
      </w:pPr>
      <w:r>
        <w:t xml:space="preserve">Finalmente, la integral del error cuadrático ponderado por el tiempo (ITSE) combina la</w:t>
      </w:r>
      <w:r>
        <w:t xml:space="preserve"> </w:t>
      </w:r>
      <w:r>
        <w:t xml:space="preserve">penalización por magnitud y por duración del error:</w:t>
      </w:r>
    </w:p>
    <w:p>
      <w:pPr>
        <w:pStyle w:val="BodyText"/>
      </w:pPr>
      <w:r>
        <w:t xml:space="preserve">$$\begin{equation}
        \mathrm{ITSE} = \int_0^{\infty} t\, e^2(t)\, dt
        \label{eq:ITSE}
    \end{equation}$$</w:t>
      </w:r>
    </w:p>
    <w:p>
      <w:pPr>
        <w:pStyle w:val="FirstParagraph"/>
      </w:pPr>
      <w:r>
        <w:t xml:space="preserve">El uso conjunto de las métricas IAE, ISE, ITAE e ITSE proporciona una perspectiva integral del desempeño del controlador. Mientras que IAE e ISE caracterizan la magnitud global del error, ITAE e ITSE penalizan de manera más severa la persistencia del error en el tiempo. Este último aspecto resulta especialmente relevante en procesos lentos como la destilación, donde los tiempos de estabilización pueden extenderse durante varias horas. Estas métricas de error integral permiten una evaluación más completa del desempeño del controlador, ya que cuantifican tanto la magnitud como la duración de los errores a lo largo del tiempo </w:t>
      </w:r>
      <w:r>
        <w:t xml:space="preserve">[23]</w:t>
      </w:r>
      <w:r>
        <w:t xml:space="preserve">. Los resultados obtenidos permitieron comparar la capacidad de los distintos modelos subrogados para mantener la estabilidad del proceso, minimizar el error de seguimiento y reducir el esfuerzo de control dentro del esquema de control predictivo basado en modelo (MPC), proporcionando así una evaluación cuantitativa del desempeño de cada estrategia de modelado.</w:t>
      </w:r>
    </w:p>
    <w:bookmarkEnd w:id="40"/>
    <w:bookmarkEnd w:id="41"/>
    <w:bookmarkEnd w:id="42"/>
    <w:bookmarkStart w:id="68" w:name="resultados-y-discusión"/>
    <w:p>
      <w:pPr>
        <w:pStyle w:val="Heading1"/>
      </w:pPr>
      <w:r>
        <w:t xml:space="preserve">Resultados y Discusión</w:t>
      </w:r>
    </w:p>
    <w:p>
      <w:pPr>
        <w:pStyle w:val="FirstParagraph"/>
      </w:pPr>
      <w:r>
        <w:t xml:space="preserve">En primer lugar, vamos a hablar sobre la capacidad de cada estructura de modelo para representar la dinámica del proceso a partir de los datos de identificación y a continuación, se analiza el desempeño de cada modelo como controlador MPC frente a perturbaciones en la alimentación, considerando los costos computacionales, las métricas básicas de control y los criterios integrales de desempeño. Finalmente, se discute la selección del modelo más adecuado para cada columna y se propone la estrategia de control resultante.</w:t>
      </w:r>
    </w:p>
    <w:bookmarkStart w:id="52" w:name="subrogación-de-modelos-1"/>
    <w:p>
      <w:pPr>
        <w:pStyle w:val="Heading2"/>
      </w:pPr>
      <w:r>
        <w:t xml:space="preserve">Subrogación de modelos</w:t>
      </w:r>
    </w:p>
    <w:p>
      <w:pPr>
        <w:pStyle w:val="FirstParagraph"/>
      </w:pPr>
      <w:r>
        <w:t xml:space="preserve">Los modelos subrogados se desarrollaron considerando dos variables manipuladas la potencia del rehervidor y la relación de reflujo — con una salida correspondiente a la temperatura de una etapa representativa de cada columna. Para la columna</w:t>
      </w:r>
      <w:r>
        <w:t xml:space="preserve"> </w:t>
      </w:r>
      <m:oMath>
        <m:r>
          <m:t>T</m:t>
        </m:r>
        <m:r>
          <m:rPr>
            <m:nor/>
            <m:sty m:val="p"/>
          </m:rPr>
          <m:t>-</m:t>
        </m:r>
        <m:r>
          <m:t>101</m:t>
        </m:r>
      </m:oMath>
      <w:r>
        <w:t xml:space="preserve"> </w:t>
      </w:r>
      <w:r>
        <w:t xml:space="preserve">se seleccionó la temperatura de la etapa 36, y para la columna</w:t>
      </w:r>
      <w:r>
        <w:t xml:space="preserve"> </w:t>
      </w:r>
      <m:oMath>
        <m:r>
          <m:t>T</m:t>
        </m:r>
        <m:r>
          <m:rPr>
            <m:nor/>
            <m:sty m:val="p"/>
          </m:rPr>
          <m:t>-</m:t>
        </m:r>
        <m:r>
          <m:t>102</m:t>
        </m:r>
      </m:oMath>
      <w:r>
        <w:t xml:space="preserve"> </w:t>
      </w:r>
      <w:r>
        <w:t xml:space="preserve">la temperatura de la etapa 8. Estas etapas fueron escogidas por presentar la mayor sensibilidad ante cambios en las variables manipuladas, conforme al análisis del perfil de temperatura reportado por Quintero y Botía et al. </w:t>
      </w:r>
      <w:r>
        <w:t xml:space="preserve">[10]</w:t>
      </w:r>
      <w:r>
        <w:t xml:space="preserve">.De este modo se obtuvieron cinco estructuras de modelo para cada columna: ARX, ARMAX, espacio de estados (SS), función de transferencia (TF) y modelo de primer orden con tiempo muerto (FOPDT). En la Tabla </w:t>
      </w:r>
      <w:hyperlink w:anchor="tab:ModelosR2">
        <w:r>
          <w:rPr>
            <w:rStyle w:val="Hyperlink"/>
          </w:rPr>
          <w:t xml:space="preserve">2</w:t>
        </w:r>
      </w:hyperlink>
      <w:r>
        <w:t xml:space="preserve"> </w:t>
      </w:r>
      <w:r>
        <w:t xml:space="preserve">se presentan el RECM y el coeficiente de determinación (</w:t>
      </w:r>
      <m:oMath>
        <m:sSup>
          <m:e>
            <m:r>
              <m:t>R</m:t>
            </m:r>
          </m:e>
          <m:sup>
            <m:r>
              <m:t>2</m:t>
            </m:r>
          </m:sup>
        </m:sSup>
      </m:oMath>
      <w:r>
        <w:t xml:space="preserve">) obtenidos durante la validación de cada modelo frente al segundo conjunto de datos de</w:t>
      </w:r>
      <w:r>
        <w:t xml:space="preserve"> </w:t>
      </w:r>
      <w:r>
        <w:rPr>
          <w:i/>
          <w:iCs/>
        </w:rPr>
        <w:t xml:space="preserve">steptest</w:t>
      </w:r>
      <w:r>
        <w:t xml:space="preserve">. Las Figuras</w:t>
      </w:r>
      <w:r>
        <w:t xml:space="preserve"> </w:t>
      </w:r>
      <w:hyperlink w:anchor="fig:ModelosSubrogadosT101">
        <w:r>
          <w:rPr>
            <w:rStyle w:val="Hyperlink"/>
          </w:rPr>
          <w:t xml:space="preserve">3</w:t>
        </w:r>
      </w:hyperlink>
      <w:r>
        <w:t xml:space="preserve"> </w:t>
      </w:r>
      <w:r>
        <w:t xml:space="preserve">y</w:t>
      </w:r>
      <w:r>
        <w:t xml:space="preserve"> </w:t>
      </w:r>
      <w:hyperlink w:anchor="fig:ModelosSubrogadosT102">
        <w:r>
          <w:rPr>
            <w:rStyle w:val="Hyperlink"/>
          </w:rPr>
          <w:t xml:space="preserve">4</w:t>
        </w:r>
      </w:hyperlink>
      <w:r>
        <w:t xml:space="preserve"> </w:t>
      </w:r>
      <w:r>
        <w:t xml:space="preserve">ilustran la comparación entre las respuestas predichas y los datos reales para ambas columnas.</w:t>
      </w:r>
    </w:p>
    <w:bookmarkStart w:id="46" w:name="fig:ModelosSubrogadosT101"/>
    <w:p>
      <w:pPr>
        <w:pStyle w:val="CaptionedFigure"/>
      </w:pPr>
      <w:r>
        <w:drawing>
          <wp:inline>
            <wp:extent cx="2667000" cy="1457589"/>
            <wp:effectExtent b="0" l="0" r="0" t="0"/>
            <wp:docPr descr="Figure 3: Comparación de los modelos subrogados respecto a los datos de validación para la columna T\text{-}101." title="" id="44" name="Picture"/>
            <a:graphic>
              <a:graphicData uri="http://schemas.openxmlformats.org/drawingml/2006/picture">
                <pic:pic>
                  <pic:nvPicPr>
                    <pic:cNvPr descr="figures/ModelosT101.png" id="45" name="Picture"/>
                    <pic:cNvPicPr>
                      <a:picLocks noChangeArrowheads="1" noChangeAspect="1"/>
                    </pic:cNvPicPr>
                  </pic:nvPicPr>
                  <pic:blipFill>
                    <a:blip r:embed="rId43"/>
                    <a:stretch>
                      <a:fillRect/>
                    </a:stretch>
                  </pic:blipFill>
                  <pic:spPr bwMode="auto">
                    <a:xfrm>
                      <a:off x="0" y="0"/>
                      <a:ext cx="2667000" cy="1457589"/>
                    </a:xfrm>
                    <a:prstGeom prst="rect">
                      <a:avLst/>
                    </a:prstGeom>
                    <a:noFill/>
                    <a:ln w="9525">
                      <a:noFill/>
                      <a:headEnd/>
                      <a:tailEnd/>
                    </a:ln>
                  </pic:spPr>
                </pic:pic>
              </a:graphicData>
            </a:graphic>
          </wp:inline>
        </w:drawing>
      </w:r>
    </w:p>
    <w:p>
      <w:pPr>
        <w:pStyle w:val="ImageCaption"/>
      </w:pPr>
      <w:r>
        <w:t xml:space="preserve">Figure 3: Comparación de los modelos subrogados respecto a los datos de validación para</w:t>
      </w:r>
      <w:r>
        <w:t xml:space="preserve"> </w:t>
      </w:r>
      <w:r>
        <w:t xml:space="preserve">la columna</w:t>
      </w:r>
      <w:r>
        <w:t xml:space="preserve"> </w:t>
      </w:r>
      <m:oMath>
        <m:r>
          <m:t>T</m:t>
        </m:r>
        <m:r>
          <m:rPr>
            <m:nor/>
            <m:sty m:val="p"/>
          </m:rPr>
          <m:t>-</m:t>
        </m:r>
        <m:r>
          <m:t>101</m:t>
        </m:r>
      </m:oMath>
      <w:r>
        <w:t xml:space="preserve">.</w:t>
      </w:r>
    </w:p>
    <w:bookmarkEnd w:id="46"/>
    <w:bookmarkStart w:id="50" w:name="fig:ModelosSubrogadosT102"/>
    <w:p>
      <w:pPr>
        <w:pStyle w:val="CaptionedFigure"/>
      </w:pPr>
      <w:r>
        <w:drawing>
          <wp:inline>
            <wp:extent cx="2667000" cy="1333500"/>
            <wp:effectExtent b="0" l="0" r="0" t="0"/>
            <wp:docPr descr="Figure 4: Comparación de los modelos subrogados respecto a los datos de validación para la columna T\text{-}102." title="" id="48" name="Picture"/>
            <a:graphic>
              <a:graphicData uri="http://schemas.openxmlformats.org/drawingml/2006/picture">
                <pic:pic>
                  <pic:nvPicPr>
                    <pic:cNvPr descr="figures/ModelosT102.png" id="49" name="Picture"/>
                    <pic:cNvPicPr>
                      <a:picLocks noChangeArrowheads="1" noChangeAspect="1"/>
                    </pic:cNvPicPr>
                  </pic:nvPicPr>
                  <pic:blipFill>
                    <a:blip r:embed="rId47"/>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pPr>
      <w:r>
        <w:t xml:space="preserve">Figure 4: Comparación de los modelos subrogados respecto a los datos de validación para</w:t>
      </w:r>
      <w:r>
        <w:t xml:space="preserve"> </w:t>
      </w:r>
      <w:r>
        <w:t xml:space="preserve">la columna</w:t>
      </w:r>
      <w:r>
        <w:t xml:space="preserve"> </w:t>
      </w:r>
      <m:oMath>
        <m:r>
          <m:t>T</m:t>
        </m:r>
        <m:r>
          <m:rPr>
            <m:nor/>
            <m:sty m:val="p"/>
          </m:rPr>
          <m:t>-</m:t>
        </m:r>
        <m:r>
          <m:t>102</m:t>
        </m:r>
      </m:oMath>
      <w:r>
        <w:t xml:space="preserve">.</w:t>
      </w:r>
    </w:p>
    <w:bookmarkEnd w:id="50"/>
    <w:bookmarkStart w:id="51" w:name="tab:ModelosR2"/>
    <w:p>
      <w:pPr>
        <w:pStyle w:val="TableCaption"/>
      </w:pPr>
      <w:r>
        <w:t xml:space="preserve">Métricas de ajuste de los modelos subrogados evaluadas sobre el conjunto de</w:t>
      </w:r>
      <w:r>
        <w:t xml:space="preserve"> </w:t>
      </w:r>
      <w:r>
        <w:t xml:space="preserve">validación.</w:t>
      </w:r>
    </w:p>
    <w:tbl>
      <w:tblPr>
        <w:tblStyle w:val="Table"/>
        <w:tblW w:type="auto" w:w="0"/>
        <w:tblLook w:firstRow="1" w:lastRow="0" w:firstColumn="0" w:lastColumn="0" w:noHBand="0" w:noVBand="0" w:val="0020"/>
        <w:tblCaption w:val="Métricas de ajuste de los modelos subrogados evaluadas sobre el conjunto de validación."/>
      </w:tblPr>
      <w:tblGrid>
        <w:gridCol w:w="1980"/>
        <w:gridCol w:w="1980"/>
        <w:gridCol w:w="1980"/>
        <w:gridCol w:w="1980"/>
      </w:tblGrid>
      <w:tr>
        <w:trPr>
          <w:tblHeader w:val="on"/>
        </w:trPr>
        <w:tc>
          <w:tcPr/>
          <w:p>
            <w:pPr>
              <w:pStyle w:val="Compact"/>
              <w:jc w:val="left"/>
            </w:pPr>
            <w:r>
              <w:t xml:space="preserve">Columna</w:t>
            </w:r>
          </w:p>
        </w:tc>
        <w:tc>
          <w:tcPr/>
          <w:p>
            <w:pPr>
              <w:pStyle w:val="Compact"/>
              <w:jc w:val="left"/>
            </w:pPr>
            <w:r>
              <w:t xml:space="preserve">Modelo</w:t>
            </w:r>
          </w:p>
        </w:tc>
        <w:tc>
          <w:tcPr/>
          <w:p>
            <w:pPr>
              <w:pStyle w:val="Compact"/>
              <w:jc w:val="center"/>
            </w:pPr>
            <w:r>
              <w:t xml:space="preserve">RECM</w:t>
            </w:r>
          </w:p>
        </w:tc>
        <w:tc>
          <w:tcPr/>
          <w:p>
            <w:pPr>
              <w:pStyle w:val="Compact"/>
              <w:jc w:val="center"/>
            </w:pPr>
            <m:oMath>
              <m:sSup>
                <m:e>
                  <m:r>
                    <m:t>R</m:t>
                  </m:r>
                </m:e>
                <m:sup>
                  <m:r>
                    <m:t>2</m:t>
                  </m:r>
                </m:sup>
              </m:sSup>
            </m:oMath>
          </w:p>
        </w:tc>
      </w:tr>
      <w:tr>
        <w:tc>
          <w:tcPr/>
          <w:p>
            <w:pPr>
              <w:pStyle w:val="Compact"/>
              <w:jc w:val="left"/>
            </w:pPr>
            <w:r>
              <w:t xml:space="preserve">T-101</w:t>
            </w:r>
          </w:p>
        </w:tc>
        <w:tc>
          <w:tcPr/>
          <w:p>
            <w:pPr>
              <w:pStyle w:val="Compact"/>
              <w:jc w:val="left"/>
            </w:pPr>
            <w:r>
              <w:t xml:space="preserve">SS</w:t>
            </w:r>
          </w:p>
        </w:tc>
        <w:tc>
          <w:tcPr/>
          <w:p>
            <w:pPr>
              <w:pStyle w:val="Compact"/>
              <w:jc w:val="center"/>
            </w:pPr>
            <w:r>
              <w:t xml:space="preserve">0.2895</w:t>
            </w:r>
          </w:p>
        </w:tc>
        <w:tc>
          <w:tcPr/>
          <w:p>
            <w:pPr>
              <w:pStyle w:val="Compact"/>
              <w:jc w:val="center"/>
            </w:pPr>
            <w:r>
              <w:t xml:space="preserve">0.7709</w:t>
            </w:r>
          </w:p>
        </w:tc>
      </w:tr>
      <w:tr>
        <w:tc>
          <w:tcPr/>
          <w:p>
            <w:pPr>
              <w:pStyle w:val="Compact"/>
              <w:jc w:val="left"/>
            </w:pPr>
            <w:r>
              <w:t xml:space="preserve">T-101</w:t>
            </w:r>
          </w:p>
        </w:tc>
        <w:tc>
          <w:tcPr/>
          <w:p>
            <w:pPr>
              <w:pStyle w:val="Compact"/>
              <w:jc w:val="left"/>
            </w:pPr>
            <w:r>
              <w:t xml:space="preserve">ARX</w:t>
            </w:r>
          </w:p>
        </w:tc>
        <w:tc>
          <w:tcPr/>
          <w:p>
            <w:pPr>
              <w:pStyle w:val="Compact"/>
              <w:jc w:val="center"/>
            </w:pPr>
            <w:r>
              <w:t xml:space="preserve">0.3047</w:t>
            </w:r>
          </w:p>
        </w:tc>
        <w:tc>
          <w:tcPr/>
          <w:p>
            <w:pPr>
              <w:pStyle w:val="Compact"/>
              <w:jc w:val="center"/>
            </w:pPr>
            <w:r>
              <w:t xml:space="preserve">0.7462</w:t>
            </w:r>
          </w:p>
        </w:tc>
      </w:tr>
      <w:tr>
        <w:tc>
          <w:tcPr/>
          <w:p>
            <w:pPr>
              <w:pStyle w:val="Compact"/>
              <w:jc w:val="left"/>
            </w:pPr>
            <w:r>
              <w:t xml:space="preserve">T-101</w:t>
            </w:r>
          </w:p>
        </w:tc>
        <w:tc>
          <w:tcPr/>
          <w:p>
            <w:pPr>
              <w:pStyle w:val="Compact"/>
              <w:jc w:val="left"/>
            </w:pPr>
            <w:r>
              <w:t xml:space="preserve">ARMAX</w:t>
            </w:r>
          </w:p>
        </w:tc>
        <w:tc>
          <w:tcPr/>
          <w:p>
            <w:pPr>
              <w:pStyle w:val="Compact"/>
              <w:jc w:val="center"/>
            </w:pPr>
            <w:r>
              <w:t xml:space="preserve">0.3051</w:t>
            </w:r>
          </w:p>
        </w:tc>
        <w:tc>
          <w:tcPr/>
          <w:p>
            <w:pPr>
              <w:pStyle w:val="Compact"/>
              <w:jc w:val="center"/>
            </w:pPr>
            <w:r>
              <w:t xml:space="preserve">0.7456</w:t>
            </w:r>
          </w:p>
        </w:tc>
      </w:tr>
      <w:tr>
        <w:tc>
          <w:tcPr/>
          <w:p>
            <w:pPr>
              <w:pStyle w:val="Compact"/>
              <w:jc w:val="left"/>
            </w:pPr>
            <w:r>
              <w:t xml:space="preserve">T-101</w:t>
            </w:r>
          </w:p>
        </w:tc>
        <w:tc>
          <w:tcPr/>
          <w:p>
            <w:pPr>
              <w:pStyle w:val="Compact"/>
              <w:jc w:val="left"/>
            </w:pPr>
            <w:r>
              <w:t xml:space="preserve">FOPDT</w:t>
            </w:r>
          </w:p>
        </w:tc>
        <w:tc>
          <w:tcPr/>
          <w:p>
            <w:pPr>
              <w:pStyle w:val="Compact"/>
              <w:jc w:val="center"/>
            </w:pPr>
            <w:r>
              <w:t xml:space="preserve">0.3713</w:t>
            </w:r>
          </w:p>
        </w:tc>
        <w:tc>
          <w:tcPr/>
          <w:p>
            <w:pPr>
              <w:pStyle w:val="Compact"/>
              <w:jc w:val="center"/>
            </w:pPr>
            <w:r>
              <w:t xml:space="preserve">0.6231</w:t>
            </w:r>
          </w:p>
        </w:tc>
      </w:tr>
      <w:tr>
        <w:tc>
          <w:tcPr/>
          <w:p>
            <w:pPr>
              <w:pStyle w:val="Compact"/>
              <w:jc w:val="left"/>
            </w:pPr>
            <w:r>
              <w:t xml:space="preserve">T-101</w:t>
            </w:r>
          </w:p>
        </w:tc>
        <w:tc>
          <w:tcPr/>
          <w:p>
            <w:pPr>
              <w:pStyle w:val="Compact"/>
              <w:jc w:val="left"/>
            </w:pPr>
            <w:r>
              <w:t xml:space="preserve">TF</w:t>
            </w:r>
          </w:p>
        </w:tc>
        <w:tc>
          <w:tcPr/>
          <w:p>
            <w:pPr>
              <w:pStyle w:val="Compact"/>
              <w:jc w:val="center"/>
            </w:pPr>
            <w:r>
              <w:t xml:space="preserve">0.3766</w:t>
            </w:r>
          </w:p>
        </w:tc>
        <w:tc>
          <w:tcPr/>
          <w:p>
            <w:pPr>
              <w:pStyle w:val="Compact"/>
              <w:jc w:val="center"/>
            </w:pPr>
            <w:r>
              <w:t xml:space="preserve">0.6122</w:t>
            </w:r>
          </w:p>
        </w:tc>
      </w:tr>
      <w:tr>
        <w:tc>
          <w:tcPr/>
          <w:p>
            <w:pPr>
              <w:pStyle w:val="Compact"/>
              <w:jc w:val="left"/>
            </w:pPr>
            <w:r>
              <w:t xml:space="preserve">T-102</w:t>
            </w:r>
          </w:p>
        </w:tc>
        <w:tc>
          <w:tcPr/>
          <w:p>
            <w:pPr>
              <w:pStyle w:val="Compact"/>
              <w:jc w:val="left"/>
            </w:pPr>
            <w:r>
              <w:t xml:space="preserve">SS</w:t>
            </w:r>
          </w:p>
        </w:tc>
        <w:tc>
          <w:tcPr/>
          <w:p>
            <w:pPr>
              <w:pStyle w:val="Compact"/>
              <w:jc w:val="center"/>
            </w:pPr>
            <w:r>
              <w:t xml:space="preserve">7.1142</w:t>
            </w:r>
          </w:p>
        </w:tc>
        <w:tc>
          <w:tcPr/>
          <w:p>
            <w:pPr>
              <w:pStyle w:val="Compact"/>
              <w:jc w:val="center"/>
            </w:pPr>
            <w:r>
              <w:t xml:space="preserve">0.5316</w:t>
            </w:r>
          </w:p>
        </w:tc>
      </w:tr>
      <w:tr>
        <w:tc>
          <w:tcPr/>
          <w:p>
            <w:pPr>
              <w:pStyle w:val="Compact"/>
              <w:jc w:val="left"/>
            </w:pPr>
            <w:r>
              <w:t xml:space="preserve">T-102</w:t>
            </w:r>
          </w:p>
        </w:tc>
        <w:tc>
          <w:tcPr/>
          <w:p>
            <w:pPr>
              <w:pStyle w:val="Compact"/>
              <w:jc w:val="left"/>
            </w:pPr>
            <w:r>
              <w:t xml:space="preserve">ARX</w:t>
            </w:r>
          </w:p>
        </w:tc>
        <w:tc>
          <w:tcPr/>
          <w:p>
            <w:pPr>
              <w:pStyle w:val="Compact"/>
              <w:jc w:val="center"/>
            </w:pPr>
            <w:r>
              <w:t xml:space="preserve">6.8227</w:t>
            </w:r>
          </w:p>
        </w:tc>
        <w:tc>
          <w:tcPr/>
          <w:p>
            <w:pPr>
              <w:pStyle w:val="Compact"/>
              <w:jc w:val="center"/>
            </w:pPr>
            <w:r>
              <w:t xml:space="preserve">0.5692</w:t>
            </w:r>
          </w:p>
        </w:tc>
      </w:tr>
      <w:tr>
        <w:tc>
          <w:tcPr/>
          <w:p>
            <w:pPr>
              <w:pStyle w:val="Compact"/>
              <w:jc w:val="left"/>
            </w:pPr>
            <w:r>
              <w:t xml:space="preserve">T-102</w:t>
            </w:r>
          </w:p>
        </w:tc>
        <w:tc>
          <w:tcPr/>
          <w:p>
            <w:pPr>
              <w:pStyle w:val="Compact"/>
              <w:jc w:val="left"/>
            </w:pPr>
            <w:r>
              <w:t xml:space="preserve">ARMAX</w:t>
            </w:r>
          </w:p>
        </w:tc>
        <w:tc>
          <w:tcPr/>
          <w:p>
            <w:pPr>
              <w:pStyle w:val="Compact"/>
              <w:jc w:val="center"/>
            </w:pPr>
            <w:r>
              <w:t xml:space="preserve">6.1927</w:t>
            </w:r>
          </w:p>
        </w:tc>
        <w:tc>
          <w:tcPr/>
          <w:p>
            <w:pPr>
              <w:pStyle w:val="Compact"/>
              <w:jc w:val="center"/>
            </w:pPr>
            <w:r>
              <w:t xml:space="preserve">0.6451</w:t>
            </w:r>
          </w:p>
        </w:tc>
      </w:tr>
      <w:tr>
        <w:tc>
          <w:tcPr/>
          <w:p>
            <w:pPr>
              <w:pStyle w:val="Compact"/>
              <w:jc w:val="left"/>
            </w:pPr>
            <w:r>
              <w:t xml:space="preserve">T-102</w:t>
            </w:r>
          </w:p>
        </w:tc>
        <w:tc>
          <w:tcPr/>
          <w:p>
            <w:pPr>
              <w:pStyle w:val="Compact"/>
              <w:jc w:val="left"/>
            </w:pPr>
            <w:r>
              <w:t xml:space="preserve">FOPDT</w:t>
            </w:r>
          </w:p>
        </w:tc>
        <w:tc>
          <w:tcPr/>
          <w:p>
            <w:pPr>
              <w:pStyle w:val="Compact"/>
              <w:jc w:val="center"/>
            </w:pPr>
            <w:r>
              <w:t xml:space="preserve">6.9890</w:t>
            </w:r>
          </w:p>
        </w:tc>
        <w:tc>
          <w:tcPr/>
          <w:p>
            <w:pPr>
              <w:pStyle w:val="Compact"/>
              <w:jc w:val="center"/>
            </w:pPr>
            <w:r>
              <w:t xml:space="preserve">0.5480</w:t>
            </w:r>
          </w:p>
        </w:tc>
      </w:tr>
      <w:tr>
        <w:tc>
          <w:tcPr/>
          <w:p>
            <w:pPr>
              <w:pStyle w:val="Compact"/>
              <w:jc w:val="left"/>
            </w:pPr>
            <w:r>
              <w:t xml:space="preserve">T-102</w:t>
            </w:r>
          </w:p>
        </w:tc>
        <w:tc>
          <w:tcPr/>
          <w:p>
            <w:pPr>
              <w:pStyle w:val="Compact"/>
              <w:jc w:val="left"/>
            </w:pPr>
            <w:r>
              <w:t xml:space="preserve">TF</w:t>
            </w:r>
          </w:p>
        </w:tc>
        <w:tc>
          <w:tcPr/>
          <w:p>
            <w:pPr>
              <w:pStyle w:val="Compact"/>
              <w:jc w:val="center"/>
            </w:pPr>
            <w:r>
              <w:t xml:space="preserve">7.1117</w:t>
            </w:r>
          </w:p>
        </w:tc>
        <w:tc>
          <w:tcPr/>
          <w:p>
            <w:pPr>
              <w:pStyle w:val="Compact"/>
              <w:jc w:val="center"/>
            </w:pPr>
            <w:r>
              <w:t xml:space="preserve">0.5320</w:t>
            </w:r>
          </w:p>
        </w:tc>
      </w:tr>
    </w:tbl>
    <w:bookmarkEnd w:id="51"/>
    <w:p>
      <w:pPr>
        <w:pStyle w:val="BodyText"/>
      </w:pPr>
      <w:r>
        <w:t xml:space="preserve">Los resultados evidencian que ambas columnas presentan dinámicas diferenciadas que requieren estructuras de modelado distintas. Asimismo, se confirma que un mejor ajuste estadístico no garantiza necesariamente un mejor desempeño en un esquema de control predictivo, lo que motiva la evaluación directa del desempeño dinámico del controlador.</w:t>
      </w:r>
    </w:p>
    <w:bookmarkEnd w:id="52"/>
    <w:bookmarkStart w:id="61" w:name="X2d8d77289188f286d756825a6ec942f6dc8c6fa"/>
    <w:p>
      <w:pPr>
        <w:pStyle w:val="Heading2"/>
      </w:pPr>
      <w:r>
        <w:t xml:space="preserve">Control predictivo frente a perturbaciones</w:t>
      </w:r>
    </w:p>
    <w:p>
      <w:pPr>
        <w:pStyle w:val="FirstParagraph"/>
      </w:pPr>
      <w:r>
        <w:t xml:space="preserve">Una vez obtenidos los modelos subrogados, se implementó el esquema MPC y se evaluó su desempeño frente a dos perturbaciones tipo escalón consistentes en una perturbación positiva del 10 % en el caudal de alimentación seguida de una perturbación negativa del 10 % en el caudal del solvente, aplicadas en instantes predefinidos dentro de un horizonte de simulación total de 100 h. La inclusión de perturbaciones de signo opuesto permite evaluar la capacidad del controlador para mantener la estabilidad y el seguimiento del valor de referencia bajo condiciones dinámicas asimétricas, representativas de variaciones reales en la operación</w:t>
      </w:r>
      <w:r>
        <w:t xml:space="preserve"> </w:t>
      </w:r>
      <w:r>
        <w:t xml:space="preserve">industrial.Las Figuras</w:t>
      </w:r>
      <w:r>
        <w:t xml:space="preserve"> </w:t>
      </w:r>
      <w:hyperlink w:anchor="fig:ControlT101">
        <w:r>
          <w:rPr>
            <w:rStyle w:val="Hyperlink"/>
          </w:rPr>
          <w:t xml:space="preserve">5</w:t>
        </w:r>
      </w:hyperlink>
      <w:r>
        <w:t xml:space="preserve"> </w:t>
      </w:r>
      <w:r>
        <w:t xml:space="preserve">y</w:t>
      </w:r>
      <w:r>
        <w:t xml:space="preserve"> </w:t>
      </w:r>
      <w:hyperlink w:anchor="fig:ControlT102">
        <w:r>
          <w:rPr>
            <w:rStyle w:val="Hyperlink"/>
          </w:rPr>
          <w:t xml:space="preserve">6</w:t>
        </w:r>
      </w:hyperlink>
      <w:r>
        <w:t xml:space="preserve"> </w:t>
      </w:r>
      <w:r>
        <w:t xml:space="preserve">presentan la evolución temporal de las variables controladas en ambas columnas.</w:t>
      </w:r>
    </w:p>
    <w:bookmarkStart w:id="56" w:name="fig:ControlT101"/>
    <w:p>
      <w:pPr>
        <w:pStyle w:val="CaptionedFigure"/>
      </w:pPr>
      <w:r>
        <w:drawing>
          <wp:inline>
            <wp:extent cx="5334000" cy="1367186"/>
            <wp:effectExtent b="0" l="0" r="0" t="0"/>
            <wp:docPr descr="Figure 5: Evolución temporal de la variable controlada de T\text{-}101 bajo una perturbación del 10 % seguida de una perturbación del -10 %." title="" id="54" name="Picture"/>
            <a:graphic>
              <a:graphicData uri="http://schemas.openxmlformats.org/drawingml/2006/picture">
                <pic:pic>
                  <pic:nvPicPr>
                    <pic:cNvPr descr="figures/ControlT101.png" id="55" name="Picture"/>
                    <pic:cNvPicPr>
                      <a:picLocks noChangeArrowheads="1" noChangeAspect="1"/>
                    </pic:cNvPicPr>
                  </pic:nvPicPr>
                  <pic:blipFill>
                    <a:blip r:embed="rId53"/>
                    <a:stretch>
                      <a:fillRect/>
                    </a:stretch>
                  </pic:blipFill>
                  <pic:spPr bwMode="auto">
                    <a:xfrm>
                      <a:off x="0" y="0"/>
                      <a:ext cx="5334000" cy="1367186"/>
                    </a:xfrm>
                    <a:prstGeom prst="rect">
                      <a:avLst/>
                    </a:prstGeom>
                    <a:noFill/>
                    <a:ln w="9525">
                      <a:noFill/>
                      <a:headEnd/>
                      <a:tailEnd/>
                    </a:ln>
                  </pic:spPr>
                </pic:pic>
              </a:graphicData>
            </a:graphic>
          </wp:inline>
        </w:drawing>
      </w:r>
    </w:p>
    <w:p>
      <w:pPr>
        <w:pStyle w:val="ImageCaption"/>
      </w:pPr>
      <w:r>
        <w:t xml:space="preserve">Figure 5: Evolución temporal de la variable controlada de</w:t>
      </w:r>
      <w:r>
        <w:t xml:space="preserve"> </w:t>
      </w:r>
      <m:oMath>
        <m:r>
          <m:t>T</m:t>
        </m:r>
        <m:r>
          <m:rPr>
            <m:nor/>
            <m:sty m:val="p"/>
          </m:rPr>
          <m:t>-</m:t>
        </m:r>
        <m:r>
          <m:t>101</m:t>
        </m:r>
      </m:oMath>
      <w:r>
        <w:t xml:space="preserve"> </w:t>
      </w:r>
      <w:r>
        <w:t xml:space="preserve">bajo una perturbación del 10 % seguida de una perturbación del -10 %.</w:t>
      </w:r>
    </w:p>
    <w:bookmarkEnd w:id="56"/>
    <w:bookmarkStart w:id="60" w:name="fig:ControlT102"/>
    <w:p>
      <w:pPr>
        <w:pStyle w:val="CaptionedFigure"/>
      </w:pPr>
      <w:r>
        <w:drawing>
          <wp:inline>
            <wp:extent cx="5334000" cy="1336760"/>
            <wp:effectExtent b="0" l="0" r="0" t="0"/>
            <wp:docPr descr="Figure 6: Evolución temporal de la variable controlada de T\text{-}102 bajo una perturbación del 10 % seguida de una perturbación del -10 %." title="" id="58" name="Picture"/>
            <a:graphic>
              <a:graphicData uri="http://schemas.openxmlformats.org/drawingml/2006/picture">
                <pic:pic>
                  <pic:nvPicPr>
                    <pic:cNvPr descr="figures/ControlT102.png" id="59" name="Picture"/>
                    <pic:cNvPicPr>
                      <a:picLocks noChangeArrowheads="1" noChangeAspect="1"/>
                    </pic:cNvPicPr>
                  </pic:nvPicPr>
                  <pic:blipFill>
                    <a:blip r:embed="rId57"/>
                    <a:stretch>
                      <a:fillRect/>
                    </a:stretch>
                  </pic:blipFill>
                  <pic:spPr bwMode="auto">
                    <a:xfrm>
                      <a:off x="0" y="0"/>
                      <a:ext cx="5334000" cy="1336760"/>
                    </a:xfrm>
                    <a:prstGeom prst="rect">
                      <a:avLst/>
                    </a:prstGeom>
                    <a:noFill/>
                    <a:ln w="9525">
                      <a:noFill/>
                      <a:headEnd/>
                      <a:tailEnd/>
                    </a:ln>
                  </pic:spPr>
                </pic:pic>
              </a:graphicData>
            </a:graphic>
          </wp:inline>
        </w:drawing>
      </w:r>
    </w:p>
    <w:p>
      <w:pPr>
        <w:pStyle w:val="ImageCaption"/>
      </w:pPr>
      <w:r>
        <w:t xml:space="preserve">Figure 6: Evolución temporal de la variable controlada de</w:t>
      </w:r>
      <w:r>
        <w:t xml:space="preserve"> </w:t>
      </w:r>
      <m:oMath>
        <m:r>
          <m:t>T</m:t>
        </m:r>
        <m:r>
          <m:rPr>
            <m:nor/>
            <m:sty m:val="p"/>
          </m:rPr>
          <m:t>-</m:t>
        </m:r>
        <m:r>
          <m:t>102</m:t>
        </m:r>
      </m:oMath>
      <w:r>
        <w:t xml:space="preserve"> </w:t>
      </w:r>
      <w:r>
        <w:t xml:space="preserve">bajo una perturbación del 10 % seguida de una perturbación del -10 %.</w:t>
      </w:r>
    </w:p>
    <w:bookmarkEnd w:id="60"/>
    <w:bookmarkEnd w:id="61"/>
    <w:bookmarkStart w:id="63" w:name="costos-computacionales"/>
    <w:p>
      <w:pPr>
        <w:pStyle w:val="Heading2"/>
      </w:pPr>
      <w:r>
        <w:t xml:space="preserve">Costos computacionales</w:t>
      </w:r>
    </w:p>
    <w:p>
      <w:pPr>
        <w:pStyle w:val="FirstParagraph"/>
      </w:pPr>
      <w:r>
        <w:t xml:space="preserve">La Tabla </w:t>
      </w:r>
      <w:hyperlink w:anchor="tab:CostosComputacionales">
        <w:r>
          <w:rPr>
            <w:rStyle w:val="Hyperlink"/>
          </w:rPr>
          <w:t xml:space="preserve">3</w:t>
        </w:r>
      </w:hyperlink>
      <w:r>
        <w:t xml:space="preserve"> </w:t>
      </w:r>
      <w:r>
        <w:t xml:space="preserve">presenta los costos computacionales medidos</w:t>
      </w:r>
      <w:r>
        <w:t xml:space="preserve"> </w:t>
      </w:r>
      <w:r>
        <w:t xml:space="preserve">durante la co-simulación:</w:t>
      </w:r>
    </w:p>
    <w:bookmarkStart w:id="62" w:name="tab:CostosComputacionales"/>
    <w:p>
      <w:pPr>
        <w:pStyle w:val="TableCaption"/>
      </w:pPr>
      <w:r>
        <w:t xml:space="preserve">Costos computacionales asociados a la co-simulación MPC.</w:t>
      </w:r>
    </w:p>
    <w:tbl>
      <w:tblPr>
        <w:tblStyle w:val="Table"/>
        <w:tblW w:type="auto" w:w="0"/>
        <w:tblLook w:firstRow="1" w:lastRow="0" w:firstColumn="0" w:lastColumn="0" w:noHBand="0" w:noVBand="0" w:val="0020"/>
        <w:tblCaption w:val="Costos computacionales asociados a la co-simulación MPC."/>
      </w:tblPr>
      <w:tblGrid>
        <w:gridCol w:w="1980"/>
        <w:gridCol w:w="1980"/>
        <w:gridCol w:w="1980"/>
        <w:gridCol w:w="1980"/>
      </w:tblGrid>
      <w:tr>
        <w:trPr>
          <w:tblHeader w:val="on"/>
        </w:trPr>
        <w:tc>
          <w:tcPr/>
          <w:p>
            <w:pPr>
              <w:pStyle w:val="Compact"/>
              <w:jc w:val="left"/>
            </w:pPr>
            <w:r>
              <w:t xml:space="preserve">Modelo</w:t>
            </w:r>
          </w:p>
        </w:tc>
        <w:tc>
          <w:tcPr/>
          <w:p>
            <w:pPr>
              <w:pStyle w:val="Compact"/>
              <w:jc w:val="center"/>
            </w:pPr>
            <w:r>
              <w:t xml:space="preserve">T. Simulink (s)</w:t>
            </w:r>
          </w:p>
        </w:tc>
        <w:tc>
          <w:tcPr/>
          <w:p>
            <w:pPr>
              <w:pStyle w:val="Compact"/>
              <w:jc w:val="center"/>
            </w:pPr>
            <w:r>
              <w:t xml:space="preserve">CPU/paso (ms)</w:t>
            </w:r>
          </w:p>
        </w:tc>
        <w:tc>
          <w:tcPr/>
          <w:p>
            <w:pPr>
              <w:pStyle w:val="Compact"/>
              <w:jc w:val="center"/>
            </w:pPr>
            <w:r>
              <w:t xml:space="preserve">RAM total (MB)</w:t>
            </w:r>
          </w:p>
        </w:tc>
      </w:tr>
      <w:tr>
        <w:tc>
          <w:tcPr/>
          <w:p>
            <w:pPr>
              <w:pStyle w:val="Compact"/>
              <w:jc w:val="left"/>
            </w:pPr>
            <w:r>
              <w:t xml:space="preserve">SS</w:t>
            </w:r>
          </w:p>
        </w:tc>
        <w:tc>
          <w:tcPr/>
          <w:p>
            <w:pPr>
              <w:pStyle w:val="Compact"/>
              <w:jc w:val="center"/>
            </w:pPr>
            <w:r>
              <w:t xml:space="preserve">2360.028</w:t>
            </w:r>
          </w:p>
        </w:tc>
        <w:tc>
          <w:tcPr/>
          <w:p>
            <w:pPr>
              <w:pStyle w:val="Compact"/>
              <w:jc w:val="center"/>
            </w:pPr>
            <w:r>
              <w:t xml:space="preserve">1179.424</w:t>
            </w:r>
          </w:p>
        </w:tc>
        <w:tc>
          <w:tcPr/>
          <w:p>
            <w:pPr>
              <w:pStyle w:val="Compact"/>
              <w:jc w:val="center"/>
            </w:pPr>
            <w:r>
              <w:t xml:space="preserve">8.716</w:t>
            </w:r>
          </w:p>
        </w:tc>
      </w:tr>
      <w:tr>
        <w:tc>
          <w:tcPr/>
          <w:p>
            <w:pPr>
              <w:pStyle w:val="Compact"/>
              <w:jc w:val="left"/>
            </w:pPr>
            <w:r>
              <w:t xml:space="preserve">ARX</w:t>
            </w:r>
          </w:p>
        </w:tc>
        <w:tc>
          <w:tcPr/>
          <w:p>
            <w:pPr>
              <w:pStyle w:val="Compact"/>
              <w:jc w:val="center"/>
            </w:pPr>
            <w:r>
              <w:t xml:space="preserve">1310.123</w:t>
            </w:r>
          </w:p>
        </w:tc>
        <w:tc>
          <w:tcPr/>
          <w:p>
            <w:pPr>
              <w:pStyle w:val="Compact"/>
              <w:jc w:val="center"/>
            </w:pPr>
            <w:r>
              <w:t xml:space="preserve">1089.742</w:t>
            </w:r>
          </w:p>
        </w:tc>
        <w:tc>
          <w:tcPr/>
          <w:p>
            <w:pPr>
              <w:pStyle w:val="Compact"/>
              <w:jc w:val="center"/>
            </w:pPr>
            <w:r>
              <w:t xml:space="preserve">5.985</w:t>
            </w:r>
          </w:p>
        </w:tc>
      </w:tr>
      <w:tr>
        <w:tc>
          <w:tcPr/>
          <w:p>
            <w:pPr>
              <w:pStyle w:val="Compact"/>
              <w:jc w:val="left"/>
            </w:pPr>
            <w:r>
              <w:t xml:space="preserve">ARMAX</w:t>
            </w:r>
          </w:p>
        </w:tc>
        <w:tc>
          <w:tcPr/>
          <w:p>
            <w:pPr>
              <w:pStyle w:val="Compact"/>
              <w:jc w:val="center"/>
            </w:pPr>
            <w:r>
              <w:t xml:space="preserve">1428.361</w:t>
            </w:r>
          </w:p>
        </w:tc>
        <w:tc>
          <w:tcPr/>
          <w:p>
            <w:pPr>
              <w:pStyle w:val="Compact"/>
              <w:jc w:val="center"/>
            </w:pPr>
            <w:r>
              <w:t xml:space="preserve">1188.411</w:t>
            </w:r>
          </w:p>
        </w:tc>
        <w:tc>
          <w:tcPr/>
          <w:p>
            <w:pPr>
              <w:pStyle w:val="Compact"/>
              <w:jc w:val="center"/>
            </w:pPr>
            <w:r>
              <w:t xml:space="preserve">5.920</w:t>
            </w:r>
          </w:p>
        </w:tc>
      </w:tr>
      <w:tr>
        <w:tc>
          <w:tcPr/>
          <w:p>
            <w:pPr>
              <w:pStyle w:val="Compact"/>
              <w:jc w:val="left"/>
            </w:pPr>
            <w:r>
              <w:t xml:space="preserve">TF</w:t>
            </w:r>
          </w:p>
        </w:tc>
        <w:tc>
          <w:tcPr/>
          <w:p>
            <w:pPr>
              <w:pStyle w:val="Compact"/>
              <w:jc w:val="center"/>
            </w:pPr>
            <w:r>
              <w:t xml:space="preserve">1379.245</w:t>
            </w:r>
          </w:p>
        </w:tc>
        <w:tc>
          <w:tcPr/>
          <w:p>
            <w:pPr>
              <w:pStyle w:val="Compact"/>
              <w:jc w:val="center"/>
            </w:pPr>
            <w:r>
              <w:t xml:space="preserve">1147.646</w:t>
            </w:r>
          </w:p>
        </w:tc>
        <w:tc>
          <w:tcPr/>
          <w:p>
            <w:pPr>
              <w:pStyle w:val="Compact"/>
              <w:jc w:val="center"/>
            </w:pPr>
            <w:r>
              <w:t xml:space="preserve">6.017</w:t>
            </w:r>
          </w:p>
        </w:tc>
      </w:tr>
      <w:tr>
        <w:tc>
          <w:tcPr/>
          <w:p>
            <w:pPr>
              <w:pStyle w:val="Compact"/>
              <w:jc w:val="left"/>
            </w:pPr>
            <w:r>
              <w:t xml:space="preserve">FOPDT</w:t>
            </w:r>
          </w:p>
        </w:tc>
        <w:tc>
          <w:tcPr/>
          <w:p>
            <w:pPr>
              <w:pStyle w:val="Compact"/>
              <w:jc w:val="center"/>
            </w:pPr>
            <w:r>
              <w:t xml:space="preserve">1323.261</w:t>
            </w:r>
          </w:p>
        </w:tc>
        <w:tc>
          <w:tcPr/>
          <w:p>
            <w:pPr>
              <w:pStyle w:val="Compact"/>
              <w:jc w:val="center"/>
            </w:pPr>
            <w:r>
              <w:t xml:space="preserve">1101.099</w:t>
            </w:r>
          </w:p>
        </w:tc>
        <w:tc>
          <w:tcPr/>
          <w:p>
            <w:pPr>
              <w:pStyle w:val="Compact"/>
              <w:jc w:val="center"/>
            </w:pPr>
            <w:r>
              <w:t xml:space="preserve">5.772</w:t>
            </w:r>
          </w:p>
        </w:tc>
      </w:tr>
    </w:tbl>
    <w:bookmarkEnd w:id="62"/>
    <w:p>
      <w:pPr>
        <w:pStyle w:val="BodyText"/>
      </w:pPr>
      <w:r>
        <w:t xml:space="preserve">El tiempo de simulación en Simulink corresponde al tiempo total requerido para ejecutar la co-simulación dinámica completa del sistema bajo control MPC, incluyendo la resolución del problema de optimización, la actualización de las variables manipuladas y la integración dinámica de las columnas de destilación dentro del entorno Simulink. Esta métrica permite comparar la carga computacional global asociada a cada modelo subrogado durante todo el horizonte dinámico evaluado.</w:t>
      </w:r>
    </w:p>
    <w:p>
      <w:pPr>
        <w:pStyle w:val="BodyText"/>
      </w:pPr>
      <w:r>
        <w:t xml:space="preserve">Por otra parte, la métrica CPU/paso representa el tiempo computacional promedio requerido por el controlador para ejecutar una actualización del MPC en cada intervalo de muestreo. Esta métrica constituye el criterio más relevante para evaluar la factibilidad de implementación en tiempo real, dado que en aplicaciones MPC el tiempo requerido para calcular la acción de control debe ser menor que el tiempo de muestreo del controlador:</w:t>
      </w:r>
    </w:p>
    <w:p>
      <w:pPr>
        <w:pStyle w:val="BodyText"/>
      </w:pPr>
      <m:oMathPara>
        <m:oMathParaPr>
          <m:jc m:val="center"/>
        </m:oMathParaPr>
        <m:oMath>
          <m:sSub>
            <m:e>
              <m:r>
                <m:t>t</m:t>
              </m:r>
            </m:e>
            <m:sub>
              <m:r>
                <m:rPr>
                  <m:sty m:val="p"/>
                </m:rPr>
                <m:t>C</m:t>
              </m:r>
              <m:r>
                <m:rPr>
                  <m:sty m:val="p"/>
                </m:rPr>
                <m:t>P</m:t>
              </m:r>
              <m:r>
                <m:rPr>
                  <m:sty m:val="p"/>
                </m:rPr>
                <m:t>U</m:t>
              </m:r>
              <m:r>
                <m:rPr>
                  <m:sty m:val="p"/>
                </m:rPr>
                <m:t>/</m:t>
              </m:r>
              <m:r>
                <m:rPr>
                  <m:sty m:val="p"/>
                </m:rPr>
                <m:t>p</m:t>
              </m:r>
              <m:r>
                <m:rPr>
                  <m:sty m:val="p"/>
                </m:rPr>
                <m:t>a</m:t>
              </m:r>
              <m:r>
                <m:rPr>
                  <m:sty m:val="p"/>
                </m:rPr>
                <m:t>s</m:t>
              </m:r>
              <m:r>
                <m:rPr>
                  <m:sty m:val="p"/>
                </m:rPr>
                <m:t>o</m:t>
              </m:r>
            </m:sub>
          </m:sSub>
          <m:r>
            <m:rPr>
              <m:sty m:val="p"/>
            </m:rPr>
            <m:t>&lt;</m:t>
          </m:r>
          <m:sSub>
            <m:e>
              <m:r>
                <m:t>T</m:t>
              </m:r>
            </m:e>
            <m:sub>
              <m:r>
                <m:t>s</m:t>
              </m:r>
            </m:sub>
          </m:sSub>
        </m:oMath>
      </m:oMathPara>
    </w:p>
    <w:p>
      <w:pPr>
        <w:pStyle w:val="FirstParagraph"/>
      </w:pPr>
      <w:r>
        <w:t xml:space="preserve">En este trabajo se utilizó un tiempo de muestreo de</w:t>
      </w:r>
      <w:r>
        <w:t xml:space="preserve"> </w:t>
      </w:r>
      <m:oMath>
        <m:sSub>
          <m:e>
            <m:r>
              <m:t>T</m:t>
            </m:r>
          </m:e>
          <m:sub>
            <m:r>
              <m:t>s</m:t>
            </m:r>
          </m:sub>
        </m:sSub>
        <m:r>
          <m:rPr>
            <m:sty m:val="p"/>
          </m:rPr>
          <m:t>=</m:t>
        </m:r>
        <m:r>
          <m:t>5</m:t>
        </m:r>
        <m:r>
          <m:t> </m:t>
        </m:r>
        <m:r>
          <m:rPr>
            <m:sty m:val="p"/>
          </m:rPr>
          <m:t>m</m:t>
        </m:r>
        <m:r>
          <m:rPr>
            <m:sty m:val="p"/>
          </m:rPr>
          <m:t>i</m:t>
        </m:r>
        <m:r>
          <m:rPr>
            <m:sty m:val="p"/>
          </m:rPr>
          <m:t>n</m:t>
        </m:r>
      </m:oMath>
      <w:r>
        <w:t xml:space="preserve"> </w:t>
      </w:r>
      <w:r>
        <w:t xml:space="preserve">(</w:t>
      </w:r>
      <m:oMath>
        <m:r>
          <m:t>300</m:t>
        </m:r>
        <m:r>
          <m:t> </m:t>
        </m:r>
        <m:r>
          <m:rPr>
            <m:sty m:val="p"/>
          </m:rPr>
          <m:t>s</m:t>
        </m:r>
      </m:oMath>
      <w:r>
        <w:t xml:space="preserve">), mientras que los costos computacionales promedio por paso obtenidos fueron del orden de</w:t>
      </w:r>
      <w:r>
        <w:t xml:space="preserve"> </w:t>
      </w:r>
      <m:oMath>
        <m:r>
          <m:t>1.100</m:t>
        </m:r>
      </m:oMath>
      <w:r>
        <w:t xml:space="preserve"> </w:t>
      </w:r>
      <w:r>
        <w:t xml:space="preserve">a</w:t>
      </w:r>
      <w:r>
        <w:t xml:space="preserve"> </w:t>
      </w:r>
      <m:oMath>
        <m:r>
          <m:t>1.300</m:t>
        </m:r>
        <m:r>
          <m:t> </m:t>
        </m:r>
        <m:r>
          <m:rPr>
            <m:sty m:val="p"/>
          </m:rPr>
          <m:t>m</m:t>
        </m:r>
        <m:r>
          <m:rPr>
            <m:sty m:val="p"/>
          </m:rPr>
          <m:t>s</m:t>
        </m:r>
      </m:oMath>
      <w:r>
        <w:t xml:space="preserve">. En consecuencia, todos los modelos evaluados cumplen ampliamente la condición de viabilidad computacional para aplicaciones MPC en tiempo real, ya que el tiempo requerido para resolver el problema de optimización es considerablemente menor que el intervalo disponible entre actualizaciones del controlador. Los resultados obtenidos evidencian que los modelos subrogados basados en identificación de sistemas presentan menores requerimientos de memoria en comparación con el modelo Space State, lo cual resulta consistente con la menor complejidad estructural de dichos modelos. En términos generales, los resultados demuestran que los modelos ARX, ARMAX, TF, FOPDT reducen significativamente el costo computacional global respecto al modelo Space State, manteniendo simultáneamente tiempos de cálculo por intervalo de control compatibles con aplicaciones MPC en columnas de destilación.</w:t>
      </w:r>
    </w:p>
    <w:bookmarkEnd w:id="63"/>
    <w:bookmarkStart w:id="66" w:name="criterios-integrales-de-desempeño"/>
    <w:p>
      <w:pPr>
        <w:pStyle w:val="Heading2"/>
      </w:pPr>
      <w:r>
        <w:t xml:space="preserve">Criterios integrales de desempeño</w:t>
      </w:r>
    </w:p>
    <w:p>
      <w:pPr>
        <w:pStyle w:val="FirstParagraph"/>
      </w:pPr>
      <w:r>
        <w:t xml:space="preserve">Inicialmente, los criterios integrales de desempeño fueron evaluados considerando únicamente el horizonte completo de simulación. Sin embargo, este enfoque introducía un sesgo en la comparación entre modelos, debido a que incluía periodos en donde la simulacion volvia al punto de partida y el error de control continuaba acumulandose a lo largo de toda la simulación. Con el fin de obtener una comparación más representativa del desempeño dinámico del MPC, las métricas integrales se calcularon de manera independiente sobre las regiones transitorias asociadas a las perturbaciones introducidas en el sistema. De esta manera, los criterios IAE, ISE e ITAE fueron evaluados específicamente durante las ventanas temporales correspondientes a la respuesta dinámica de cada perturbación, permitiendo cuantificar de forma más precisa la capacidad de seguimiento y rechazo de perturbaciones de cada modelo subrogado. Las ventanas utilizadas fueron:</w:t>
      </w:r>
    </w:p>
    <w:p>
      <w:pPr>
        <w:pStyle w:val="BodyText"/>
      </w:pPr>
      <m:oMathPara>
        <m:oMathParaPr>
          <m:jc m:val="center"/>
        </m:oMathParaPr>
        <m:oMath>
          <m:r>
            <m:t>P</m:t>
          </m:r>
          <m:r>
            <m:t>1</m:t>
          </m:r>
          <m:r>
            <m:rPr>
              <m:sty m:val="p"/>
            </m:rPr>
            <m:t>:</m:t>
          </m:r>
          <m:r>
            <m:t> </m:t>
          </m:r>
          <m:r>
            <m:t>t</m:t>
          </m:r>
          <m:r>
            <m:rPr>
              <m:sty m:val="p"/>
            </m:rPr>
            <m:t>=</m:t>
          </m:r>
          <m:r>
            <m:t>5</m:t>
          </m:r>
          <m:r>
            <m:rPr>
              <m:nor/>
              <m:sty m:val="p"/>
            </m:rPr>
            <m:t> h</m:t>
          </m:r>
          <m:r>
            <m:rPr>
              <m:sty m:val="p"/>
            </m:rPr>
            <m:t>→</m:t>
          </m:r>
          <m:r>
            <m:t>20</m:t>
          </m:r>
          <m:r>
            <m:rPr>
              <m:nor/>
              <m:sty m:val="p"/>
            </m:rPr>
            <m:t> h</m:t>
          </m:r>
        </m:oMath>
      </m:oMathPara>
    </w:p>
    <w:p>
      <w:pPr>
        <w:pStyle w:val="FirstParagraph"/>
      </w:pPr>
      <m:oMathPara>
        <m:oMathParaPr>
          <m:jc m:val="center"/>
        </m:oMathParaPr>
        <m:oMath>
          <m:r>
            <m:t>P</m:t>
          </m:r>
          <m:r>
            <m:t>2</m:t>
          </m:r>
          <m:r>
            <m:rPr>
              <m:sty m:val="p"/>
            </m:rPr>
            <m:t>:</m:t>
          </m:r>
          <m:r>
            <m:t> </m:t>
          </m:r>
          <m:r>
            <m:t>t</m:t>
          </m:r>
          <m:r>
            <m:rPr>
              <m:sty m:val="p"/>
            </m:rPr>
            <m:t>=</m:t>
          </m:r>
          <m:r>
            <m:t>40</m:t>
          </m:r>
          <m:r>
            <m:rPr>
              <m:nor/>
              <m:sty m:val="p"/>
            </m:rPr>
            <m:t> h</m:t>
          </m:r>
          <m:r>
            <m:rPr>
              <m:sty m:val="p"/>
            </m:rPr>
            <m:t>→</m:t>
          </m:r>
          <m:r>
            <m:t>60</m:t>
          </m:r>
          <m:r>
            <m:rPr>
              <m:nor/>
              <m:sty m:val="p"/>
            </m:rPr>
            <m:t> h</m:t>
          </m:r>
        </m:oMath>
      </m:oMathPara>
    </w:p>
    <w:p>
      <w:pPr>
        <w:pStyle w:val="FirstParagraph"/>
      </w:pPr>
      <w:r>
        <w:t xml:space="preserve">donde</w:t>
      </w:r>
      <w:r>
        <w:t xml:space="preserve"> </w:t>
      </w:r>
      <m:oMath>
        <m:r>
          <m:t>P</m:t>
        </m:r>
        <m:r>
          <m:t>1</m:t>
        </m:r>
      </m:oMath>
      <w:r>
        <w:t xml:space="preserve"> </w:t>
      </w:r>
      <w:r>
        <w:t xml:space="preserve">corresponde a la respuesta transitoria generada por la perturbación positiva en el caudal de alimentación, mientras que</w:t>
      </w:r>
      <w:r>
        <w:t xml:space="preserve"> </w:t>
      </w:r>
      <m:oMath>
        <m:r>
          <m:t>P</m:t>
        </m:r>
        <m:r>
          <m:t>2</m:t>
        </m:r>
      </m:oMath>
      <w:r>
        <w:t xml:space="preserve"> </w:t>
      </w:r>
      <w:r>
        <w:t xml:space="preserve">representa la respuesta dinámica frente a la perturbación negativa en el solvente. Bajo este enfoque, las métricas integrales permiten evaluar directamente el comportamiento dinámico relevante del controlador durante los periodos de mayor exigencia operacional, evitando que los intervalos en los que la simulación retorna a la región de operación estacionaria dominen artificialmente los indicadores globales de desempeño.</w:t>
      </w:r>
    </w:p>
    <w:bookmarkStart w:id="64" w:name="tab:ControlIntegralesP1"/>
    <w:p>
      <w:pPr>
        <w:pStyle w:val="TableCaption"/>
      </w:pPr>
      <w:r>
        <w:t xml:space="preserve">Criterios integrales de desempeño del controlador durante la perturbación P1.</w:t>
      </w:r>
    </w:p>
    <w:tbl>
      <w:tblPr>
        <w:tblStyle w:val="Table"/>
        <w:tblW w:type="auto" w:w="0"/>
        <w:tblLook w:firstRow="1" w:lastRow="0" w:firstColumn="0" w:lastColumn="0" w:noHBand="0" w:noVBand="0" w:val="0020"/>
        <w:tblCaption w:val="Criterios integrales de desempeño del controlador durante la perturbación P1."/>
      </w:tblPr>
      <w:tblGrid>
        <w:gridCol w:w="1584"/>
        <w:gridCol w:w="1584"/>
        <w:gridCol w:w="1584"/>
        <w:gridCol w:w="1584"/>
        <w:gridCol w:w="1584"/>
      </w:tblGrid>
      <w:tr>
        <w:trPr>
          <w:tblHeader w:val="on"/>
        </w:trPr>
        <w:tc>
          <w:tcPr/>
          <w:p>
            <w:pPr>
              <w:pStyle w:val="Compact"/>
              <w:jc w:val="left"/>
            </w:pPr>
            <w:r>
              <w:t xml:space="preserve">Columna</w:t>
            </w:r>
          </w:p>
        </w:tc>
        <w:tc>
          <w:tcPr/>
          <w:p>
            <w:pPr>
              <w:pStyle w:val="Compact"/>
              <w:jc w:val="left"/>
            </w:pPr>
            <w:r>
              <w:t xml:space="preserve">Modelo</w:t>
            </w:r>
          </w:p>
        </w:tc>
        <w:tc>
          <w:tcPr/>
          <w:p>
            <w:pPr>
              <w:pStyle w:val="Compact"/>
              <w:jc w:val="center"/>
            </w:pPr>
            <w:r>
              <w:t xml:space="preserve">IAE</w:t>
            </w:r>
          </w:p>
        </w:tc>
        <w:tc>
          <w:tcPr/>
          <w:p>
            <w:pPr>
              <w:pStyle w:val="Compact"/>
              <w:jc w:val="center"/>
            </w:pPr>
            <w:r>
              <w:t xml:space="preserve">ISE</w:t>
            </w:r>
          </w:p>
        </w:tc>
        <w:tc>
          <w:tcPr/>
          <w:p>
            <w:pPr>
              <w:pStyle w:val="Compact"/>
              <w:jc w:val="center"/>
            </w:pPr>
            <w:r>
              <w:t xml:space="preserve">ITAE</w:t>
            </w:r>
          </w:p>
        </w:tc>
      </w:tr>
      <w:tr>
        <w:tc>
          <w:tcPr/>
          <w:p>
            <w:pPr>
              <w:pStyle w:val="Compact"/>
              <w:jc w:val="left"/>
            </w:pPr>
            <w:r>
              <w:t xml:space="preserve">T-101</w:t>
            </w:r>
          </w:p>
        </w:tc>
        <w:tc>
          <w:tcPr/>
          <w:p>
            <w:pPr>
              <w:pStyle w:val="Compact"/>
              <w:jc w:val="left"/>
            </w:pPr>
            <w:r>
              <w:t xml:space="preserve">SS</w:t>
            </w:r>
          </w:p>
        </w:tc>
        <w:tc>
          <w:tcPr/>
          <w:p>
            <w:pPr>
              <w:pStyle w:val="Compact"/>
              <w:jc w:val="center"/>
            </w:pPr>
            <w:r>
              <w:t xml:space="preserve">18.1000</w:t>
            </w:r>
          </w:p>
        </w:tc>
        <w:tc>
          <w:tcPr/>
          <w:p>
            <w:pPr>
              <w:pStyle w:val="Compact"/>
              <w:jc w:val="center"/>
            </w:pPr>
            <w:r>
              <w:t xml:space="preserve">24.7239</w:t>
            </w:r>
          </w:p>
        </w:tc>
        <w:tc>
          <w:tcPr/>
          <w:p>
            <w:pPr>
              <w:pStyle w:val="Compact"/>
              <w:jc w:val="center"/>
            </w:pPr>
            <w:r>
              <w:t xml:space="preserve">120.0463</w:t>
            </w:r>
          </w:p>
        </w:tc>
      </w:tr>
      <w:tr>
        <w:tc>
          <w:tcPr/>
          <w:p>
            <w:pPr>
              <w:pStyle w:val="Compact"/>
              <w:jc w:val="left"/>
            </w:pPr>
            <w:r>
              <w:t xml:space="preserve">T-101</w:t>
            </w:r>
          </w:p>
        </w:tc>
        <w:tc>
          <w:tcPr/>
          <w:p>
            <w:pPr>
              <w:pStyle w:val="Compact"/>
              <w:jc w:val="left"/>
            </w:pPr>
            <w:r>
              <w:t xml:space="preserve">ARX</w:t>
            </w:r>
          </w:p>
        </w:tc>
        <w:tc>
          <w:tcPr/>
          <w:p>
            <w:pPr>
              <w:pStyle w:val="Compact"/>
              <w:jc w:val="center"/>
            </w:pPr>
            <w:r>
              <w:t xml:space="preserve">16.8292</w:t>
            </w:r>
          </w:p>
        </w:tc>
        <w:tc>
          <w:tcPr/>
          <w:p>
            <w:pPr>
              <w:pStyle w:val="Compact"/>
              <w:jc w:val="center"/>
            </w:pPr>
            <w:r>
              <w:t xml:space="preserve">22.6828</w:t>
            </w:r>
          </w:p>
        </w:tc>
        <w:tc>
          <w:tcPr/>
          <w:p>
            <w:pPr>
              <w:pStyle w:val="Compact"/>
              <w:jc w:val="center"/>
            </w:pPr>
            <w:r>
              <w:t xml:space="preserve">107.7224</w:t>
            </w:r>
          </w:p>
        </w:tc>
      </w:tr>
      <w:tr>
        <w:tc>
          <w:tcPr/>
          <w:p>
            <w:pPr>
              <w:pStyle w:val="Compact"/>
              <w:jc w:val="left"/>
            </w:pPr>
            <w:r>
              <w:t xml:space="preserve">T-101</w:t>
            </w:r>
          </w:p>
        </w:tc>
        <w:tc>
          <w:tcPr/>
          <w:p>
            <w:pPr>
              <w:pStyle w:val="Compact"/>
              <w:jc w:val="left"/>
            </w:pPr>
            <w:r>
              <w:t xml:space="preserve">ARMAX</w:t>
            </w:r>
          </w:p>
        </w:tc>
        <w:tc>
          <w:tcPr/>
          <w:p>
            <w:pPr>
              <w:pStyle w:val="Compact"/>
              <w:jc w:val="center"/>
            </w:pPr>
            <w:r>
              <w:rPr>
                <w:b/>
                <w:bCs/>
              </w:rPr>
              <w:t xml:space="preserve">16.5155</w:t>
            </w:r>
          </w:p>
        </w:tc>
        <w:tc>
          <w:tcPr/>
          <w:p>
            <w:pPr>
              <w:pStyle w:val="Compact"/>
              <w:jc w:val="center"/>
            </w:pPr>
            <w:r>
              <w:rPr>
                <w:b/>
                <w:bCs/>
              </w:rPr>
              <w:t xml:space="preserve">22.0807</w:t>
            </w:r>
          </w:p>
        </w:tc>
        <w:tc>
          <w:tcPr/>
          <w:p>
            <w:pPr>
              <w:pStyle w:val="Compact"/>
              <w:jc w:val="center"/>
            </w:pPr>
            <w:r>
              <w:rPr>
                <w:b/>
                <w:bCs/>
              </w:rPr>
              <w:t xml:space="preserve">104.5858</w:t>
            </w:r>
          </w:p>
        </w:tc>
      </w:tr>
      <w:tr>
        <w:tc>
          <w:tcPr/>
          <w:p>
            <w:pPr>
              <w:pStyle w:val="Compact"/>
              <w:jc w:val="left"/>
            </w:pPr>
            <w:r>
              <w:t xml:space="preserve">T-101</w:t>
            </w:r>
          </w:p>
        </w:tc>
        <w:tc>
          <w:tcPr/>
          <w:p>
            <w:pPr>
              <w:pStyle w:val="Compact"/>
              <w:jc w:val="left"/>
            </w:pPr>
            <w:r>
              <w:t xml:space="preserve">TF</w:t>
            </w:r>
          </w:p>
        </w:tc>
        <w:tc>
          <w:tcPr/>
          <w:p>
            <w:pPr>
              <w:pStyle w:val="Compact"/>
              <w:jc w:val="center"/>
            </w:pPr>
            <w:r>
              <w:t xml:space="preserve">20.5656</w:t>
            </w:r>
          </w:p>
        </w:tc>
        <w:tc>
          <w:tcPr/>
          <w:p>
            <w:pPr>
              <w:pStyle w:val="Compact"/>
              <w:jc w:val="center"/>
            </w:pPr>
            <w:r>
              <w:t xml:space="preserve">32.6839</w:t>
            </w:r>
          </w:p>
        </w:tc>
        <w:tc>
          <w:tcPr/>
          <w:p>
            <w:pPr>
              <w:pStyle w:val="Compact"/>
              <w:jc w:val="center"/>
            </w:pPr>
            <w:r>
              <w:t xml:space="preserve">131.5741</w:t>
            </w:r>
          </w:p>
        </w:tc>
      </w:tr>
      <w:tr>
        <w:tc>
          <w:tcPr/>
          <w:p>
            <w:pPr>
              <w:pStyle w:val="Compact"/>
              <w:jc w:val="left"/>
            </w:pPr>
            <w:r>
              <w:t xml:space="preserve">T-101</w:t>
            </w:r>
          </w:p>
        </w:tc>
        <w:tc>
          <w:tcPr/>
          <w:p>
            <w:pPr>
              <w:pStyle w:val="Compact"/>
              <w:jc w:val="left"/>
            </w:pPr>
            <w:r>
              <w:t xml:space="preserve">FOPDT</w:t>
            </w:r>
          </w:p>
        </w:tc>
        <w:tc>
          <w:tcPr/>
          <w:p>
            <w:pPr>
              <w:pStyle w:val="Compact"/>
              <w:jc w:val="center"/>
            </w:pPr>
            <w:r>
              <w:t xml:space="preserve">18.7076</w:t>
            </w:r>
          </w:p>
        </w:tc>
        <w:tc>
          <w:tcPr/>
          <w:p>
            <w:pPr>
              <w:pStyle w:val="Compact"/>
              <w:jc w:val="center"/>
            </w:pPr>
            <w:r>
              <w:t xml:space="preserve">26.2708</w:t>
            </w:r>
          </w:p>
        </w:tc>
        <w:tc>
          <w:tcPr/>
          <w:p>
            <w:pPr>
              <w:pStyle w:val="Compact"/>
              <w:jc w:val="center"/>
            </w:pPr>
            <w:r>
              <w:t xml:space="preserve">125.1015</w:t>
            </w:r>
          </w:p>
        </w:tc>
      </w:tr>
      <w:tr>
        <w:tc>
          <w:tcPr/>
          <w:p>
            <w:pPr>
              <w:pStyle w:val="Compact"/>
              <w:jc w:val="left"/>
            </w:pPr>
            <w:r>
              <w:t xml:space="preserve">T-102</w:t>
            </w:r>
          </w:p>
        </w:tc>
        <w:tc>
          <w:tcPr/>
          <w:p>
            <w:pPr>
              <w:pStyle w:val="Compact"/>
              <w:jc w:val="left"/>
            </w:pPr>
            <w:r>
              <w:t xml:space="preserve">SS</w:t>
            </w:r>
          </w:p>
        </w:tc>
        <w:tc>
          <w:tcPr/>
          <w:p>
            <w:pPr>
              <w:pStyle w:val="Compact"/>
              <w:jc w:val="center"/>
            </w:pPr>
            <w:r>
              <w:t xml:space="preserve">20.9149</w:t>
            </w:r>
          </w:p>
        </w:tc>
        <w:tc>
          <w:tcPr/>
          <w:p>
            <w:pPr>
              <w:pStyle w:val="Compact"/>
              <w:jc w:val="center"/>
            </w:pPr>
            <w:r>
              <w:t xml:space="preserve">158.4216</w:t>
            </w:r>
          </w:p>
        </w:tc>
        <w:tc>
          <w:tcPr/>
          <w:p>
            <w:pPr>
              <w:pStyle w:val="Compact"/>
              <w:jc w:val="center"/>
            </w:pPr>
            <w:r>
              <w:t xml:space="preserve">59.0310</w:t>
            </w:r>
          </w:p>
        </w:tc>
      </w:tr>
      <w:tr>
        <w:tc>
          <w:tcPr/>
          <w:p>
            <w:pPr>
              <w:pStyle w:val="Compact"/>
              <w:jc w:val="left"/>
            </w:pPr>
            <w:r>
              <w:t xml:space="preserve">T-102</w:t>
            </w:r>
          </w:p>
        </w:tc>
        <w:tc>
          <w:tcPr/>
          <w:p>
            <w:pPr>
              <w:pStyle w:val="Compact"/>
              <w:jc w:val="left"/>
            </w:pPr>
            <w:r>
              <w:t xml:space="preserve">ARX</w:t>
            </w:r>
          </w:p>
        </w:tc>
        <w:tc>
          <w:tcPr/>
          <w:p>
            <w:pPr>
              <w:pStyle w:val="Compact"/>
              <w:jc w:val="center"/>
            </w:pPr>
            <w:r>
              <w:t xml:space="preserve">21.8780</w:t>
            </w:r>
          </w:p>
        </w:tc>
        <w:tc>
          <w:tcPr/>
          <w:p>
            <w:pPr>
              <w:pStyle w:val="Compact"/>
              <w:jc w:val="center"/>
            </w:pPr>
            <w:r>
              <w:t xml:space="preserve">223.5930</w:t>
            </w:r>
          </w:p>
        </w:tc>
        <w:tc>
          <w:tcPr/>
          <w:p>
            <w:pPr>
              <w:pStyle w:val="Compact"/>
              <w:jc w:val="center"/>
            </w:pPr>
            <w:r>
              <w:t xml:space="preserve">60.0760</w:t>
            </w:r>
          </w:p>
        </w:tc>
      </w:tr>
      <w:tr>
        <w:tc>
          <w:tcPr/>
          <w:p>
            <w:pPr>
              <w:pStyle w:val="Compact"/>
              <w:jc w:val="left"/>
            </w:pPr>
            <w:r>
              <w:t xml:space="preserve">T-102</w:t>
            </w:r>
          </w:p>
        </w:tc>
        <w:tc>
          <w:tcPr/>
          <w:p>
            <w:pPr>
              <w:pStyle w:val="Compact"/>
              <w:jc w:val="left"/>
            </w:pPr>
            <w:r>
              <w:t xml:space="preserve">ARMAX</w:t>
            </w:r>
          </w:p>
        </w:tc>
        <w:tc>
          <w:tcPr/>
          <w:p>
            <w:pPr>
              <w:pStyle w:val="Compact"/>
              <w:jc w:val="center"/>
            </w:pPr>
            <w:r>
              <w:t xml:space="preserve">22.0188</w:t>
            </w:r>
          </w:p>
        </w:tc>
        <w:tc>
          <w:tcPr/>
          <w:p>
            <w:pPr>
              <w:pStyle w:val="Compact"/>
              <w:jc w:val="center"/>
            </w:pPr>
            <w:r>
              <w:t xml:space="preserve">225.6600</w:t>
            </w:r>
          </w:p>
        </w:tc>
        <w:tc>
          <w:tcPr/>
          <w:p>
            <w:pPr>
              <w:pStyle w:val="Compact"/>
              <w:jc w:val="center"/>
            </w:pPr>
            <w:r>
              <w:rPr>
                <w:b/>
                <w:bCs/>
              </w:rPr>
              <w:t xml:space="preserve">55.1203</w:t>
            </w:r>
          </w:p>
        </w:tc>
      </w:tr>
      <w:tr>
        <w:tc>
          <w:tcPr/>
          <w:p>
            <w:pPr>
              <w:pStyle w:val="Compact"/>
              <w:jc w:val="left"/>
            </w:pPr>
            <w:r>
              <w:t xml:space="preserve">T-102</w:t>
            </w:r>
          </w:p>
        </w:tc>
        <w:tc>
          <w:tcPr/>
          <w:p>
            <w:pPr>
              <w:pStyle w:val="Compact"/>
              <w:jc w:val="left"/>
            </w:pPr>
            <w:r>
              <w:t xml:space="preserve">TF</w:t>
            </w:r>
          </w:p>
        </w:tc>
        <w:tc>
          <w:tcPr/>
          <w:p>
            <w:pPr>
              <w:pStyle w:val="Compact"/>
              <w:jc w:val="center"/>
            </w:pPr>
            <w:r>
              <w:t xml:space="preserve">44.6542</w:t>
            </w:r>
          </w:p>
        </w:tc>
        <w:tc>
          <w:tcPr/>
          <w:p>
            <w:pPr>
              <w:pStyle w:val="Compact"/>
              <w:jc w:val="center"/>
            </w:pPr>
            <w:r>
              <w:t xml:space="preserve">1050.2536</w:t>
            </w:r>
          </w:p>
        </w:tc>
        <w:tc>
          <w:tcPr/>
          <w:p>
            <w:pPr>
              <w:pStyle w:val="Compact"/>
              <w:jc w:val="center"/>
            </w:pPr>
            <w:r>
              <w:t xml:space="preserve">74.9766</w:t>
            </w:r>
          </w:p>
        </w:tc>
      </w:tr>
      <w:tr>
        <w:tc>
          <w:tcPr/>
          <w:p>
            <w:pPr>
              <w:pStyle w:val="Compact"/>
              <w:jc w:val="left"/>
            </w:pPr>
            <w:r>
              <w:t xml:space="preserve">T-102</w:t>
            </w:r>
          </w:p>
        </w:tc>
        <w:tc>
          <w:tcPr/>
          <w:p>
            <w:pPr>
              <w:pStyle w:val="Compact"/>
              <w:jc w:val="left"/>
            </w:pPr>
            <w:r>
              <w:t xml:space="preserve">FOPDT</w:t>
            </w:r>
          </w:p>
        </w:tc>
        <w:tc>
          <w:tcPr/>
          <w:p>
            <w:pPr>
              <w:pStyle w:val="Compact"/>
              <w:jc w:val="center"/>
            </w:pPr>
            <w:r>
              <w:rPr>
                <w:b/>
                <w:bCs/>
              </w:rPr>
              <w:t xml:space="preserve">20.7053</w:t>
            </w:r>
          </w:p>
        </w:tc>
        <w:tc>
          <w:tcPr/>
          <w:p>
            <w:pPr>
              <w:pStyle w:val="Compact"/>
              <w:jc w:val="center"/>
            </w:pPr>
            <w:r>
              <w:rPr>
                <w:b/>
                <w:bCs/>
              </w:rPr>
              <w:t xml:space="preserve">153.2183</w:t>
            </w:r>
          </w:p>
        </w:tc>
        <w:tc>
          <w:tcPr/>
          <w:p>
            <w:pPr>
              <w:pStyle w:val="Compact"/>
              <w:jc w:val="center"/>
            </w:pPr>
            <w:r>
              <w:t xml:space="preserve">62.0400</w:t>
            </w:r>
          </w:p>
        </w:tc>
      </w:tr>
    </w:tbl>
    <w:bookmarkEnd w:id="64"/>
    <w:bookmarkStart w:id="65" w:name="tab:ControlIntegralesP2"/>
    <w:p>
      <w:pPr>
        <w:pStyle w:val="TableCaption"/>
      </w:pPr>
      <w:r>
        <w:t xml:space="preserve">Criterios integrales de desempeño del controlador durante la perturbación P2.</w:t>
      </w:r>
    </w:p>
    <w:tbl>
      <w:tblPr>
        <w:tblStyle w:val="Table"/>
        <w:tblW w:type="auto" w:w="0"/>
        <w:tblLook w:firstRow="1" w:lastRow="0" w:firstColumn="0" w:lastColumn="0" w:noHBand="0" w:noVBand="0" w:val="0020"/>
        <w:tblCaption w:val="Criterios integrales de desempeño del controlador durante la perturbación P2."/>
      </w:tblPr>
      <w:tblGrid>
        <w:gridCol w:w="1584"/>
        <w:gridCol w:w="1584"/>
        <w:gridCol w:w="1584"/>
        <w:gridCol w:w="1584"/>
        <w:gridCol w:w="1584"/>
      </w:tblGrid>
      <w:tr>
        <w:trPr>
          <w:tblHeader w:val="on"/>
        </w:trPr>
        <w:tc>
          <w:tcPr/>
          <w:p>
            <w:pPr>
              <w:pStyle w:val="Compact"/>
              <w:jc w:val="left"/>
            </w:pPr>
            <w:r>
              <w:t xml:space="preserve">Columna</w:t>
            </w:r>
          </w:p>
        </w:tc>
        <w:tc>
          <w:tcPr/>
          <w:p>
            <w:pPr>
              <w:pStyle w:val="Compact"/>
              <w:jc w:val="left"/>
            </w:pPr>
            <w:r>
              <w:t xml:space="preserve">Modelo</w:t>
            </w:r>
          </w:p>
        </w:tc>
        <w:tc>
          <w:tcPr/>
          <w:p>
            <w:pPr>
              <w:pStyle w:val="Compact"/>
              <w:jc w:val="center"/>
            </w:pPr>
            <w:r>
              <w:t xml:space="preserve">IAE</w:t>
            </w:r>
          </w:p>
        </w:tc>
        <w:tc>
          <w:tcPr/>
          <w:p>
            <w:pPr>
              <w:pStyle w:val="Compact"/>
              <w:jc w:val="center"/>
            </w:pPr>
            <w:r>
              <w:t xml:space="preserve">ISE</w:t>
            </w:r>
          </w:p>
        </w:tc>
        <w:tc>
          <w:tcPr/>
          <w:p>
            <w:pPr>
              <w:pStyle w:val="Compact"/>
              <w:jc w:val="center"/>
            </w:pPr>
            <w:r>
              <w:t xml:space="preserve">ITAE</w:t>
            </w:r>
          </w:p>
        </w:tc>
      </w:tr>
      <w:tr>
        <w:tc>
          <w:tcPr/>
          <w:p>
            <w:pPr>
              <w:pStyle w:val="Compact"/>
              <w:jc w:val="left"/>
            </w:pPr>
            <w:r>
              <w:t xml:space="preserve">T-101</w:t>
            </w:r>
          </w:p>
        </w:tc>
        <w:tc>
          <w:tcPr/>
          <w:p>
            <w:pPr>
              <w:pStyle w:val="Compact"/>
              <w:jc w:val="left"/>
            </w:pPr>
            <w:r>
              <w:t xml:space="preserve">SS</w:t>
            </w:r>
          </w:p>
        </w:tc>
        <w:tc>
          <w:tcPr/>
          <w:p>
            <w:pPr>
              <w:pStyle w:val="Compact"/>
              <w:jc w:val="center"/>
            </w:pPr>
            <w:r>
              <w:t xml:space="preserve">17.0926</w:t>
            </w:r>
          </w:p>
        </w:tc>
        <w:tc>
          <w:tcPr/>
          <w:p>
            <w:pPr>
              <w:pStyle w:val="Compact"/>
              <w:jc w:val="center"/>
            </w:pPr>
            <w:r>
              <w:t xml:space="preserve">14.8854</w:t>
            </w:r>
          </w:p>
        </w:tc>
        <w:tc>
          <w:tcPr/>
          <w:p>
            <w:pPr>
              <w:pStyle w:val="Compact"/>
              <w:jc w:val="center"/>
            </w:pPr>
            <w:r>
              <w:t xml:space="preserve">162.3119</w:t>
            </w:r>
          </w:p>
        </w:tc>
      </w:tr>
      <w:tr>
        <w:tc>
          <w:tcPr/>
          <w:p>
            <w:pPr>
              <w:pStyle w:val="Compact"/>
              <w:jc w:val="left"/>
            </w:pPr>
            <w:r>
              <w:t xml:space="preserve">T-101</w:t>
            </w:r>
          </w:p>
        </w:tc>
        <w:tc>
          <w:tcPr/>
          <w:p>
            <w:pPr>
              <w:pStyle w:val="Compact"/>
              <w:jc w:val="left"/>
            </w:pPr>
            <w:r>
              <w:t xml:space="preserve">ARX</w:t>
            </w:r>
          </w:p>
        </w:tc>
        <w:tc>
          <w:tcPr/>
          <w:p>
            <w:pPr>
              <w:pStyle w:val="Compact"/>
              <w:jc w:val="center"/>
            </w:pPr>
            <w:r>
              <w:t xml:space="preserve">16.2154</w:t>
            </w:r>
          </w:p>
        </w:tc>
        <w:tc>
          <w:tcPr/>
          <w:p>
            <w:pPr>
              <w:pStyle w:val="Compact"/>
              <w:jc w:val="center"/>
            </w:pPr>
            <w:r>
              <w:t xml:space="preserve">13.5419</w:t>
            </w:r>
          </w:p>
        </w:tc>
        <w:tc>
          <w:tcPr/>
          <w:p>
            <w:pPr>
              <w:pStyle w:val="Compact"/>
              <w:jc w:val="center"/>
            </w:pPr>
            <w:r>
              <w:t xml:space="preserve">151.1818</w:t>
            </w:r>
          </w:p>
        </w:tc>
      </w:tr>
      <w:tr>
        <w:tc>
          <w:tcPr/>
          <w:p>
            <w:pPr>
              <w:pStyle w:val="Compact"/>
              <w:jc w:val="left"/>
            </w:pPr>
            <w:r>
              <w:t xml:space="preserve">T-101</w:t>
            </w:r>
          </w:p>
        </w:tc>
        <w:tc>
          <w:tcPr/>
          <w:p>
            <w:pPr>
              <w:pStyle w:val="Compact"/>
              <w:jc w:val="left"/>
            </w:pPr>
            <w:r>
              <w:t xml:space="preserve">ARMAX</w:t>
            </w:r>
          </w:p>
        </w:tc>
        <w:tc>
          <w:tcPr/>
          <w:p>
            <w:pPr>
              <w:pStyle w:val="Compact"/>
              <w:jc w:val="center"/>
            </w:pPr>
            <w:r>
              <w:rPr>
                <w:b/>
                <w:bCs/>
              </w:rPr>
              <w:t xml:space="preserve">16.0023</w:t>
            </w:r>
          </w:p>
        </w:tc>
        <w:tc>
          <w:tcPr/>
          <w:p>
            <w:pPr>
              <w:pStyle w:val="Compact"/>
              <w:jc w:val="center"/>
            </w:pPr>
            <w:r>
              <w:rPr>
                <w:b/>
                <w:bCs/>
              </w:rPr>
              <w:t xml:space="preserve">13.2267</w:t>
            </w:r>
          </w:p>
        </w:tc>
        <w:tc>
          <w:tcPr/>
          <w:p>
            <w:pPr>
              <w:pStyle w:val="Compact"/>
              <w:jc w:val="center"/>
            </w:pPr>
            <w:r>
              <w:rPr>
                <w:b/>
                <w:bCs/>
              </w:rPr>
              <w:t xml:space="preserve">148.3574</w:t>
            </w:r>
          </w:p>
        </w:tc>
      </w:tr>
      <w:tr>
        <w:tc>
          <w:tcPr/>
          <w:p>
            <w:pPr>
              <w:pStyle w:val="Compact"/>
              <w:jc w:val="left"/>
            </w:pPr>
            <w:r>
              <w:t xml:space="preserve">T-101</w:t>
            </w:r>
          </w:p>
        </w:tc>
        <w:tc>
          <w:tcPr/>
          <w:p>
            <w:pPr>
              <w:pStyle w:val="Compact"/>
              <w:jc w:val="left"/>
            </w:pPr>
            <w:r>
              <w:t xml:space="preserve">TF</w:t>
            </w:r>
          </w:p>
        </w:tc>
        <w:tc>
          <w:tcPr/>
          <w:p>
            <w:pPr>
              <w:pStyle w:val="Compact"/>
              <w:jc w:val="center"/>
            </w:pPr>
            <w:r>
              <w:t xml:space="preserve">18.3538</w:t>
            </w:r>
          </w:p>
        </w:tc>
        <w:tc>
          <w:tcPr/>
          <w:p>
            <w:pPr>
              <w:pStyle w:val="Compact"/>
              <w:jc w:val="center"/>
            </w:pPr>
            <w:r>
              <w:t xml:space="preserve">17.2229</w:t>
            </w:r>
          </w:p>
        </w:tc>
        <w:tc>
          <w:tcPr/>
          <w:p>
            <w:pPr>
              <w:pStyle w:val="Compact"/>
              <w:jc w:val="center"/>
            </w:pPr>
            <w:r>
              <w:t xml:space="preserve">172.0311</w:t>
            </w:r>
          </w:p>
        </w:tc>
      </w:tr>
      <w:tr>
        <w:tc>
          <w:tcPr/>
          <w:p>
            <w:pPr>
              <w:pStyle w:val="Compact"/>
              <w:jc w:val="left"/>
            </w:pPr>
            <w:r>
              <w:t xml:space="preserve">T-101</w:t>
            </w:r>
          </w:p>
        </w:tc>
        <w:tc>
          <w:tcPr/>
          <w:p>
            <w:pPr>
              <w:pStyle w:val="Compact"/>
              <w:jc w:val="left"/>
            </w:pPr>
            <w:r>
              <w:t xml:space="preserve">FOPDT</w:t>
            </w:r>
          </w:p>
        </w:tc>
        <w:tc>
          <w:tcPr/>
          <w:p>
            <w:pPr>
              <w:pStyle w:val="Compact"/>
              <w:jc w:val="center"/>
            </w:pPr>
            <w:r>
              <w:t xml:space="preserve">17.4630</w:t>
            </w:r>
          </w:p>
        </w:tc>
        <w:tc>
          <w:tcPr/>
          <w:p>
            <w:pPr>
              <w:pStyle w:val="Compact"/>
              <w:jc w:val="center"/>
            </w:pPr>
            <w:r>
              <w:t xml:space="preserve">15.5124</w:t>
            </w:r>
          </w:p>
        </w:tc>
        <w:tc>
          <w:tcPr/>
          <w:p>
            <w:pPr>
              <w:pStyle w:val="Compact"/>
              <w:jc w:val="center"/>
            </w:pPr>
            <w:r>
              <w:t xml:space="preserve">166.5548</w:t>
            </w:r>
          </w:p>
        </w:tc>
      </w:tr>
      <w:tr>
        <w:tc>
          <w:tcPr/>
          <w:p>
            <w:pPr>
              <w:pStyle w:val="Compact"/>
              <w:jc w:val="left"/>
            </w:pPr>
            <w:r>
              <w:t xml:space="preserve">T-102</w:t>
            </w:r>
          </w:p>
        </w:tc>
        <w:tc>
          <w:tcPr/>
          <w:p>
            <w:pPr>
              <w:pStyle w:val="Compact"/>
              <w:jc w:val="left"/>
            </w:pPr>
            <w:r>
              <w:t xml:space="preserve">SS</w:t>
            </w:r>
          </w:p>
        </w:tc>
        <w:tc>
          <w:tcPr/>
          <w:p>
            <w:pPr>
              <w:pStyle w:val="Compact"/>
              <w:jc w:val="center"/>
            </w:pPr>
            <w:r>
              <w:t xml:space="preserve">37.8201</w:t>
            </w:r>
          </w:p>
        </w:tc>
        <w:tc>
          <w:tcPr/>
          <w:p>
            <w:pPr>
              <w:pStyle w:val="Compact"/>
              <w:jc w:val="center"/>
            </w:pPr>
            <w:r>
              <w:t xml:space="preserve">151.3642</w:t>
            </w:r>
          </w:p>
        </w:tc>
        <w:tc>
          <w:tcPr/>
          <w:p>
            <w:pPr>
              <w:pStyle w:val="Compact"/>
              <w:jc w:val="center"/>
            </w:pPr>
            <w:r>
              <w:rPr>
                <w:b/>
                <w:bCs/>
              </w:rPr>
              <w:t xml:space="preserve">198.0105</w:t>
            </w:r>
          </w:p>
        </w:tc>
      </w:tr>
      <w:tr>
        <w:tc>
          <w:tcPr/>
          <w:p>
            <w:pPr>
              <w:pStyle w:val="Compact"/>
              <w:jc w:val="left"/>
            </w:pPr>
            <w:r>
              <w:t xml:space="preserve">T-102</w:t>
            </w:r>
          </w:p>
        </w:tc>
        <w:tc>
          <w:tcPr/>
          <w:p>
            <w:pPr>
              <w:pStyle w:val="Compact"/>
              <w:jc w:val="left"/>
            </w:pPr>
            <w:r>
              <w:t xml:space="preserve">ARX</w:t>
            </w:r>
          </w:p>
        </w:tc>
        <w:tc>
          <w:tcPr/>
          <w:p>
            <w:pPr>
              <w:pStyle w:val="Compact"/>
              <w:jc w:val="center"/>
            </w:pPr>
            <w:r>
              <w:t xml:space="preserve">41.2758</w:t>
            </w:r>
          </w:p>
        </w:tc>
        <w:tc>
          <w:tcPr/>
          <w:p>
            <w:pPr>
              <w:pStyle w:val="Compact"/>
              <w:jc w:val="center"/>
            </w:pPr>
            <w:r>
              <w:t xml:space="preserve">168.5212</w:t>
            </w:r>
          </w:p>
        </w:tc>
        <w:tc>
          <w:tcPr/>
          <w:p>
            <w:pPr>
              <w:pStyle w:val="Compact"/>
              <w:jc w:val="center"/>
            </w:pPr>
            <w:r>
              <w:t xml:space="preserve">230.9104</w:t>
            </w:r>
          </w:p>
        </w:tc>
      </w:tr>
      <w:tr>
        <w:tc>
          <w:tcPr/>
          <w:p>
            <w:pPr>
              <w:pStyle w:val="Compact"/>
              <w:jc w:val="left"/>
            </w:pPr>
            <w:r>
              <w:t xml:space="preserve">T-102</w:t>
            </w:r>
          </w:p>
        </w:tc>
        <w:tc>
          <w:tcPr/>
          <w:p>
            <w:pPr>
              <w:pStyle w:val="Compact"/>
              <w:jc w:val="left"/>
            </w:pPr>
            <w:r>
              <w:t xml:space="preserve">ARMAX</w:t>
            </w:r>
          </w:p>
        </w:tc>
        <w:tc>
          <w:tcPr/>
          <w:p>
            <w:pPr>
              <w:pStyle w:val="Compact"/>
              <w:jc w:val="center"/>
            </w:pPr>
            <w:r>
              <w:t xml:space="preserve">41.7543</w:t>
            </w:r>
          </w:p>
        </w:tc>
        <w:tc>
          <w:tcPr/>
          <w:p>
            <w:pPr>
              <w:pStyle w:val="Compact"/>
              <w:jc w:val="center"/>
            </w:pPr>
            <w:r>
              <w:t xml:space="preserve">177.5120</w:t>
            </w:r>
          </w:p>
        </w:tc>
        <w:tc>
          <w:tcPr/>
          <w:p>
            <w:pPr>
              <w:pStyle w:val="Compact"/>
              <w:jc w:val="center"/>
            </w:pPr>
            <w:r>
              <w:t xml:space="preserve">219.4193</w:t>
            </w:r>
          </w:p>
        </w:tc>
      </w:tr>
      <w:tr>
        <w:tc>
          <w:tcPr/>
          <w:p>
            <w:pPr>
              <w:pStyle w:val="Compact"/>
              <w:jc w:val="left"/>
            </w:pPr>
            <w:r>
              <w:t xml:space="preserve">T-102</w:t>
            </w:r>
          </w:p>
        </w:tc>
        <w:tc>
          <w:tcPr/>
          <w:p>
            <w:pPr>
              <w:pStyle w:val="Compact"/>
              <w:jc w:val="left"/>
            </w:pPr>
            <w:r>
              <w:t xml:space="preserve">TF</w:t>
            </w:r>
          </w:p>
        </w:tc>
        <w:tc>
          <w:tcPr/>
          <w:p>
            <w:pPr>
              <w:pStyle w:val="Compact"/>
              <w:jc w:val="center"/>
            </w:pPr>
            <w:r>
              <w:t xml:space="preserve">60.8113</w:t>
            </w:r>
          </w:p>
        </w:tc>
        <w:tc>
          <w:tcPr/>
          <w:p>
            <w:pPr>
              <w:pStyle w:val="Compact"/>
              <w:jc w:val="center"/>
            </w:pPr>
            <w:r>
              <w:t xml:space="preserve">317.6746</w:t>
            </w:r>
          </w:p>
        </w:tc>
        <w:tc>
          <w:tcPr/>
          <w:p>
            <w:pPr>
              <w:pStyle w:val="Compact"/>
              <w:jc w:val="center"/>
            </w:pPr>
            <w:r>
              <w:t xml:space="preserve">342.7771</w:t>
            </w:r>
          </w:p>
        </w:tc>
      </w:tr>
      <w:tr>
        <w:tc>
          <w:tcPr/>
          <w:p>
            <w:pPr>
              <w:pStyle w:val="Compact"/>
              <w:jc w:val="left"/>
            </w:pPr>
            <w:r>
              <w:t xml:space="preserve">T-102</w:t>
            </w:r>
          </w:p>
        </w:tc>
        <w:tc>
          <w:tcPr/>
          <w:p>
            <w:pPr>
              <w:pStyle w:val="Compact"/>
              <w:jc w:val="left"/>
            </w:pPr>
            <w:r>
              <w:t xml:space="preserve">FOPDT</w:t>
            </w:r>
          </w:p>
        </w:tc>
        <w:tc>
          <w:tcPr/>
          <w:p>
            <w:pPr>
              <w:pStyle w:val="Compact"/>
              <w:jc w:val="center"/>
            </w:pPr>
            <w:r>
              <w:rPr>
                <w:b/>
                <w:bCs/>
              </w:rPr>
              <w:t xml:space="preserve">37.2705</w:t>
            </w:r>
          </w:p>
        </w:tc>
        <w:tc>
          <w:tcPr/>
          <w:p>
            <w:pPr>
              <w:pStyle w:val="Compact"/>
              <w:jc w:val="center"/>
            </w:pPr>
            <w:r>
              <w:rPr>
                <w:b/>
                <w:bCs/>
              </w:rPr>
              <w:t xml:space="preserve">144.9297</w:t>
            </w:r>
          </w:p>
        </w:tc>
        <w:tc>
          <w:tcPr/>
          <w:p>
            <w:pPr>
              <w:pStyle w:val="Compact"/>
              <w:jc w:val="center"/>
            </w:pPr>
            <w:r>
              <w:t xml:space="preserve">204.0501</w:t>
            </w:r>
          </w:p>
        </w:tc>
      </w:tr>
    </w:tbl>
    <w:bookmarkEnd w:id="65"/>
    <w:p>
      <w:pPr>
        <w:pStyle w:val="BodyText"/>
      </w:pPr>
      <w:r>
        <w:t xml:space="preserve">Los resultados obtenidos muestran que los modelos ARX y ARMAX presentan el mejor desempeño dinámico para la columna T-101 en ambas perturbaciones, alcanzando los menores valores de IAE, ISE e ITAE. Esto indica una mejor capacidad de seguimiento del setpoint y una reducción tanto de la magnitud como de la duración del error dinámico frente a cambios en las condiciones de operación. Para la columna T-102, el modelo FOPDT presentó los menores valores de IAE e ISE en ambas perturbaciones, mientras que el modelo Space State obtuvo el menor ITAE durante la perturbación P2. En contraste, el modelo TF exhibió consistentemente los mayores errores integrales, particularmente en términos de ISE, evidenciando una menor capacidad para representar adecuadamente la dinámica transitoria de la columna bajo el esquema MPC implementado.</w:t>
      </w:r>
    </w:p>
    <w:bookmarkEnd w:id="66"/>
    <w:bookmarkStart w:id="67" w:name="X3960fa4ef8afef96ca3086f3545a2dabc118386"/>
    <w:p>
      <w:pPr>
        <w:pStyle w:val="Heading2"/>
      </w:pPr>
      <w:r>
        <w:t xml:space="preserve">Selección del modelo y propuesta de control híbrido</w:t>
      </w:r>
    </w:p>
    <w:p>
      <w:pPr>
        <w:pStyle w:val="FirstParagraph"/>
      </w:pPr>
      <w:r>
        <w:t xml:space="preserve">La selección final de los modelos subrogados no se realizó únicamente con base en las métricas estadísticas de identificación, sino considerando simultáneamente el desempeño dinámico bajo control MPC y los costos computacionales asociados a la implementación del controlador. Este enfoque permitió evaluar de manera integral la capacidad de cada estructura para representar la dinámica del proceso y su comportamiento dentro de un esquema de control predictivo aplicado a columnas de destilación extractiva. Para la columna</w:t>
      </w:r>
      <w:r>
        <w:t xml:space="preserve"> </w:t>
      </w:r>
      <m:oMath>
        <m:r>
          <m:t>T</m:t>
        </m:r>
        <m:r>
          <m:rPr>
            <m:nor/>
            <m:sty m:val="p"/>
          </m:rPr>
          <m:t>-</m:t>
        </m:r>
        <m:r>
          <m:t>101</m:t>
        </m:r>
      </m:oMath>
      <w:r>
        <w:t xml:space="preserve">, los modelos ARX y ARMAX presentaron consistentemente los menores valores de IAE, ISE e ITAE durante ambas perturbaciones evaluadas. En particular, el modelo ARMAX obtuvo el mejor desempeño global en las métricas integrales, evidenciando una mayor capacidad para rechazar perturbaciones y mantener la variable controlada cercana al valor de referencia. Aunque el modelo Space State presentó un mejor ajuste estadístico durante la etapa de validación, su costo computacional resultó significativamente superior y no se tradujo en un mejor desempeño dinámico bajo MPC. Por esta razón, el modelo ARMAX fue seleccionado como la estructura más adecuada para representar la dinámica de la columna</w:t>
      </w:r>
      <w:r>
        <w:t xml:space="preserve"> </w:t>
      </w:r>
      <m:oMath>
        <m:r>
          <m:t>T</m:t>
        </m:r>
        <m:r>
          <m:rPr>
            <m:nor/>
            <m:sty m:val="p"/>
          </m:rPr>
          <m:t>-</m:t>
        </m:r>
        <m:r>
          <m:t>101</m:t>
        </m:r>
      </m:oMath>
      <w:r>
        <w:t xml:space="preserve">. En el caso de la columna</w:t>
      </w:r>
      <w:r>
        <w:t xml:space="preserve"> </w:t>
      </w:r>
      <m:oMath>
        <m:r>
          <m:t>T</m:t>
        </m:r>
        <m:r>
          <m:rPr>
            <m:nor/>
            <m:sty m:val="p"/>
          </m:rPr>
          <m:t>-</m:t>
        </m:r>
        <m:r>
          <m:t>102</m:t>
        </m:r>
      </m:oMath>
      <w:r>
        <w:t xml:space="preserve">, los resultados mostraron un comportamiento distinto. El modelo FOPDT presentó los menores valores de IAE e ISE en ambas perturbaciones, mientras que el modelo Space State obtuvo el menor ITAE durante la perturbación</w:t>
      </w:r>
      <w:r>
        <w:t xml:space="preserve"> </w:t>
      </w:r>
      <m:oMath>
        <m:r>
          <m:t>P</m:t>
        </m:r>
        <m:r>
          <m:t>2</m:t>
        </m:r>
      </m:oMath>
      <w:r>
        <w:t xml:space="preserve">. Estos resultados indican que, para esta columna, modelos de estructura más simple fueron capaces de capturar adecuadamente la dinámica dominante del proceso y ofrecer un desempeño competitivo dentro del esquema MPC. Adicionalmente, el modelo FOPDT presentó uno de los menores costos computacionales y requerimientos de memoria entre todos los modelos evaluados, lo cual representa una ventaja importante desde el punto de vista de implementación en tiempo real. A partir de estos resultados, se propone una estrategia de control híbrido en la cual cada columna emplea el modelo subrogado que presentó el mejor compromiso entre precisión dinámica, robustez frente a perturbaciones y eficiencia computacional. Bajo este criterio, la estrategia seleccionada consiste en:</w:t>
      </w:r>
    </w:p>
    <w:p>
      <w:pPr>
        <w:pStyle w:val="BodyText"/>
      </w:pPr>
      <m:oMathPara>
        <m:oMathParaPr>
          <m:jc m:val="center"/>
        </m:oMathParaPr>
        <m:oMath>
          <m:r>
            <m:t>T</m:t>
          </m:r>
          <m:r>
            <m:rPr>
              <m:nor/>
              <m:sty m:val="p"/>
            </m:rPr>
            <m:t>-</m:t>
          </m:r>
          <m:r>
            <m:t>101</m:t>
          </m:r>
          <m:r>
            <m:rPr>
              <m:sty m:val="p"/>
            </m:rPr>
            <m:t>→</m:t>
          </m:r>
          <m:r>
            <m:rPr>
              <m:nor/>
              <m:sty m:val="p"/>
            </m:rPr>
            <m:t>ARMAX</m:t>
          </m:r>
        </m:oMath>
      </m:oMathPara>
    </w:p>
    <w:p>
      <w:pPr>
        <w:pStyle w:val="FirstParagraph"/>
      </w:pPr>
      <m:oMathPara>
        <m:oMathParaPr>
          <m:jc m:val="center"/>
        </m:oMathParaPr>
        <m:oMath>
          <m:r>
            <m:t>T</m:t>
          </m:r>
          <m:r>
            <m:rPr>
              <m:nor/>
              <m:sty m:val="p"/>
            </m:rPr>
            <m:t>-</m:t>
          </m:r>
          <m:r>
            <m:t>102</m:t>
          </m:r>
          <m:r>
            <m:rPr>
              <m:sty m:val="p"/>
            </m:rPr>
            <m:t>→</m:t>
          </m:r>
          <m:r>
            <m:rPr>
              <m:nor/>
              <m:sty m:val="p"/>
            </m:rPr>
            <m:t>FOPDT</m:t>
          </m:r>
        </m:oMath>
      </m:oMathPara>
    </w:p>
    <w:p>
      <w:pPr>
        <w:pStyle w:val="FirstParagraph"/>
      </w:pPr>
      <w:r>
        <w:t xml:space="preserve">La combinación propuesta permite aprovechar la mayor capacidad predictiva de los modelos ARMAX en sistemas con dinámicas más complejas, mientras que utiliza modelos FOPDT en procesos donde predominan dinámicas lentas y de menor complejidad estructural. De esta manera, el esquema híbrido reduce la carga computacional total del sistema de control sin comprometer el desempeño dinámico del MPC.</w:t>
      </w:r>
    </w:p>
    <w:bookmarkEnd w:id="67"/>
    <w:bookmarkEnd w:id="68"/>
    <w:bookmarkStart w:id="69" w:name="conclusiones"/>
    <w:p>
      <w:pPr>
        <w:pStyle w:val="Heading1"/>
      </w:pPr>
      <w:r>
        <w:t xml:space="preserve">Conclusiones</w:t>
      </w:r>
    </w:p>
    <w:p>
      <w:pPr>
        <w:pStyle w:val="FirstParagraph"/>
      </w:pPr>
      <w:r>
        <w:t xml:space="preserve">Del estado del arte se identificaron cinco técnicas de subrogación aplicables a control predictivo: ARX, ARMAX, FOPDT, función de transferencia (TF) y espacio de estados (SS). Sin embargo, el modelo Hammerstein-Wiener, también revisado en la literatura, no es compatible con esquemas de MPC lineal debido a su componente no lineal estático, por lo que solo cuatro familias de modelos resultan integrables de forma directa en el</w:t>
      </w:r>
      <w:r>
        <w:t xml:space="preserve"> </w:t>
      </w:r>
      <w:r>
        <w:rPr>
          <w:i/>
          <w:iCs/>
        </w:rPr>
        <w:t xml:space="preserve">Model Predictive Control Toolbox</w:t>
      </w:r>
      <w:r>
        <w:t xml:space="preserve">. Dentro de esas cuatro familias, ARX y ARMAX</w:t>
      </w:r>
      <w:r>
        <w:t xml:space="preserve"> </w:t>
      </w:r>
      <w:r>
        <w:t xml:space="preserve">se implementaron como estructuras separadas, dando lugar a los cinco modelos evaluados en este trabajo.</w:t>
      </w:r>
    </w:p>
    <w:p>
      <w:pPr>
        <w:pStyle w:val="BodyText"/>
      </w:pPr>
      <w:r>
        <w:t xml:space="preserve">La conclusión metodológica central del trabajo es que las métricas de ajuste en lazo abierto RECM y</w:t>
      </w:r>
      <w:r>
        <w:t xml:space="preserve"> </w:t>
      </w:r>
      <m:oMath>
        <m:sSup>
          <m:e>
            <m:r>
              <m:t>R</m:t>
            </m:r>
          </m:e>
          <m:sup>
            <m:r>
              <m:t>2</m:t>
            </m:r>
          </m:sup>
        </m:sSup>
      </m:oMath>
      <w:r>
        <w:t xml:space="preserve"> </w:t>
      </w:r>
      <w:r>
        <w:t xml:space="preserve">no son criterios válidos para la selección de modelos subrogados en aplicaciones de control predictivo. Estas métricas caracterizan la capacidad del modelo para reproducir trayectorias ya conocidas bajo condiciones de identificación, pero no capturan los requisitos que el MPC impone sobre el modelo: representar con fidelidad la dinámica dentro del horizonte de predicción, bajo retroalimentación continua y en presencia de perturbaciones no contempladas en los datos de entrenamiento. La falta de correlación entre el ranking de ajuste estadístico y el ranking de desempeño en lazo cerrado no es un resultado aislado de este proceso, sino una consecuencia estructural de esa diferencia de objetivos; por lo tanto, la evaluación mediante co-simulación bajo perturbaciones representativas debe considerarse un paso obligatorio en cualquier metodología de subrogación orientada a control. Una segunda conclusión es que la dinámica de cada subsistema determina la arquitectura de modelo más adecuada, y que esta elección no puede generalizarse dentro del mismo proceso. La columna extractiva requiere representar perturbaciones de composición no medidas en la alimentación, lo que exige la capacidad de modelado de ruido correlacionado que aportan los modelos de la familia ARMAX. La columna de recuperación de solvente, en cambio, exhibe una dinámica dominada por efectos integrativos de masa y energía que solo quedan bien representados cuando el modelo incluye variables de estado internas. Imponer una única arquitectura a ambas columnas habría degradado necesariamente el desempeño de control en al menos una de ellas. La propuesta de control híbridodescentralizado un modelo distinto por subsistema no es una solución ad hoc, sino la consecuencia lógica de reconocer que la heterogeneidad dinámica del proceso no puede ser absorbida por una estructura uniforme.</w:t>
      </w:r>
    </w:p>
    <w:p>
      <w:pPr>
        <w:pStyle w:val="BodyText"/>
      </w:pPr>
      <w:r>
        <w:t xml:space="preserve">El trabajo también permite concluir que los modelos lineales identificados alrededor del punto nominal de operación son suficientes para garantizar el rechazo de perturbaciones en el rango operativo evaluado. Esto implica que la complejidad adicional de modelos no</w:t>
      </w:r>
      <w:r>
        <w:t xml:space="preserve"> </w:t>
      </w:r>
      <w:r>
        <w:t xml:space="preserve">lineales no se justifica mientras el proceso opere cerca del punto de diseño, y que la estrategia de linealización local es una aproximación válida para esta clase de procesos de separación bajo las condiciones de perturbación consideradas.Respecto al modelo de función de transferencia, su desempeño inferior no responde a un ajuste estadístico deficiente, sino a una limitación estructural intrínseca: la representación continua en términosde polos y ceros no incorpora términosde memoria sobre salidas pasadas en tiempo discreto, que son precisamente los que permiten al optimizador anticipar y corregir desviaciones acumulativasde larga duración propiasde las dinámicas lentasde la destilación. Este hallazgo sugiere que la funciónde transferencia identificable, pese a su popularidady simplicidadde implementación, no esla estructura más adecuada para columnasde destilación cuando el objetivo es el rechazode perturbacionesbajo MPC.</w:t>
      </w:r>
    </w:p>
    <w:p>
      <w:pPr>
        <w:pStyle w:val="BodyText"/>
      </w:pPr>
      <w:r>
        <w:t xml:space="preserve">Finalmente, se concluye que el costo computacional no debe ser el criterio de selección del modelo en este tipo de aplicaciones. Dado que todos los modelos evaluados resuelven el problema de optimización en tiempos ó rdenes de magnitud menores que el intervalo de muestreo, la factibilidad en tiempo real está garantizada para cualquier estructura. Esta constatación tiene una implicación práctica importante: el ingeniero de control no enfrenta un compromiso real entre precisión diná mica y viabilidad computacional en procesos con diná micas del orden de horas, por lo que puede y debe seleccionar el modelo atendiendo exclusivamente a su desempeñ o en lazo cerrado.</w:t>
      </w:r>
    </w:p>
    <w:bookmarkEnd w:id="69"/>
    <w:bookmarkStart w:id="70" w:name="X1951c5b2c04ae45e8931246824a431e64c1a0c1"/>
    <w:p>
      <w:pPr>
        <w:pStyle w:val="Heading1"/>
      </w:pPr>
      <w:r>
        <w:t xml:space="preserve">Declaración de uso de inteligencia artificial generativa</w:t>
      </w:r>
    </w:p>
    <w:p>
      <w:pPr>
        <w:pStyle w:val="FirstParagraph"/>
      </w:pPr>
      <w:r>
        <w:t xml:space="preserve">En el articulo se realizaron revisiones y correcciones generales utilizando el modelo GPT-5.3 de OpenAI LLC. Se compartieron párrafos con el objetivo de corregir errores ortográficos y de redacción básicos. Los autores asumen la responsabilidad del contenido escrito.</w:t>
      </w:r>
    </w:p>
    <w:bookmarkEnd w:id="70"/>
    <w:bookmarkStart w:id="75" w:name="nomenclatura"/>
    <w:p>
      <w:pPr>
        <w:pStyle w:val="Heading1"/>
      </w:pPr>
      <w:r>
        <w:t xml:space="preserve">Nomenclatura</w:t>
      </w:r>
    </w:p>
    <w:bookmarkStart w:id="71" w:name="a.-símbolos-latinos"/>
    <w:p>
      <w:pPr>
        <w:pStyle w:val="Heading2"/>
      </w:pPr>
      <w:r>
        <w:t xml:space="preserve">A. Símbolos latinos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Símbolo</w:t>
            </w:r>
          </w:p>
        </w:tc>
        <w:tc>
          <w:tcPr/>
          <w:p>
            <w:pPr>
              <w:pStyle w:val="Compact"/>
              <w:jc w:val="left"/>
            </w:pPr>
            <w:r>
              <w:rPr>
                <w:b/>
                <w:bCs/>
              </w:rPr>
              <w:t xml:space="preserve">Descripción</w:t>
            </w:r>
          </w:p>
        </w:tc>
        <w:tc>
          <w:tcPr/>
          <w:p>
            <w:pPr>
              <w:pStyle w:val="Compact"/>
              <w:jc w:val="right"/>
            </w:pPr>
            <w:r>
              <w:rPr>
                <w:b/>
                <w:bCs/>
              </w:rPr>
              <w:t xml:space="preserve">Unidad</w:t>
            </w:r>
          </w:p>
        </w:tc>
      </w:tr>
      <w:tr>
        <w:tc>
          <w:tcPr/>
          <w:p>
            <w:pPr>
              <w:pStyle w:val="Compact"/>
              <w:jc w:val="left"/>
            </w:pPr>
            <m:oMath>
              <m:r>
                <m:t>A</m:t>
              </m:r>
            </m:oMath>
          </w:p>
        </w:tc>
        <w:tc>
          <w:tcPr/>
          <w:p>
            <w:pPr>
              <w:pStyle w:val="Compact"/>
              <w:jc w:val="left"/>
            </w:pPr>
            <w:r>
              <w:t xml:space="preserve">Matriz de estado del modelo en espacio de estados (Ecs. </w:t>
            </w:r>
            <w:hyperlink w:anchor="eq:statespace_state">
              <w:r>
                <w:rPr>
                  <w:rStyle w:val="Hyperlink"/>
                </w:rPr>
                <w:t xml:space="preserve">[eq:statespace_state]</w:t>
              </w:r>
            </w:hyperlink>
            <w:r>
              <w:t xml:space="preserve">–</w:t>
            </w:r>
            <w:hyperlink w:anchor="eq:statespace_output">
              <w:r>
                <w:rPr>
                  <w:rStyle w:val="Hyperlink"/>
                </w:rPr>
                <w:t xml:space="preserve">[eq:statespace_output]</w:t>
              </w:r>
            </w:hyperlink>
            <w:r>
              <w:t xml:space="preserve">)</w:t>
            </w:r>
          </w:p>
        </w:tc>
        <w:tc>
          <w:tcPr/>
          <w:p>
            <w:pPr>
              <w:pStyle w:val="Compact"/>
              <w:jc w:val="right"/>
            </w:pPr>
            <w:r>
              <w:t xml:space="preserve">–</w:t>
            </w:r>
          </w:p>
        </w:tc>
      </w:tr>
      <w:tr>
        <w:tc>
          <w:tcPr/>
          <w:p>
            <w:pPr>
              <w:pStyle w:val="Compact"/>
              <w:jc w:val="left"/>
            </w:pPr>
            <m:oMath>
              <m:r>
                <m:t>A</m:t>
              </m:r>
              <m:r>
                <m:rPr>
                  <m:sty m:val="p"/>
                </m:rPr>
                <m:t>(</m:t>
              </m:r>
              <m:r>
                <m:t>q</m:t>
              </m:r>
              <m:r>
                <m:rPr>
                  <m:sty m:val="p"/>
                </m:rPr>
                <m:t>)</m:t>
              </m:r>
            </m:oMath>
          </w:p>
        </w:tc>
        <w:tc>
          <w:tcPr/>
          <w:p>
            <w:pPr>
              <w:pStyle w:val="Compact"/>
              <w:jc w:val="left"/>
            </w:pPr>
            <w:r>
              <w:t xml:space="preserve">Polinomio autorregresivo del modelo ARX/ARMAX (Ecs. </w:t>
            </w:r>
            <w:hyperlink w:anchor="eq:arx_general">
              <w:r>
                <w:rPr>
                  <w:rStyle w:val="Hyperlink"/>
                </w:rPr>
                <w:t xml:space="preserve">[eq:arx_general]</w:t>
              </w:r>
            </w:hyperlink>
            <w:r>
              <w:t xml:space="preserve">–</w:t>
            </w:r>
            <w:hyperlink w:anchor="eq:arx_A">
              <w:r>
                <w:rPr>
                  <w:rStyle w:val="Hyperlink"/>
                </w:rPr>
                <w:t xml:space="preserve">[eq:arx_A]</w:t>
              </w:r>
            </w:hyperlink>
            <w:r>
              <w:t xml:space="preserve">)</w:t>
            </w:r>
          </w:p>
        </w:tc>
        <w:tc>
          <w:tcPr/>
          <w:p>
            <w:pPr>
              <w:pStyle w:val="Compact"/>
              <w:jc w:val="right"/>
            </w:pPr>
            <w:r>
              <w:t xml:space="preserve">–</w:t>
            </w:r>
          </w:p>
        </w:tc>
      </w:tr>
      <w:tr>
        <w:tc>
          <w:tcPr/>
          <w:p>
            <w:pPr>
              <w:pStyle w:val="Compact"/>
              <w:jc w:val="left"/>
            </w:pPr>
            <m:oMath>
              <m:sSub>
                <m:e>
                  <m:r>
                    <m:t>a</m:t>
                  </m:r>
                </m:e>
                <m:sub>
                  <m:r>
                    <m:t>i</m:t>
                  </m:r>
                </m:sub>
              </m:sSub>
            </m:oMath>
          </w:p>
        </w:tc>
        <w:tc>
          <w:tcPr/>
          <w:p>
            <w:pPr>
              <w:pStyle w:val="Compact"/>
              <w:jc w:val="left"/>
            </w:pPr>
            <w:r>
              <w:t xml:space="preserve">Coeficientes del polinomio</w:t>
            </w:r>
            <w:r>
              <w:t xml:space="preserve"> </w:t>
            </w:r>
            <m:oMath>
              <m:r>
                <m:t>A</m:t>
              </m:r>
              <m:r>
                <m:rPr>
                  <m:sty m:val="p"/>
                </m:rPr>
                <m:t>(</m:t>
              </m:r>
              <m:r>
                <m:t>q</m:t>
              </m:r>
              <m:r>
                <m:rPr>
                  <m:sty m:val="p"/>
                </m:rPr>
                <m:t>)</m:t>
              </m:r>
            </m:oMath>
            <w:r>
              <w:t xml:space="preserve">,</w:t>
            </w:r>
            <w:r>
              <w:t xml:space="preserve"> </w:t>
            </w:r>
            <m:oMath>
              <m:r>
                <m:t>i</m:t>
              </m:r>
              <m:r>
                <m:rPr>
                  <m:sty m:val="p"/>
                </m:rPr>
                <m:t>=</m:t>
              </m:r>
              <m:r>
                <m:t>1</m:t>
              </m:r>
              <m:r>
                <m:rPr>
                  <m:sty m:val="p"/>
                </m:rPr>
                <m:t>,</m:t>
              </m:r>
              <m:r>
                <m:rPr>
                  <m:sty m:val="p"/>
                </m:rPr>
                <m:t>…</m:t>
              </m:r>
              <m:r>
                <m:rPr>
                  <m:sty m:val="p"/>
                </m:rPr>
                <m:t>,</m:t>
              </m:r>
              <m:sSub>
                <m:e>
                  <m:r>
                    <m:t>n</m:t>
                  </m:r>
                </m:e>
                <m:sub>
                  <m:r>
                    <m:t>a</m:t>
                  </m:r>
                </m:sub>
              </m:sSub>
            </m:oMath>
          </w:p>
        </w:tc>
        <w:tc>
          <w:tcPr/>
          <w:p>
            <w:pPr>
              <w:pStyle w:val="Compact"/>
              <w:jc w:val="right"/>
            </w:pPr>
            <w:r>
              <w:t xml:space="preserve">–</w:t>
            </w:r>
          </w:p>
        </w:tc>
      </w:tr>
      <w:tr>
        <w:tc>
          <w:tcPr/>
          <w:p>
            <w:pPr>
              <w:pStyle w:val="Compact"/>
              <w:jc w:val="left"/>
            </w:pPr>
            <m:oMath>
              <m:r>
                <m:t>B</m:t>
              </m:r>
            </m:oMath>
          </w:p>
        </w:tc>
        <w:tc>
          <w:tcPr/>
          <w:p>
            <w:pPr>
              <w:pStyle w:val="Compact"/>
              <w:jc w:val="left"/>
            </w:pPr>
            <w:r>
              <w:t xml:space="preserve">Matriz de entrada del modelo en espacio de estados (Ec. </w:t>
            </w:r>
            <w:hyperlink w:anchor="eq:statespace_state">
              <w:r>
                <w:rPr>
                  <w:rStyle w:val="Hyperlink"/>
                </w:rPr>
                <w:t xml:space="preserve">[eq:statespace_state]</w:t>
              </w:r>
            </w:hyperlink>
            <w:r>
              <w:t xml:space="preserve">)</w:t>
            </w:r>
          </w:p>
        </w:tc>
        <w:tc>
          <w:tcPr/>
          <w:p>
            <w:pPr>
              <w:pStyle w:val="Compact"/>
              <w:jc w:val="right"/>
            </w:pPr>
            <w:r>
              <w:t xml:space="preserve">–</w:t>
            </w:r>
          </w:p>
        </w:tc>
      </w:tr>
      <w:tr>
        <w:tc>
          <w:tcPr/>
          <w:p>
            <w:pPr>
              <w:pStyle w:val="Compact"/>
              <w:jc w:val="left"/>
            </w:pPr>
            <m:oMath>
              <m:r>
                <m:t>B</m:t>
              </m:r>
              <m:r>
                <m:rPr>
                  <m:sty m:val="p"/>
                </m:rPr>
                <m:t>(</m:t>
              </m:r>
              <m:r>
                <m:t>q</m:t>
              </m:r>
              <m:r>
                <m:rPr>
                  <m:sty m:val="p"/>
                </m:rPr>
                <m:t>)</m:t>
              </m:r>
            </m:oMath>
          </w:p>
        </w:tc>
        <w:tc>
          <w:tcPr/>
          <w:p>
            <w:pPr>
              <w:pStyle w:val="Compact"/>
              <w:jc w:val="left"/>
            </w:pPr>
            <w:r>
              <w:t xml:space="preserve">Polinomio de entrada del modelo ARX/ARMAX (Ecs. </w:t>
            </w:r>
            <w:hyperlink w:anchor="eq:arx_general">
              <w:r>
                <w:rPr>
                  <w:rStyle w:val="Hyperlink"/>
                </w:rPr>
                <w:t xml:space="preserve">[eq:arx_general]</w:t>
              </w:r>
            </w:hyperlink>
            <w:r>
              <w:t xml:space="preserve">, </w:t>
            </w:r>
            <w:hyperlink w:anchor="eq:arx_B">
              <w:r>
                <w:rPr>
                  <w:rStyle w:val="Hyperlink"/>
                </w:rPr>
                <w:t xml:space="preserve">[eq:arx_B]</w:t>
              </w:r>
            </w:hyperlink>
            <w:r>
              <w:t xml:space="preserve">)</w:t>
            </w:r>
          </w:p>
        </w:tc>
        <w:tc>
          <w:tcPr/>
          <w:p>
            <w:pPr>
              <w:pStyle w:val="Compact"/>
              <w:jc w:val="right"/>
            </w:pPr>
            <w:r>
              <w:t xml:space="preserve">–</w:t>
            </w:r>
          </w:p>
        </w:tc>
      </w:tr>
      <w:tr>
        <w:tc>
          <w:tcPr/>
          <w:p>
            <w:pPr>
              <w:pStyle w:val="Compact"/>
              <w:jc w:val="left"/>
            </w:pPr>
            <m:oMath>
              <m:sSub>
                <m:e>
                  <m:r>
                    <m:t>b</m:t>
                  </m:r>
                </m:e>
                <m:sub>
                  <m:r>
                    <m:t>i</m:t>
                  </m:r>
                </m:sub>
              </m:sSub>
            </m:oMath>
          </w:p>
        </w:tc>
        <w:tc>
          <w:tcPr/>
          <w:p>
            <w:pPr>
              <w:pStyle w:val="Compact"/>
              <w:jc w:val="left"/>
            </w:pPr>
            <w:r>
              <w:t xml:space="preserve">Coeficientes del polinomio</w:t>
            </w:r>
            <w:r>
              <w:t xml:space="preserve"> </w:t>
            </w:r>
            <m:oMath>
              <m:r>
                <m:t>B</m:t>
              </m:r>
              <m:r>
                <m:rPr>
                  <m:sty m:val="p"/>
                </m:rPr>
                <m:t>(</m:t>
              </m:r>
              <m:r>
                <m:t>q</m:t>
              </m:r>
              <m:r>
                <m:rPr>
                  <m:sty m:val="p"/>
                </m:rPr>
                <m:t>)</m:t>
              </m:r>
            </m:oMath>
            <w:r>
              <w:t xml:space="preserve">,</w:t>
            </w:r>
            <w:r>
              <w:t xml:space="preserve"> </w:t>
            </w:r>
            <m:oMath>
              <m:r>
                <m:t>i</m:t>
              </m:r>
              <m:r>
                <m:rPr>
                  <m:sty m:val="p"/>
                </m:rPr>
                <m:t>=</m:t>
              </m:r>
              <m:r>
                <m:t>1</m:t>
              </m:r>
              <m:r>
                <m:rPr>
                  <m:sty m:val="p"/>
                </m:rPr>
                <m:t>,</m:t>
              </m:r>
              <m:r>
                <m:rPr>
                  <m:sty m:val="p"/>
                </m:rPr>
                <m:t>…</m:t>
              </m:r>
              <m:r>
                <m:rPr>
                  <m:sty m:val="p"/>
                </m:rPr>
                <m:t>,</m:t>
              </m:r>
              <m:sSub>
                <m:e>
                  <m:r>
                    <m:t>n</m:t>
                  </m:r>
                </m:e>
                <m:sub>
                  <m:r>
                    <m:t>b</m:t>
                  </m:r>
                </m:sub>
              </m:sSub>
            </m:oMath>
          </w:p>
        </w:tc>
        <w:tc>
          <w:tcPr/>
          <w:p>
            <w:pPr>
              <w:pStyle w:val="Compact"/>
              <w:jc w:val="right"/>
            </w:pPr>
            <w:r>
              <w:t xml:space="preserve">–</w:t>
            </w:r>
          </w:p>
        </w:tc>
      </w:tr>
      <w:tr>
        <w:tc>
          <w:tcPr/>
          <w:p>
            <w:pPr>
              <w:pStyle w:val="Compact"/>
              <w:jc w:val="left"/>
            </w:pPr>
            <m:oMath>
              <m:r>
                <m:t>C</m:t>
              </m:r>
            </m:oMath>
          </w:p>
        </w:tc>
        <w:tc>
          <w:tcPr/>
          <w:p>
            <w:pPr>
              <w:pStyle w:val="Compact"/>
              <w:jc w:val="left"/>
            </w:pPr>
            <w:r>
              <w:t xml:space="preserve">Matriz de salida del modelo en espacio de estados (Ec. </w:t>
            </w:r>
            <w:hyperlink w:anchor="eq:statespace_output">
              <w:r>
                <w:rPr>
                  <w:rStyle w:val="Hyperlink"/>
                </w:rPr>
                <w:t xml:space="preserve">[eq:statespace_output]</w:t>
              </w:r>
            </w:hyperlink>
            <w:r>
              <w:t xml:space="preserve">)</w:t>
            </w:r>
          </w:p>
        </w:tc>
        <w:tc>
          <w:tcPr/>
          <w:p>
            <w:pPr>
              <w:pStyle w:val="Compact"/>
              <w:jc w:val="right"/>
            </w:pPr>
            <w:r>
              <w:t xml:space="preserve">–</w:t>
            </w:r>
          </w:p>
        </w:tc>
      </w:tr>
      <w:tr>
        <w:tc>
          <w:tcPr/>
          <w:p>
            <w:pPr>
              <w:pStyle w:val="Compact"/>
              <w:jc w:val="left"/>
            </w:pPr>
            <m:oMath>
              <m:r>
                <m:t>C</m:t>
              </m:r>
            </m:oMath>
          </w:p>
        </w:tc>
        <w:tc>
          <w:tcPr/>
          <w:p>
            <w:pPr>
              <w:pStyle w:val="Compact"/>
              <w:jc w:val="left"/>
            </w:pPr>
            <w:r>
              <w:t xml:space="preserve">Número de componentes químicos en el modelo MESH de destilación (Ec. </w:t>
            </w:r>
            <w:hyperlink w:anchor="eq:num_ec">
              <w:r>
                <w:rPr>
                  <w:rStyle w:val="Hyperlink"/>
                </w:rPr>
                <w:t xml:space="preserve">[eq:num_ec]</w:t>
              </w:r>
            </w:hyperlink>
            <w:r>
              <w:t xml:space="preserve">)</w:t>
            </w:r>
          </w:p>
        </w:tc>
        <w:tc>
          <w:tcPr/>
          <w:p>
            <w:pPr>
              <w:pStyle w:val="Compact"/>
              <w:jc w:val="right"/>
            </w:pPr>
            <w:r>
              <w:t xml:space="preserve">–</w:t>
            </w:r>
          </w:p>
        </w:tc>
      </w:tr>
      <w:tr>
        <w:tc>
          <w:tcPr/>
          <w:p>
            <w:pPr>
              <w:pStyle w:val="Compact"/>
              <w:jc w:val="left"/>
            </w:pPr>
            <m:oMath>
              <m:r>
                <m:t>C</m:t>
              </m:r>
              <m:r>
                <m:rPr>
                  <m:sty m:val="p"/>
                </m:rPr>
                <m:t>(</m:t>
              </m:r>
              <m:r>
                <m:t>q</m:t>
              </m:r>
              <m:r>
                <m:rPr>
                  <m:sty m:val="p"/>
                </m:rPr>
                <m:t>)</m:t>
              </m:r>
            </m:oMath>
          </w:p>
        </w:tc>
        <w:tc>
          <w:tcPr/>
          <w:p>
            <w:pPr>
              <w:pStyle w:val="Compact"/>
              <w:jc w:val="left"/>
            </w:pPr>
            <w:r>
              <w:t xml:space="preserve">Polinomio de ruido del modelo ARMAX (Ec. </w:t>
            </w:r>
            <w:hyperlink w:anchor="eq:armax_C">
              <w:r>
                <w:rPr>
                  <w:rStyle w:val="Hyperlink"/>
                </w:rPr>
                <w:t xml:space="preserve">[eq:armax_C]</w:t>
              </w:r>
            </w:hyperlink>
            <w:r>
              <w:t xml:space="preserve">)</w:t>
            </w:r>
          </w:p>
        </w:tc>
        <w:tc>
          <w:tcPr/>
          <w:p>
            <w:pPr>
              <w:pStyle w:val="Compact"/>
              <w:jc w:val="right"/>
            </w:pPr>
            <w:r>
              <w:t xml:space="preserve">–</w:t>
            </w:r>
          </w:p>
        </w:tc>
      </w:tr>
      <w:tr>
        <w:tc>
          <w:tcPr/>
          <w:p>
            <w:pPr>
              <w:pStyle w:val="Compact"/>
              <w:jc w:val="left"/>
            </w:pPr>
            <m:oMath>
              <m:sSub>
                <m:e>
                  <m:r>
                    <m:t>c</m:t>
                  </m:r>
                </m:e>
                <m:sub>
                  <m:r>
                    <m:t>i</m:t>
                  </m:r>
                </m:sub>
              </m:sSub>
            </m:oMath>
          </w:p>
        </w:tc>
        <w:tc>
          <w:tcPr/>
          <w:p>
            <w:pPr>
              <w:pStyle w:val="Compact"/>
              <w:jc w:val="left"/>
            </w:pPr>
            <w:r>
              <w:t xml:space="preserve">Coeficientes del polinomio</w:t>
            </w:r>
            <w:r>
              <w:t xml:space="preserve"> </w:t>
            </w:r>
            <m:oMath>
              <m:r>
                <m:t>C</m:t>
              </m:r>
              <m:r>
                <m:rPr>
                  <m:sty m:val="p"/>
                </m:rPr>
                <m:t>(</m:t>
              </m:r>
              <m:r>
                <m:t>q</m:t>
              </m:r>
              <m:r>
                <m:rPr>
                  <m:sty m:val="p"/>
                </m:rPr>
                <m:t>)</m:t>
              </m:r>
            </m:oMath>
            <w:r>
              <w:t xml:space="preserve">,</w:t>
            </w:r>
            <w:r>
              <w:t xml:space="preserve"> </w:t>
            </w:r>
            <m:oMath>
              <m:r>
                <m:t>i</m:t>
              </m:r>
              <m:r>
                <m:rPr>
                  <m:sty m:val="p"/>
                </m:rPr>
                <m:t>=</m:t>
              </m:r>
              <m:r>
                <m:t>1</m:t>
              </m:r>
              <m:r>
                <m:rPr>
                  <m:sty m:val="p"/>
                </m:rPr>
                <m:t>,</m:t>
              </m:r>
              <m:r>
                <m:rPr>
                  <m:sty m:val="p"/>
                </m:rPr>
                <m:t>…</m:t>
              </m:r>
              <m:r>
                <m:rPr>
                  <m:sty m:val="p"/>
                </m:rPr>
                <m:t>,</m:t>
              </m:r>
              <m:sSub>
                <m:e>
                  <m:r>
                    <m:t>n</m:t>
                  </m:r>
                </m:e>
                <m:sub>
                  <m:r>
                    <m:t>c</m:t>
                  </m:r>
                </m:sub>
              </m:sSub>
            </m:oMath>
          </w:p>
        </w:tc>
        <w:tc>
          <w:tcPr/>
          <w:p>
            <w:pPr>
              <w:pStyle w:val="Compact"/>
              <w:jc w:val="right"/>
            </w:pPr>
            <w:r>
              <w:t xml:space="preserve">–</w:t>
            </w:r>
          </w:p>
        </w:tc>
      </w:tr>
      <w:tr>
        <w:tc>
          <w:tcPr/>
          <w:p>
            <w:pPr>
              <w:pStyle w:val="Compact"/>
              <w:jc w:val="left"/>
            </w:pPr>
            <m:oMath>
              <m:r>
                <m:t>e</m:t>
              </m:r>
              <m:r>
                <m:rPr>
                  <m:sty m:val="p"/>
                </m:rPr>
                <m:t>(</m:t>
              </m:r>
              <m:r>
                <m:t>k</m:t>
              </m:r>
              <m:r>
                <m:rPr>
                  <m:sty m:val="p"/>
                </m:rPr>
                <m:t>)</m:t>
              </m:r>
            </m:oMath>
          </w:p>
        </w:tc>
        <w:tc>
          <w:tcPr/>
          <w:p>
            <w:pPr>
              <w:pStyle w:val="Compact"/>
              <w:jc w:val="left"/>
            </w:pPr>
            <w:r>
              <w:t xml:space="preserve">Término de ruido blanco / perturbación no modelada en ARX (tiempo discreto)</w:t>
            </w:r>
          </w:p>
        </w:tc>
        <w:tc>
          <w:tcPr/>
          <w:p>
            <w:pPr>
              <w:pStyle w:val="Compact"/>
              <w:jc w:val="right"/>
            </w:pPr>
            <w:r>
              <w:t xml:space="preserve">–</w:t>
            </w:r>
          </w:p>
        </w:tc>
      </w:tr>
      <w:tr>
        <w:tc>
          <w:tcPr/>
          <w:p>
            <w:pPr>
              <w:pStyle w:val="Compact"/>
              <w:jc w:val="left"/>
            </w:pPr>
            <m:oMath>
              <m:acc>
                <m:accPr>
                  <m:chr m:val="‾"/>
                </m:accPr>
                <m:e>
                  <m:r>
                    <m:t>e</m:t>
                  </m:r>
                </m:e>
              </m:acc>
              <m:r>
                <m:rPr>
                  <m:sty m:val="p"/>
                </m:rPr>
                <m:t>(</m:t>
              </m:r>
              <m:r>
                <m:t>k</m:t>
              </m:r>
              <m:r>
                <m:rPr>
                  <m:sty m:val="p"/>
                </m:rPr>
                <m:t>)</m:t>
              </m:r>
            </m:oMath>
          </w:p>
        </w:tc>
        <w:tc>
          <w:tcPr/>
          <w:p>
            <w:pPr>
              <w:pStyle w:val="Compact"/>
              <w:jc w:val="left"/>
            </w:pPr>
            <w:r>
              <w:t xml:space="preserve">Señal de ruido en tiempo discreto en la formulación ARX/ARMAX (Ec. </w:t>
            </w:r>
            <w:hyperlink w:anchor="eq:arx_general">
              <w:r>
                <w:rPr>
                  <w:rStyle w:val="Hyperlink"/>
                </w:rPr>
                <w:t xml:space="preserve">[eq:arx_general]</w:t>
              </w:r>
            </w:hyperlink>
            <w:r>
              <w:t xml:space="preserve">)</w:t>
            </w:r>
          </w:p>
        </w:tc>
        <w:tc>
          <w:tcPr/>
          <w:p>
            <w:pPr>
              <w:pStyle w:val="Compact"/>
              <w:jc w:val="right"/>
            </w:pPr>
            <w:r>
              <w:t xml:space="preserve">–</w:t>
            </w:r>
          </w:p>
        </w:tc>
      </w:tr>
      <w:tr>
        <w:tc>
          <w:tcPr/>
          <w:p>
            <w:pPr>
              <w:pStyle w:val="Compact"/>
              <w:jc w:val="left"/>
            </w:pPr>
            <m:oMath>
              <m:r>
                <m:t>e</m:t>
              </m:r>
              <m:r>
                <m:rPr>
                  <m:sty m:val="p"/>
                </m:rPr>
                <m:t>(</m:t>
              </m:r>
              <m:r>
                <m:t>t</m:t>
              </m:r>
              <m:r>
                <m:rPr>
                  <m:sty m:val="p"/>
                </m:rPr>
                <m:t>)</m:t>
              </m:r>
            </m:oMath>
          </w:p>
        </w:tc>
        <w:tc>
          <w:tcPr/>
          <w:p>
            <w:pPr>
              <w:pStyle w:val="Compact"/>
              <w:jc w:val="left"/>
            </w:pPr>
            <w:r>
              <w:t xml:space="preserve">Error de seguimiento de control (tiempo continuo), utilizado en IAE, ISE, ITAE, ITSE</w:t>
            </w:r>
          </w:p>
        </w:tc>
        <w:tc>
          <w:tcPr/>
          <w:p>
            <w:pPr>
              <w:pStyle w:val="Compact"/>
              <w:jc w:val="right"/>
            </w:pPr>
            <m:oMath>
              <m:sSup>
                <m:e>
                  <m:r>
                    <m:t>​</m:t>
                  </m:r>
                </m:e>
                <m:sup>
                  <m:r>
                    <m:rPr>
                      <m:sty m:val="p"/>
                    </m:rPr>
                    <m:t>∘</m:t>
                  </m:r>
                </m:sup>
              </m:sSup>
            </m:oMath>
            <w:r>
              <w:t xml:space="preserve">C</w:t>
            </w:r>
          </w:p>
        </w:tc>
      </w:tr>
      <w:tr>
        <w:tc>
          <w:tcPr/>
          <w:p>
            <w:pPr>
              <w:pStyle w:val="Compact"/>
              <w:jc w:val="left"/>
            </w:pPr>
            <m:oMath>
              <m:sSub>
                <m:e>
                  <m:r>
                    <m:t>e</m:t>
                  </m:r>
                </m:e>
                <m:sub>
                  <m:r>
                    <m:t>r</m:t>
                  </m:r>
                  <m:r>
                    <m:t>e</m:t>
                  </m:r>
                  <m:r>
                    <m:t>l</m:t>
                  </m:r>
                </m:sub>
              </m:sSub>
              <m:r>
                <m:rPr>
                  <m:sty m:val="p"/>
                </m:rPr>
                <m:t>(</m:t>
              </m:r>
              <m:r>
                <m:t>t</m:t>
              </m:r>
              <m:r>
                <m:rPr>
                  <m:sty m:val="p"/>
                </m:rPr>
                <m:t>)</m:t>
              </m:r>
            </m:oMath>
          </w:p>
        </w:tc>
        <w:tc>
          <w:tcPr/>
          <w:p>
            <w:pPr>
              <w:pStyle w:val="Compact"/>
              <w:jc w:val="left"/>
            </w:pPr>
            <w:r>
              <w:t xml:space="preserve">Error relativo de seguimiento entre la variable controlada y el setpoint (Ec. </w:t>
            </w:r>
            <w:hyperlink w:anchor="eq:ErrorRelativo">
              <w:r>
                <w:rPr>
                  <w:rStyle w:val="Hyperlink"/>
                </w:rPr>
                <w:t xml:space="preserve">[eq:ErrorRelativo]</w:t>
              </w:r>
            </w:hyperlink>
            <w:r>
              <w:t xml:space="preserve">)</w:t>
            </w:r>
          </w:p>
        </w:tc>
        <w:tc>
          <w:tcPr/>
          <w:p>
            <w:pPr>
              <w:pStyle w:val="Compact"/>
              <w:jc w:val="right"/>
            </w:pPr>
            <w:r>
              <w:t xml:space="preserve">–</w:t>
            </w:r>
          </w:p>
        </w:tc>
      </w:tr>
      <w:tr>
        <w:tc>
          <w:tcPr/>
          <w:p>
            <w:pPr>
              <w:pStyle w:val="Compact"/>
              <w:jc w:val="left"/>
            </w:pPr>
            <m:oMath>
              <m:r>
                <m:t>e</m:t>
              </m:r>
              <m:sSub>
                <m:e>
                  <m:r>
                    <m:t>r</m:t>
                  </m:r>
                </m:e>
                <m:sub>
                  <m:r>
                    <m:t>1</m:t>
                  </m:r>
                </m:sub>
              </m:sSub>
              <m:r>
                <m:rPr>
                  <m:sty m:val="p"/>
                </m:rPr>
                <m:t>,</m:t>
              </m:r>
              <m:r>
                <m:t> </m:t>
              </m:r>
              <m:r>
                <m:t>e</m:t>
              </m:r>
              <m:sSub>
                <m:e>
                  <m:r>
                    <m:t>r</m:t>
                  </m:r>
                </m:e>
                <m:sub>
                  <m:r>
                    <m:t>2</m:t>
                  </m:r>
                </m:sub>
              </m:sSub>
            </m:oMath>
          </w:p>
        </w:tc>
        <w:tc>
          <w:tcPr/>
          <w:p>
            <w:pPr>
              <w:pStyle w:val="Compact"/>
              <w:jc w:val="left"/>
            </w:pPr>
            <w:r>
              <w:t xml:space="preserve">Errores relativos en estado estacionario tras la primera y segunda perturbación (Tabla </w:t>
            </w:r>
            <w:hyperlink w:anchor="tab:ControlIntegralesP1">
              <w:r>
                <w:rPr>
                  <w:rStyle w:val="Hyperlink"/>
                </w:rPr>
                <w:t xml:space="preserve">4</w:t>
              </w:r>
            </w:hyperlink>
            <w:r>
              <w:t xml:space="preserve">–</w:t>
            </w:r>
            <w:hyperlink w:anchor="tab:ControlIntegralesP2">
              <w:r>
                <w:rPr>
                  <w:rStyle w:val="Hyperlink"/>
                </w:rPr>
                <w:t xml:space="preserve">5</w:t>
              </w:r>
            </w:hyperlink>
            <w:r>
              <w:t xml:space="preserve">)</w:t>
            </w:r>
          </w:p>
        </w:tc>
        <w:tc>
          <w:tcPr/>
          <w:p>
            <w:pPr>
              <w:pStyle w:val="Compact"/>
              <w:jc w:val="right"/>
            </w:pPr>
            <w:r>
              <w:t xml:space="preserve">–</w:t>
            </w:r>
          </w:p>
        </w:tc>
      </w:tr>
      <w:tr>
        <w:tc>
          <w:tcPr/>
          <w:p>
            <w:pPr>
              <w:pStyle w:val="Compact"/>
              <w:jc w:val="left"/>
            </w:pPr>
            <m:oMath>
              <m:r>
                <m:t>i</m:t>
              </m:r>
            </m:oMath>
          </w:p>
        </w:tc>
        <w:tc>
          <w:tcPr/>
          <w:p>
            <w:pPr>
              <w:pStyle w:val="Compact"/>
              <w:jc w:val="left"/>
            </w:pPr>
            <w:r>
              <w:t xml:space="preserve">Índice de paso de predicción dentro del horizonte MPC (</w:t>
            </w:r>
            <m:oMath>
              <m:r>
                <m:t>i</m:t>
              </m:r>
              <m:r>
                <m:rPr>
                  <m:sty m:val="p"/>
                </m:rPr>
                <m:t>=</m:t>
              </m:r>
              <m:r>
                <m:t>1</m:t>
              </m:r>
              <m:r>
                <m:rPr>
                  <m:sty m:val="p"/>
                </m:rPr>
                <m:t>,</m:t>
              </m:r>
              <m:r>
                <m:rPr>
                  <m:sty m:val="p"/>
                </m:rPr>
                <m:t>…</m:t>
              </m:r>
              <m:r>
                <m:rPr>
                  <m:sty m:val="p"/>
                </m:rPr>
                <m:t>,</m:t>
              </m:r>
              <m:r>
                <m:t>p</m:t>
              </m:r>
            </m:oMath>
            <w:r>
              <w:t xml:space="preserve">)</w:t>
            </w:r>
          </w:p>
        </w:tc>
        <w:tc>
          <w:tcPr/>
          <w:p>
            <w:pPr>
              <w:pStyle w:val="Compact"/>
              <w:jc w:val="right"/>
            </w:pPr>
            <w:r>
              <w:t xml:space="preserve">–</w:t>
            </w:r>
          </w:p>
        </w:tc>
      </w:tr>
      <w:tr>
        <w:tc>
          <w:tcPr/>
          <w:p>
            <w:pPr>
              <w:pStyle w:val="Compact"/>
              <w:jc w:val="left"/>
            </w:pPr>
            <m:oMath>
              <m:r>
                <m:t>j</m:t>
              </m:r>
            </m:oMath>
          </w:p>
        </w:tc>
        <w:tc>
          <w:tcPr/>
          <w:p>
            <w:pPr>
              <w:pStyle w:val="Compact"/>
              <w:jc w:val="left"/>
            </w:pPr>
            <w:r>
              <w:t xml:space="preserve">Índice de variable controlada o variable manipulada</w:t>
            </w:r>
          </w:p>
        </w:tc>
        <w:tc>
          <w:tcPr/>
          <w:p>
            <w:pPr>
              <w:pStyle w:val="Compact"/>
              <w:jc w:val="right"/>
            </w:pPr>
            <w:r>
              <w:t xml:space="preserve">–</w:t>
            </w:r>
          </w:p>
        </w:tc>
      </w:tr>
      <w:tr>
        <w:tc>
          <w:tcPr/>
          <w:p>
            <w:pPr>
              <w:pStyle w:val="Compact"/>
              <w:jc w:val="left"/>
            </w:pPr>
            <m:oMath>
              <m:r>
                <m:t>J</m:t>
              </m:r>
              <m:r>
                <m:rPr>
                  <m:sty m:val="p"/>
                </m:rPr>
                <m:t>(</m:t>
              </m:r>
              <m:sSub>
                <m:e>
                  <m:r>
                    <m:t>z</m:t>
                  </m:r>
                </m:e>
                <m:sub>
                  <m:r>
                    <m:t>k</m:t>
                  </m:r>
                </m:sub>
              </m:sSub>
              <m:r>
                <m:rPr>
                  <m:sty m:val="p"/>
                </m:rPr>
                <m:t>)</m:t>
              </m:r>
            </m:oMath>
          </w:p>
        </w:tc>
        <w:tc>
          <w:tcPr/>
          <w:p>
            <w:pPr>
              <w:pStyle w:val="Compact"/>
              <w:jc w:val="left"/>
            </w:pPr>
            <w:r>
              <w:t xml:space="preserve">Función de costo (objetivo) total del MPC (Ec. </w:t>
            </w:r>
            <w:hyperlink w:anchor="eq:OptimizationProblem">
              <w:r>
                <w:rPr>
                  <w:rStyle w:val="Hyperlink"/>
                </w:rPr>
                <w:t xml:space="preserve">[eq:OptimizationProblem]</w:t>
              </w:r>
            </w:hyperlink>
            <w:r>
              <w:t xml:space="preserve">)</w:t>
            </w:r>
          </w:p>
        </w:tc>
        <w:tc>
          <w:tcPr/>
          <w:p>
            <w:pPr>
              <w:pStyle w:val="Compact"/>
              <w:jc w:val="right"/>
            </w:pPr>
            <w:r>
              <w:t xml:space="preserve">–</w:t>
            </w:r>
          </w:p>
        </w:tc>
      </w:tr>
      <w:tr>
        <w:tc>
          <w:tcPr/>
          <w:p>
            <w:pPr>
              <w:pStyle w:val="Compact"/>
              <w:jc w:val="left"/>
            </w:pPr>
            <m:oMath>
              <m:sSub>
                <m:e>
                  <m:r>
                    <m:t>J</m:t>
                  </m:r>
                </m:e>
                <m:sub>
                  <m:r>
                    <m:t>y</m:t>
                  </m:r>
                </m:sub>
              </m:sSub>
              <m:r>
                <m:rPr>
                  <m:sty m:val="p"/>
                </m:rPr>
                <m:t>(</m:t>
              </m:r>
              <m:sSub>
                <m:e>
                  <m:r>
                    <m:t>z</m:t>
                  </m:r>
                </m:e>
                <m:sub>
                  <m:r>
                    <m:t>k</m:t>
                  </m:r>
                </m:sub>
              </m:sSub>
              <m:r>
                <m:rPr>
                  <m:sty m:val="p"/>
                </m:rPr>
                <m:t>)</m:t>
              </m:r>
            </m:oMath>
          </w:p>
        </w:tc>
        <w:tc>
          <w:tcPr/>
          <w:p>
            <w:pPr>
              <w:pStyle w:val="Compact"/>
              <w:jc w:val="left"/>
            </w:pPr>
            <w:r>
              <w:t xml:space="preserve">Término de seguimiento de salida de la función de costo MPC (Ec. </w:t>
            </w:r>
            <w:hyperlink w:anchor="eq:Jy">
              <w:r>
                <w:rPr>
                  <w:rStyle w:val="Hyperlink"/>
                </w:rPr>
                <w:t xml:space="preserve">[eq:Jy]</w:t>
              </w:r>
            </w:hyperlink>
            <w:r>
              <w:t xml:space="preserve">)</w:t>
            </w:r>
          </w:p>
        </w:tc>
        <w:tc>
          <w:tcPr/>
          <w:p>
            <w:pPr>
              <w:pStyle w:val="Compact"/>
              <w:jc w:val="right"/>
            </w:pPr>
            <w:r>
              <w:t xml:space="preserve">–</w:t>
            </w:r>
          </w:p>
        </w:tc>
      </w:tr>
      <w:tr>
        <w:tc>
          <w:tcPr/>
          <w:p>
            <w:pPr>
              <w:pStyle w:val="Compact"/>
              <w:jc w:val="left"/>
            </w:pPr>
            <m:oMath>
              <m:sSub>
                <m:e>
                  <m:r>
                    <m:t>J</m:t>
                  </m:r>
                </m:e>
                <m:sub>
                  <m:r>
                    <m:t>u</m:t>
                  </m:r>
                </m:sub>
              </m:sSub>
              <m:r>
                <m:rPr>
                  <m:sty m:val="p"/>
                </m:rPr>
                <m:t>(</m:t>
              </m:r>
              <m:sSub>
                <m:e>
                  <m:r>
                    <m:t>z</m:t>
                  </m:r>
                </m:e>
                <m:sub>
                  <m:r>
                    <m:t>k</m:t>
                  </m:r>
                </m:sub>
              </m:sSub>
              <m:r>
                <m:rPr>
                  <m:sty m:val="p"/>
                </m:rPr>
                <m:t>)</m:t>
              </m:r>
            </m:oMath>
          </w:p>
        </w:tc>
        <w:tc>
          <w:tcPr/>
          <w:p>
            <w:pPr>
              <w:pStyle w:val="Compact"/>
              <w:jc w:val="left"/>
            </w:pPr>
            <w:r>
              <w:t xml:space="preserve">Término de penalización de variables manipuladas de la función de costo MPC (Ec. </w:t>
            </w:r>
            <w:hyperlink w:anchor="eq:Ju">
              <w:r>
                <w:rPr>
                  <w:rStyle w:val="Hyperlink"/>
                </w:rPr>
                <w:t xml:space="preserve">[eq:Ju]</w:t>
              </w:r>
            </w:hyperlink>
            <w:r>
              <w:t xml:space="preserve">)</w:t>
            </w:r>
          </w:p>
        </w:tc>
        <w:tc>
          <w:tcPr/>
          <w:p>
            <w:pPr>
              <w:pStyle w:val="Compact"/>
              <w:jc w:val="right"/>
            </w:pPr>
            <w:r>
              <w:t xml:space="preserve">–</w:t>
            </w:r>
          </w:p>
        </w:tc>
      </w:tr>
      <w:tr>
        <w:tc>
          <w:tcPr/>
          <w:p>
            <w:pPr>
              <w:pStyle w:val="Compact"/>
              <w:jc w:val="left"/>
            </w:pPr>
            <m:oMath>
              <m:sSub>
                <m:e>
                  <m:r>
                    <m:t>J</m:t>
                  </m:r>
                </m:e>
                <m:sub>
                  <m:r>
                    <m:rPr>
                      <m:sty m:val="p"/>
                    </m:rPr>
                    <m:t>Δ</m:t>
                  </m:r>
                  <m:r>
                    <m:t>u</m:t>
                  </m:r>
                </m:sub>
              </m:sSub>
              <m:r>
                <m:rPr>
                  <m:sty m:val="p"/>
                </m:rPr>
                <m:t>(</m:t>
              </m:r>
              <m:sSub>
                <m:e>
                  <m:r>
                    <m:t>z</m:t>
                  </m:r>
                </m:e>
                <m:sub>
                  <m:r>
                    <m:t>k</m:t>
                  </m:r>
                </m:sub>
              </m:sSub>
              <m:r>
                <m:rPr>
                  <m:sty m:val="p"/>
                </m:rPr>
                <m:t>)</m:t>
              </m:r>
            </m:oMath>
          </w:p>
        </w:tc>
        <w:tc>
          <w:tcPr/>
          <w:p>
            <w:pPr>
              <w:pStyle w:val="Compact"/>
              <w:jc w:val="left"/>
            </w:pPr>
            <w:r>
              <w:t xml:space="preserve">Término de penalización de tasa de cambio de las acciones de control (Ec. </w:t>
            </w:r>
            <w:hyperlink w:anchor="eq:Jdeltau">
              <w:r>
                <w:rPr>
                  <w:rStyle w:val="Hyperlink"/>
                </w:rPr>
                <w:t xml:space="preserve">[eq:Jdeltau]</w:t>
              </w:r>
            </w:hyperlink>
            <w:r>
              <w:t xml:space="preserve">)</w:t>
            </w:r>
          </w:p>
        </w:tc>
        <w:tc>
          <w:tcPr/>
          <w:p>
            <w:pPr>
              <w:pStyle w:val="Compact"/>
              <w:jc w:val="right"/>
            </w:pPr>
            <w:r>
              <w:t xml:space="preserve">–</w:t>
            </w:r>
          </w:p>
        </w:tc>
      </w:tr>
      <w:tr>
        <w:tc>
          <w:tcPr/>
          <w:p>
            <w:pPr>
              <w:pStyle w:val="Compact"/>
              <w:jc w:val="left"/>
            </w:pPr>
            <m:oMath>
              <m:sSub>
                <m:e>
                  <m:r>
                    <m:t>J</m:t>
                  </m:r>
                </m:e>
                <m:sub>
                  <m:r>
                    <m:t>ε</m:t>
                  </m:r>
                </m:sub>
              </m:sSub>
              <m:r>
                <m:rPr>
                  <m:sty m:val="p"/>
                </m:rPr>
                <m:t>(</m:t>
              </m:r>
              <m:sSub>
                <m:e>
                  <m:r>
                    <m:t>z</m:t>
                  </m:r>
                </m:e>
                <m:sub>
                  <m:r>
                    <m:t>k</m:t>
                  </m:r>
                </m:sub>
              </m:sSub>
              <m:r>
                <m:rPr>
                  <m:sty m:val="p"/>
                </m:rPr>
                <m:t>)</m:t>
              </m:r>
            </m:oMath>
          </w:p>
        </w:tc>
        <w:tc>
          <w:tcPr/>
          <w:p>
            <w:pPr>
              <w:pStyle w:val="Compact"/>
              <w:jc w:val="left"/>
            </w:pPr>
            <w:r>
              <w:t xml:space="preserve">Término de penalización de la variable de holgura (Ec. </w:t>
            </w:r>
            <w:hyperlink w:anchor="eq:Jepsilon">
              <w:r>
                <w:rPr>
                  <w:rStyle w:val="Hyperlink"/>
                </w:rPr>
                <w:t xml:space="preserve">[eq:Jepsilon]</w:t>
              </w:r>
            </w:hyperlink>
            <w:r>
              <w:t xml:space="preserve">)</w:t>
            </w:r>
          </w:p>
        </w:tc>
        <w:tc>
          <w:tcPr/>
          <w:p>
            <w:pPr>
              <w:pStyle w:val="Compact"/>
              <w:jc w:val="right"/>
            </w:pPr>
            <w:r>
              <w:t xml:space="preserve">–</w:t>
            </w:r>
          </w:p>
        </w:tc>
      </w:tr>
      <w:tr>
        <w:tc>
          <w:tcPr/>
          <w:p>
            <w:pPr>
              <w:pStyle w:val="Compact"/>
              <w:jc w:val="left"/>
            </w:pPr>
            <m:oMath>
              <m:r>
                <m:t>k</m:t>
              </m:r>
            </m:oMath>
          </w:p>
        </w:tc>
        <w:tc>
          <w:tcPr/>
          <w:p>
            <w:pPr>
              <w:pStyle w:val="Compact"/>
              <w:jc w:val="left"/>
            </w:pPr>
            <w:r>
              <w:t xml:space="preserve">Índice de paso de tiempo discreto actual</w:t>
            </w:r>
          </w:p>
        </w:tc>
        <w:tc>
          <w:tcPr/>
          <w:p>
            <w:pPr>
              <w:pStyle w:val="Compact"/>
              <w:jc w:val="right"/>
            </w:pPr>
            <w:r>
              <w:t xml:space="preserve">–</w:t>
            </w:r>
          </w:p>
        </w:tc>
      </w:tr>
      <w:tr>
        <w:tc>
          <w:tcPr/>
          <w:p>
            <w:pPr>
              <w:pStyle w:val="Compact"/>
              <w:jc w:val="left"/>
            </w:pPr>
            <m:oMath>
              <m:r>
                <m:t>n</m:t>
              </m:r>
            </m:oMath>
          </w:p>
        </w:tc>
        <w:tc>
          <w:tcPr/>
          <w:p>
            <w:pPr>
              <w:pStyle w:val="Compact"/>
              <w:jc w:val="left"/>
            </w:pPr>
            <w:r>
              <w:t xml:space="preserve">Índice de muestra utilizado en las sumatorias de RECM y</w:t>
            </w:r>
            <w:r>
              <w:t xml:space="preserve"> </w:t>
            </w:r>
            <m:oMath>
              <m:sSup>
                <m:e>
                  <m:r>
                    <m:t>R</m:t>
                  </m:r>
                </m:e>
                <m:sup>
                  <m:r>
                    <m:t>2</m:t>
                  </m:r>
                </m:sup>
              </m:sSup>
            </m:oMath>
            <w:r>
              <w:t xml:space="preserve"> </w:t>
            </w:r>
            <w:r>
              <w:t xml:space="preserve">(Ecs. </w:t>
            </w:r>
            <w:hyperlink w:anchor="eq:RECM">
              <w:r>
                <w:rPr>
                  <w:rStyle w:val="Hyperlink"/>
                </w:rPr>
                <w:t xml:space="preserve">[eq:RECM]</w:t>
              </w:r>
            </w:hyperlink>
            <w:r>
              <w:t xml:space="preserve">–</w:t>
            </w:r>
            <w:hyperlink w:anchor="eq:R2">
              <w:r>
                <w:rPr>
                  <w:rStyle w:val="Hyperlink"/>
                </w:rPr>
                <w:t xml:space="preserve">[eq:R2]</w:t>
              </w:r>
            </w:hyperlink>
            <w:r>
              <w:t xml:space="preserve">)</w:t>
            </w:r>
          </w:p>
        </w:tc>
        <w:tc>
          <w:tcPr/>
          <w:p>
            <w:pPr>
              <w:pStyle w:val="Compact"/>
              <w:jc w:val="right"/>
            </w:pPr>
            <w:r>
              <w:t xml:space="preserve">–</w:t>
            </w:r>
          </w:p>
        </w:tc>
      </w:tr>
      <w:tr>
        <w:tc>
          <w:tcPr/>
          <w:p>
            <w:pPr>
              <w:pStyle w:val="Compact"/>
              <w:jc w:val="left"/>
            </w:pPr>
            <m:oMath>
              <m:sSub>
                <m:e>
                  <m:r>
                    <m:t>n</m:t>
                  </m:r>
                </m:e>
                <m:sub>
                  <m:r>
                    <m:t>a</m:t>
                  </m:r>
                </m:sub>
              </m:sSub>
            </m:oMath>
          </w:p>
        </w:tc>
        <w:tc>
          <w:tcPr/>
          <w:p>
            <w:pPr>
              <w:pStyle w:val="Compact"/>
              <w:jc w:val="left"/>
            </w:pPr>
            <w:r>
              <w:t xml:space="preserve">Orden del polinomio autorregresivo</w:t>
            </w:r>
            <w:r>
              <w:t xml:space="preserve"> </w:t>
            </w:r>
            <m:oMath>
              <m:r>
                <m:t>A</m:t>
              </m:r>
              <m:r>
                <m:rPr>
                  <m:sty m:val="p"/>
                </m:rPr>
                <m:t>(</m:t>
              </m:r>
              <m:r>
                <m:t>q</m:t>
              </m:r>
              <m:r>
                <m:rPr>
                  <m:sty m:val="p"/>
                </m:rPr>
                <m:t>)</m:t>
              </m:r>
            </m:oMath>
            <w:r>
              <w:t xml:space="preserve"> </w:t>
            </w:r>
            <w:r>
              <w:t xml:space="preserve">(número de polos)</w:t>
            </w:r>
          </w:p>
        </w:tc>
        <w:tc>
          <w:tcPr/>
          <w:p>
            <w:pPr>
              <w:pStyle w:val="Compact"/>
              <w:jc w:val="right"/>
            </w:pPr>
            <w:r>
              <w:t xml:space="preserve">–</w:t>
            </w:r>
          </w:p>
        </w:tc>
      </w:tr>
      <w:tr>
        <w:tc>
          <w:tcPr/>
          <w:p>
            <w:pPr>
              <w:pStyle w:val="Compact"/>
              <w:jc w:val="left"/>
            </w:pPr>
            <m:oMath>
              <m:sSub>
                <m:e>
                  <m:r>
                    <m:t>n</m:t>
                  </m:r>
                </m:e>
                <m:sub>
                  <m:r>
                    <m:t>b</m:t>
                  </m:r>
                </m:sub>
              </m:sSub>
            </m:oMath>
          </w:p>
        </w:tc>
        <w:tc>
          <w:tcPr/>
          <w:p>
            <w:pPr>
              <w:pStyle w:val="Compact"/>
              <w:jc w:val="left"/>
            </w:pPr>
            <w:r>
              <w:t xml:space="preserve">Orden del polinomio de entrada</w:t>
            </w:r>
            <w:r>
              <w:t xml:space="preserve"> </w:t>
            </w:r>
            <m:oMath>
              <m:r>
                <m:t>B</m:t>
              </m:r>
              <m:r>
                <m:rPr>
                  <m:sty m:val="p"/>
                </m:rPr>
                <m:t>(</m:t>
              </m:r>
              <m:r>
                <m:t>q</m:t>
              </m:r>
              <m:r>
                <m:rPr>
                  <m:sty m:val="p"/>
                </m:rPr>
                <m:t>)</m:t>
              </m:r>
            </m:oMath>
            <w:r>
              <w:t xml:space="preserve"> </w:t>
            </w:r>
            <w:r>
              <w:t xml:space="preserve">(número de ceros)</w:t>
            </w:r>
          </w:p>
        </w:tc>
        <w:tc>
          <w:tcPr/>
          <w:p>
            <w:pPr>
              <w:pStyle w:val="Compact"/>
              <w:jc w:val="right"/>
            </w:pPr>
            <w:r>
              <w:t xml:space="preserve">–</w:t>
            </w:r>
          </w:p>
        </w:tc>
      </w:tr>
      <w:tr>
        <w:tc>
          <w:tcPr/>
          <w:p>
            <w:pPr>
              <w:pStyle w:val="Compact"/>
              <w:jc w:val="left"/>
            </w:pPr>
            <m:oMath>
              <m:sSub>
                <m:e>
                  <m:r>
                    <m:t>n</m:t>
                  </m:r>
                </m:e>
                <m:sub>
                  <m:r>
                    <m:t>c</m:t>
                  </m:r>
                </m:sub>
              </m:sSub>
            </m:oMath>
          </w:p>
        </w:tc>
        <w:tc>
          <w:tcPr/>
          <w:p>
            <w:pPr>
              <w:pStyle w:val="Compact"/>
              <w:jc w:val="left"/>
            </w:pPr>
            <w:r>
              <w:t xml:space="preserve">Orden del polinomio de ruido</w:t>
            </w:r>
            <w:r>
              <w:t xml:space="preserve"> </w:t>
            </w:r>
            <m:oMath>
              <m:r>
                <m:t>C</m:t>
              </m:r>
              <m:r>
                <m:rPr>
                  <m:sty m:val="p"/>
                </m:rPr>
                <m:t>(</m:t>
              </m:r>
              <m:r>
                <m:t>q</m:t>
              </m:r>
              <m:r>
                <m:rPr>
                  <m:sty m:val="p"/>
                </m:rPr>
                <m:t>)</m:t>
              </m:r>
            </m:oMath>
            <w:r>
              <w:t xml:space="preserve"> </w:t>
            </w:r>
            <w:r>
              <w:t xml:space="preserve">en el modelo ARMAX</w:t>
            </w:r>
          </w:p>
        </w:tc>
        <w:tc>
          <w:tcPr/>
          <w:p>
            <w:pPr>
              <w:pStyle w:val="Compact"/>
              <w:jc w:val="right"/>
            </w:pPr>
            <w:r>
              <w:t xml:space="preserve">–</w:t>
            </w:r>
          </w:p>
        </w:tc>
      </w:tr>
      <w:tr>
        <w:tc>
          <w:tcPr/>
          <w:p>
            <w:pPr>
              <w:pStyle w:val="Compact"/>
              <w:jc w:val="left"/>
            </w:pPr>
            <m:oMath>
              <m:sSub>
                <m:e>
                  <m:r>
                    <m:t>n</m:t>
                  </m:r>
                </m:e>
                <m:sub>
                  <m:r>
                    <m:t>k</m:t>
                  </m:r>
                </m:sub>
              </m:sSub>
            </m:oMath>
          </w:p>
        </w:tc>
        <w:tc>
          <w:tcPr/>
          <w:p>
            <w:pPr>
              <w:pStyle w:val="Compact"/>
              <w:jc w:val="left"/>
            </w:pPr>
            <w:r>
              <w:t xml:space="preserve">Retardo de entrada del modelo ARX/ARMAX (número de muestras) (Ec. </w:t>
            </w:r>
            <w:hyperlink w:anchor="eq:arx_general">
              <w:r>
                <w:rPr>
                  <w:rStyle w:val="Hyperlink"/>
                </w:rPr>
                <w:t xml:space="preserve">[eq:arx_general]</w:t>
              </w:r>
            </w:hyperlink>
            <w:r>
              <w:t xml:space="preserve">)</w:t>
            </w:r>
          </w:p>
        </w:tc>
        <w:tc>
          <w:tcPr/>
          <w:p>
            <w:pPr>
              <w:pStyle w:val="Compact"/>
              <w:jc w:val="right"/>
            </w:pPr>
            <w:r>
              <w:t xml:space="preserve">–</w:t>
            </w:r>
          </w:p>
        </w:tc>
      </w:tr>
      <w:tr>
        <w:tc>
          <w:tcPr/>
          <w:p>
            <w:pPr>
              <w:pStyle w:val="Compact"/>
              <w:jc w:val="left"/>
            </w:pPr>
            <m:oMath>
              <m:sSub>
                <m:e>
                  <m:r>
                    <m:t>n</m:t>
                  </m:r>
                </m:e>
                <m:sub>
                  <m:r>
                    <m:t>u</m:t>
                  </m:r>
                </m:sub>
              </m:sSub>
            </m:oMath>
          </w:p>
        </w:tc>
        <w:tc>
          <w:tcPr/>
          <w:p>
            <w:pPr>
              <w:pStyle w:val="Compact"/>
              <w:jc w:val="left"/>
            </w:pPr>
            <w:r>
              <w:t xml:space="preserve">Número de variables manipuladas en la formulación MPC</w:t>
            </w:r>
          </w:p>
        </w:tc>
        <w:tc>
          <w:tcPr/>
          <w:p>
            <w:pPr>
              <w:pStyle w:val="Compact"/>
              <w:jc w:val="right"/>
            </w:pPr>
            <w:r>
              <w:t xml:space="preserve">–</w:t>
            </w:r>
          </w:p>
        </w:tc>
      </w:tr>
      <w:tr>
        <w:tc>
          <w:tcPr/>
          <w:p>
            <w:pPr>
              <w:pStyle w:val="Compact"/>
              <w:jc w:val="left"/>
            </w:pPr>
            <m:oMath>
              <m:sSub>
                <m:e>
                  <m:r>
                    <m:t>n</m:t>
                  </m:r>
                </m:e>
                <m:sub>
                  <m:r>
                    <m:t>y</m:t>
                  </m:r>
                </m:sub>
              </m:sSub>
            </m:oMath>
          </w:p>
        </w:tc>
        <w:tc>
          <w:tcPr/>
          <w:p>
            <w:pPr>
              <w:pStyle w:val="Compact"/>
              <w:jc w:val="left"/>
            </w:pPr>
            <w:r>
              <w:t xml:space="preserve">Número de variables controladas en la formulación MPC</w:t>
            </w:r>
          </w:p>
        </w:tc>
        <w:tc>
          <w:tcPr/>
          <w:p>
            <w:pPr>
              <w:pStyle w:val="Compact"/>
              <w:jc w:val="right"/>
            </w:pPr>
            <w:r>
              <w:t xml:space="preserve">–</w:t>
            </w:r>
          </w:p>
        </w:tc>
      </w:tr>
      <w:tr>
        <w:tc>
          <w:tcPr/>
          <w:p>
            <w:pPr>
              <w:pStyle w:val="Compact"/>
              <w:jc w:val="left"/>
            </w:pPr>
            <m:oMath>
              <m:r>
                <m:t>N</m:t>
              </m:r>
            </m:oMath>
          </w:p>
        </w:tc>
        <w:tc>
          <w:tcPr/>
          <w:p>
            <w:pPr>
              <w:pStyle w:val="Compact"/>
              <w:jc w:val="left"/>
            </w:pPr>
            <w:r>
              <w:t xml:space="preserve">Número de muestras de datos utilizadas en los cálculos de RECM y</w:t>
            </w:r>
            <w:r>
              <w:t xml:space="preserve"> </w:t>
            </w:r>
            <m:oMath>
              <m:sSup>
                <m:e>
                  <m:r>
                    <m:t>R</m:t>
                  </m:r>
                </m:e>
                <m:sup>
                  <m:r>
                    <m:t>2</m:t>
                  </m:r>
                </m:sup>
              </m:sSup>
            </m:oMath>
            <w:r>
              <w:t xml:space="preserve"> </w:t>
            </w:r>
            <w:r>
              <w:t xml:space="preserve">(Ecs. </w:t>
            </w:r>
            <w:hyperlink w:anchor="eq:RECM">
              <w:r>
                <w:rPr>
                  <w:rStyle w:val="Hyperlink"/>
                </w:rPr>
                <w:t xml:space="preserve">[eq:RECM]</w:t>
              </w:r>
            </w:hyperlink>
            <w:r>
              <w:t xml:space="preserve">–</w:t>
            </w:r>
            <w:hyperlink w:anchor="eq:R2">
              <w:r>
                <w:rPr>
                  <w:rStyle w:val="Hyperlink"/>
                </w:rPr>
                <w:t xml:space="preserve">[eq:R2]</w:t>
              </w:r>
            </w:hyperlink>
            <w:r>
              <w:t xml:space="preserve">)</w:t>
            </w:r>
          </w:p>
        </w:tc>
        <w:tc>
          <w:tcPr/>
          <w:p>
            <w:pPr>
              <w:pStyle w:val="Compact"/>
              <w:jc w:val="right"/>
            </w:pPr>
            <w:r>
              <w:t xml:space="preserve">–</w:t>
            </w:r>
          </w:p>
        </w:tc>
      </w:tr>
      <w:tr>
        <w:tc>
          <w:tcPr/>
          <w:p>
            <w:pPr>
              <w:pStyle w:val="Compact"/>
              <w:jc w:val="left"/>
            </w:pPr>
            <m:oMath>
              <m:r>
                <m:t>N</m:t>
              </m:r>
            </m:oMath>
          </w:p>
        </w:tc>
        <w:tc>
          <w:tcPr/>
          <w:p>
            <w:pPr>
              <w:pStyle w:val="Compact"/>
              <w:jc w:val="left"/>
            </w:pPr>
            <w:r>
              <w:t xml:space="preserve">Número de etapas teóricas de la columna de destilación (modelo MESH, Ec. </w:t>
            </w:r>
            <w:hyperlink w:anchor="eq:num_ec">
              <w:r>
                <w:rPr>
                  <w:rStyle w:val="Hyperlink"/>
                </w:rPr>
                <w:t xml:space="preserve">[eq:num_ec]</w:t>
              </w:r>
            </w:hyperlink>
            <w:r>
              <w:t xml:space="preserve">)</w:t>
            </w:r>
          </w:p>
        </w:tc>
        <w:tc>
          <w:tcPr/>
          <w:p>
            <w:pPr>
              <w:pStyle w:val="Compact"/>
              <w:jc w:val="right"/>
            </w:pPr>
            <w:r>
              <w:t xml:space="preserve">–</w:t>
            </w:r>
          </w:p>
        </w:tc>
      </w:tr>
      <w:tr>
        <w:tc>
          <w:tcPr/>
          <w:p>
            <w:pPr>
              <w:pStyle w:val="Compact"/>
              <w:jc w:val="left"/>
            </w:pPr>
            <m:oMath>
              <m:sSub>
                <m:e>
                  <m:r>
                    <m:t>N</m:t>
                  </m:r>
                </m:e>
                <m:sub>
                  <m:r>
                    <m:t>e</m:t>
                  </m:r>
                  <m:r>
                    <m:t>c</m:t>
                  </m:r>
                </m:sub>
              </m:sSub>
            </m:oMath>
          </w:p>
        </w:tc>
        <w:tc>
          <w:tcPr/>
          <w:p>
            <w:pPr>
              <w:pStyle w:val="Compact"/>
              <w:jc w:val="left"/>
            </w:pPr>
            <w:r>
              <w:t xml:space="preserve">Número de ecuaciones algebraicas que describen la columna en un instante dado (Ec. </w:t>
            </w:r>
            <w:hyperlink w:anchor="eq:num_ec">
              <w:r>
                <w:rPr>
                  <w:rStyle w:val="Hyperlink"/>
                </w:rPr>
                <w:t xml:space="preserve">[eq:num_ec]</w:t>
              </w:r>
            </w:hyperlink>
            <w:r>
              <w:t xml:space="preserve">)</w:t>
            </w:r>
          </w:p>
        </w:tc>
        <w:tc>
          <w:tcPr/>
          <w:p>
            <w:pPr>
              <w:pStyle w:val="Compact"/>
              <w:jc w:val="right"/>
            </w:pPr>
            <w:r>
              <w:t xml:space="preserve">–</w:t>
            </w:r>
          </w:p>
        </w:tc>
      </w:tr>
      <w:tr>
        <w:tc>
          <w:tcPr/>
          <w:p>
            <w:pPr>
              <w:pStyle w:val="Compact"/>
              <w:jc w:val="left"/>
            </w:pPr>
            <m:oMath>
              <m:sSub>
                <m:e>
                  <m:r>
                    <m:t>N</m:t>
                  </m:r>
                </m:e>
                <m:sub>
                  <m:r>
                    <m:t>e</m:t>
                  </m:r>
                  <m:r>
                    <m:t>t</m:t>
                  </m:r>
                </m:sub>
              </m:sSub>
            </m:oMath>
          </w:p>
        </w:tc>
        <w:tc>
          <w:tcPr/>
          <w:p>
            <w:pPr>
              <w:pStyle w:val="Compact"/>
              <w:jc w:val="left"/>
            </w:pPr>
            <w:r>
              <w:t xml:space="preserve">Número total de ecuaciones resueltas durante la simulación dinámica (Ec. </w:t>
            </w:r>
            <w:hyperlink w:anchor="eq:num_et">
              <w:r>
                <w:rPr>
                  <w:rStyle w:val="Hyperlink"/>
                </w:rPr>
                <w:t xml:space="preserve">[eq:num_et]</w:t>
              </w:r>
            </w:hyperlink>
            <w:r>
              <w:t xml:space="preserve">)</w:t>
            </w:r>
          </w:p>
        </w:tc>
        <w:tc>
          <w:tcPr/>
          <w:p>
            <w:pPr>
              <w:pStyle w:val="Compact"/>
              <w:jc w:val="right"/>
            </w:pPr>
            <w:r>
              <w:t xml:space="preserve">–</w:t>
            </w:r>
          </w:p>
        </w:tc>
      </w:tr>
      <w:tr>
        <w:tc>
          <w:tcPr/>
          <w:p>
            <w:pPr>
              <w:pStyle w:val="Compact"/>
              <w:jc w:val="left"/>
            </w:pPr>
            <m:oMath>
              <m:sSub>
                <m:e>
                  <m:r>
                    <m:t>N</m:t>
                  </m:r>
                </m:e>
                <m:sub>
                  <m:r>
                    <m:t>i</m:t>
                  </m:r>
                </m:sub>
              </m:sSub>
            </m:oMath>
          </w:p>
        </w:tc>
        <w:tc>
          <w:tcPr/>
          <w:p>
            <w:pPr>
              <w:pStyle w:val="Compact"/>
              <w:jc w:val="left"/>
            </w:pPr>
            <w:r>
              <w:t xml:space="preserve">Número de intervalos de tiempo en la simulación dinámica (Ec. </w:t>
            </w:r>
            <w:hyperlink w:anchor="eq:num_et">
              <w:r>
                <w:rPr>
                  <w:rStyle w:val="Hyperlink"/>
                </w:rPr>
                <w:t xml:space="preserve">[eq:num_et]</w:t>
              </w:r>
            </w:hyperlink>
            <w:r>
              <w:t xml:space="preserve">)</w:t>
            </w:r>
          </w:p>
        </w:tc>
        <w:tc>
          <w:tcPr/>
          <w:p>
            <w:pPr>
              <w:pStyle w:val="Compact"/>
              <w:jc w:val="right"/>
            </w:pPr>
            <w:r>
              <w:t xml:space="preserve">–</w:t>
            </w:r>
          </w:p>
        </w:tc>
      </w:tr>
      <w:tr>
        <w:tc>
          <w:tcPr/>
          <w:p>
            <w:pPr>
              <w:pStyle w:val="Compact"/>
              <w:jc w:val="left"/>
            </w:pPr>
            <m:oMath>
              <m:r>
                <m:t>p</m:t>
              </m:r>
            </m:oMath>
          </w:p>
        </w:tc>
        <w:tc>
          <w:tcPr/>
          <w:p>
            <w:pPr>
              <w:pStyle w:val="Compact"/>
              <w:jc w:val="left"/>
            </w:pPr>
            <w:r>
              <w:t xml:space="preserve">Horizonte de predicción del MPC (Ecs. </w:t>
            </w:r>
            <w:hyperlink w:anchor="eq:Vectorzk">
              <w:r>
                <w:rPr>
                  <w:rStyle w:val="Hyperlink"/>
                </w:rPr>
                <w:t xml:space="preserve">[eq:Vectorzk]</w:t>
              </w:r>
            </w:hyperlink>
            <w:r>
              <w:t xml:space="preserve">–</w:t>
            </w:r>
            <w:hyperlink w:anchor="eq:Jdeltau">
              <w:r>
                <w:rPr>
                  <w:rStyle w:val="Hyperlink"/>
                </w:rPr>
                <w:t xml:space="preserve">[eq:Jdeltau]</w:t>
              </w:r>
            </w:hyperlink>
            <w:r>
              <w:t xml:space="preserve">)</w:t>
            </w:r>
          </w:p>
        </w:tc>
        <w:tc>
          <w:tcPr/>
          <w:p>
            <w:pPr>
              <w:pStyle w:val="Compact"/>
              <w:jc w:val="right"/>
            </w:pPr>
            <w:r>
              <w:t xml:space="preserve">pasos</w:t>
            </w:r>
          </w:p>
        </w:tc>
      </w:tr>
      <w:tr>
        <w:tc>
          <w:tcPr/>
          <w:p>
            <w:pPr>
              <w:pStyle w:val="Compact"/>
              <w:jc w:val="left"/>
            </w:pPr>
            <m:oMath>
              <m:sSub>
                <m:e>
                  <m:r>
                    <m:t>P</m:t>
                  </m:r>
                </m:e>
                <m:sub>
                  <m:r>
                    <m:t>1</m:t>
                  </m:r>
                </m:sub>
              </m:sSub>
            </m:oMath>
          </w:p>
        </w:tc>
        <w:tc>
          <w:tcPr/>
          <w:p>
            <w:pPr>
              <w:pStyle w:val="Compact"/>
              <w:jc w:val="left"/>
            </w:pPr>
            <w:r>
              <w:t xml:space="preserve">Temperatura de la variable controlada tras la primera perturbación (Tabla </w:t>
            </w:r>
            <w:hyperlink w:anchor="tab:ControlIntegralesP1">
              <w:r>
                <w:rPr>
                  <w:rStyle w:val="Hyperlink"/>
                </w:rPr>
                <w:t xml:space="preserve">4</w:t>
              </w:r>
            </w:hyperlink>
            <w:r>
              <w:t xml:space="preserve">–</w:t>
            </w:r>
            <w:hyperlink w:anchor="tab:ControlIntegralesP2">
              <w:r>
                <w:rPr>
                  <w:rStyle w:val="Hyperlink"/>
                </w:rPr>
                <w:t xml:space="preserve">5</w:t>
              </w:r>
            </w:hyperlink>
            <w:r>
              <w:t xml:space="preserve">)</w:t>
            </w:r>
          </w:p>
        </w:tc>
        <w:tc>
          <w:tcPr/>
          <w:p>
            <w:pPr>
              <w:pStyle w:val="Compact"/>
              <w:jc w:val="right"/>
            </w:pPr>
            <m:oMath>
              <m:sSup>
                <m:e>
                  <m:r>
                    <m:t>​</m:t>
                  </m:r>
                </m:e>
                <m:sup>
                  <m:r>
                    <m:rPr>
                      <m:sty m:val="p"/>
                    </m:rPr>
                    <m:t>∘</m:t>
                  </m:r>
                </m:sup>
              </m:sSup>
            </m:oMath>
            <w:r>
              <w:t xml:space="preserve">C</w:t>
            </w:r>
          </w:p>
        </w:tc>
      </w:tr>
      <w:tr>
        <w:tc>
          <w:tcPr/>
          <w:p>
            <w:pPr>
              <w:pStyle w:val="Compact"/>
              <w:jc w:val="left"/>
            </w:pPr>
            <m:oMath>
              <m:sSub>
                <m:e>
                  <m:r>
                    <m:t>P</m:t>
                  </m:r>
                </m:e>
                <m:sub>
                  <m:r>
                    <m:t>2</m:t>
                  </m:r>
                </m:sub>
              </m:sSub>
            </m:oMath>
          </w:p>
        </w:tc>
        <w:tc>
          <w:tcPr/>
          <w:p>
            <w:pPr>
              <w:pStyle w:val="Compact"/>
              <w:jc w:val="left"/>
            </w:pPr>
            <w:r>
              <w:t xml:space="preserve">Temperatura de la variable controlada tras la segunda perturbación (Tabla </w:t>
            </w:r>
            <w:hyperlink w:anchor="tab:ControlIntegralesP1">
              <w:r>
                <w:rPr>
                  <w:rStyle w:val="Hyperlink"/>
                </w:rPr>
                <w:t xml:space="preserve">4</w:t>
              </w:r>
            </w:hyperlink>
            <w:r>
              <w:t xml:space="preserve">–</w:t>
            </w:r>
            <w:hyperlink w:anchor="tab:ControlIntegralesP2">
              <w:r>
                <w:rPr>
                  <w:rStyle w:val="Hyperlink"/>
                </w:rPr>
                <w:t xml:space="preserve">5</w:t>
              </w:r>
            </w:hyperlink>
            <w:r>
              <w:t xml:space="preserve">)</w:t>
            </w:r>
          </w:p>
        </w:tc>
        <w:tc>
          <w:tcPr/>
          <w:p>
            <w:pPr>
              <w:pStyle w:val="Compact"/>
              <w:jc w:val="right"/>
            </w:pPr>
            <m:oMath>
              <m:sSup>
                <m:e>
                  <m:r>
                    <m:t>​</m:t>
                  </m:r>
                </m:e>
                <m:sup>
                  <m:r>
                    <m:rPr>
                      <m:sty m:val="p"/>
                    </m:rPr>
                    <m:t>∘</m:t>
                  </m:r>
                </m:sup>
              </m:sSup>
            </m:oMath>
            <w:r>
              <w:t xml:space="preserve">C</w:t>
            </w:r>
          </w:p>
        </w:tc>
      </w:tr>
      <w:tr>
        <w:tc>
          <w:tcPr/>
          <w:p>
            <w:pPr>
              <w:pStyle w:val="Compact"/>
              <w:jc w:val="left"/>
            </w:pPr>
            <m:oMath>
              <m:r>
                <m:t>q</m:t>
              </m:r>
            </m:oMath>
          </w:p>
        </w:tc>
        <w:tc>
          <w:tcPr/>
          <w:p>
            <w:pPr>
              <w:pStyle w:val="Compact"/>
              <w:jc w:val="left"/>
            </w:pPr>
            <w:r>
              <w:t xml:space="preserve">Operador de avance (adelanto)</w:t>
            </w:r>
          </w:p>
        </w:tc>
        <w:tc>
          <w:tcPr/>
          <w:p>
            <w:pPr>
              <w:pStyle w:val="Compact"/>
              <w:jc w:val="right"/>
            </w:pPr>
            <w:r>
              <w:t xml:space="preserve">–</w:t>
            </w:r>
          </w:p>
        </w:tc>
      </w:tr>
      <w:tr>
        <w:tc>
          <w:tcPr/>
          <w:p>
            <w:pPr>
              <w:pStyle w:val="Compact"/>
              <w:jc w:val="left"/>
            </w:pPr>
            <m:oMath>
              <m:sSup>
                <m:e>
                  <m:r>
                    <m:t>q</m:t>
                  </m:r>
                </m:e>
                <m:sup>
                  <m:r>
                    <m:rPr>
                      <m:sty m:val="p"/>
                    </m:rPr>
                    <m:t>−</m:t>
                  </m:r>
                  <m:r>
                    <m:t>1</m:t>
                  </m:r>
                </m:sup>
              </m:sSup>
            </m:oMath>
          </w:p>
        </w:tc>
        <w:tc>
          <w:tcPr/>
          <w:p>
            <w:pPr>
              <w:pStyle w:val="Compact"/>
              <w:jc w:val="left"/>
            </w:pPr>
            <w:r>
              <w:t xml:space="preserve">Operador de retardo unitario</w:t>
            </w:r>
          </w:p>
        </w:tc>
        <w:tc>
          <w:tcPr/>
          <w:p>
            <w:pPr>
              <w:pStyle w:val="Compact"/>
              <w:jc w:val="right"/>
            </w:pPr>
            <w:r>
              <w:t xml:space="preserve">–</w:t>
            </w:r>
          </w:p>
        </w:tc>
      </w:tr>
      <w:tr>
        <w:tc>
          <w:tcPr/>
          <w:p>
            <w:pPr>
              <w:pStyle w:val="Compact"/>
              <w:jc w:val="left"/>
            </w:pPr>
            <m:oMath>
              <m:sSub>
                <m:e>
                  <m:r>
                    <m:t>Q</m:t>
                  </m:r>
                </m:e>
                <m:sub>
                  <m:r>
                    <m:t>R</m:t>
                  </m:r>
                </m:sub>
              </m:sSub>
            </m:oMath>
          </w:p>
        </w:tc>
        <w:tc>
          <w:tcPr/>
          <w:p>
            <w:pPr>
              <w:pStyle w:val="Compact"/>
              <w:jc w:val="left"/>
            </w:pPr>
            <w:r>
              <w:t xml:space="preserve">Calor del rehervidor (genérico)</w:t>
            </w:r>
          </w:p>
        </w:tc>
        <w:tc>
          <w:tcPr/>
          <w:p>
            <w:pPr>
              <w:pStyle w:val="Compact"/>
              <w:jc w:val="right"/>
            </w:pPr>
            <w:r>
              <w:t xml:space="preserve">kW</w:t>
            </w:r>
          </w:p>
        </w:tc>
      </w:tr>
      <w:tr>
        <w:tc>
          <w:tcPr/>
          <w:p>
            <w:pPr>
              <w:pStyle w:val="Compact"/>
              <w:jc w:val="left"/>
            </w:pPr>
            <m:oMath>
              <m:sSub>
                <m:e>
                  <m:r>
                    <m:t>Q</m:t>
                  </m:r>
                </m:e>
                <m:sub>
                  <m:r>
                    <m:t>R</m:t>
                  </m:r>
                  <m:r>
                    <m:rPr>
                      <m:sty m:val="p"/>
                    </m:rPr>
                    <m:t>,</m:t>
                  </m:r>
                  <m:r>
                    <m:t>T</m:t>
                  </m:r>
                  <m:r>
                    <m:rPr>
                      <m:nor/>
                      <m:sty m:val="p"/>
                    </m:rPr>
                    <m:t>-</m:t>
                  </m:r>
                  <m:r>
                    <m:t>101</m:t>
                  </m:r>
                </m:sub>
              </m:sSub>
            </m:oMath>
          </w:p>
        </w:tc>
        <w:tc>
          <w:tcPr/>
          <w:p>
            <w:pPr>
              <w:pStyle w:val="Compact"/>
              <w:jc w:val="left"/>
            </w:pPr>
            <w:r>
              <w:t xml:space="preserve">Calor del rehervidor de la columna extractiva T-101 (variable manipulada)</w:t>
            </w:r>
          </w:p>
        </w:tc>
        <w:tc>
          <w:tcPr/>
          <w:p>
            <w:pPr>
              <w:pStyle w:val="Compact"/>
              <w:jc w:val="right"/>
            </w:pPr>
            <w:r>
              <w:t xml:space="preserve">kW</w:t>
            </w:r>
          </w:p>
        </w:tc>
      </w:tr>
      <w:tr>
        <w:tc>
          <w:tcPr/>
          <w:p>
            <w:pPr>
              <w:pStyle w:val="Compact"/>
              <w:jc w:val="left"/>
            </w:pPr>
            <m:oMath>
              <m:sSub>
                <m:e>
                  <m:r>
                    <m:t>Q</m:t>
                  </m:r>
                </m:e>
                <m:sub>
                  <m:r>
                    <m:t>R</m:t>
                  </m:r>
                  <m:r>
                    <m:rPr>
                      <m:sty m:val="p"/>
                    </m:rPr>
                    <m:t>,</m:t>
                  </m:r>
                  <m:r>
                    <m:t>T</m:t>
                  </m:r>
                  <m:r>
                    <m:rPr>
                      <m:nor/>
                      <m:sty m:val="p"/>
                    </m:rPr>
                    <m:t>-</m:t>
                  </m:r>
                  <m:r>
                    <m:t>102</m:t>
                  </m:r>
                </m:sub>
              </m:sSub>
            </m:oMath>
          </w:p>
        </w:tc>
        <w:tc>
          <w:tcPr/>
          <w:p>
            <w:pPr>
              <w:pStyle w:val="Compact"/>
              <w:jc w:val="left"/>
            </w:pPr>
            <w:r>
              <w:t xml:space="preserve">Calor del rehervidor de la columna de recuperación de solvente T-102 (variable manipulada)</w:t>
            </w:r>
          </w:p>
        </w:tc>
        <w:tc>
          <w:tcPr/>
          <w:p>
            <w:pPr>
              <w:pStyle w:val="Compact"/>
              <w:jc w:val="right"/>
            </w:pPr>
            <w:r>
              <w:t xml:space="preserve">kW</w:t>
            </w:r>
          </w:p>
        </w:tc>
      </w:tr>
      <w:tr>
        <w:tc>
          <w:tcPr/>
          <w:p>
            <w:pPr>
              <w:pStyle w:val="Compact"/>
              <w:jc w:val="left"/>
            </w:pPr>
            <m:oMath>
              <m:sSup>
                <m:e>
                  <m:r>
                    <m:t>R</m:t>
                  </m:r>
                </m:e>
                <m:sup>
                  <m:r>
                    <m:t>2</m:t>
                  </m:r>
                </m:sup>
              </m:sSup>
            </m:oMath>
          </w:p>
        </w:tc>
        <w:tc>
          <w:tcPr/>
          <w:p>
            <w:pPr>
              <w:pStyle w:val="Compact"/>
              <w:jc w:val="left"/>
            </w:pPr>
            <w:r>
              <w:t xml:space="preserve">Coeficiente de determinación (métrica de ajuste, Ec. </w:t>
            </w:r>
            <w:hyperlink w:anchor="eq:R2">
              <w:r>
                <w:rPr>
                  <w:rStyle w:val="Hyperlink"/>
                </w:rPr>
                <w:t xml:space="preserve">[eq:R2]</w:t>
              </w:r>
            </w:hyperlink>
            <w:r>
              <w:t xml:space="preserve">)</w:t>
            </w:r>
          </w:p>
        </w:tc>
        <w:tc>
          <w:tcPr/>
          <w:p>
            <w:pPr>
              <w:pStyle w:val="Compact"/>
              <w:jc w:val="right"/>
            </w:pPr>
            <w:r>
              <w:t xml:space="preserve">–</w:t>
            </w:r>
          </w:p>
        </w:tc>
      </w:tr>
      <w:tr>
        <w:tc>
          <w:tcPr/>
          <w:p>
            <w:pPr>
              <w:pStyle w:val="Compact"/>
              <w:jc w:val="left"/>
            </w:pPr>
            <m:oMath>
              <m:sSub>
                <m:e>
                  <m:r>
                    <m:t>r</m:t>
                  </m:r>
                </m:e>
                <m:sub>
                  <m:r>
                    <m:t>j</m:t>
                  </m:r>
                </m:sub>
              </m:sSub>
              <m:r>
                <m:rPr>
                  <m:sty m:val="p"/>
                </m:rPr>
                <m:t>(</m:t>
              </m:r>
              <m:r>
                <m:t>k</m:t>
              </m:r>
              <m:r>
                <m:rPr>
                  <m:sty m:val="p"/>
                </m:rPr>
                <m:t>+</m:t>
              </m:r>
              <m:r>
                <m:t>i</m:t>
              </m:r>
              <m:r>
                <m:rPr>
                  <m:sty m:val="p"/>
                </m:rPr>
                <m:t>|</m:t>
              </m:r>
              <m:r>
                <m:t>k</m:t>
              </m:r>
              <m:r>
                <m:rPr>
                  <m:sty m:val="p"/>
                </m:rPr>
                <m:t>)</m:t>
              </m:r>
            </m:oMath>
          </w:p>
        </w:tc>
        <w:tc>
          <w:tcPr/>
          <w:p>
            <w:pPr>
              <w:pStyle w:val="Compact"/>
              <w:jc w:val="left"/>
            </w:pPr>
            <w:r>
              <w:t xml:space="preserve">Referencia predicha (setpoint) para la salida</w:t>
            </w:r>
            <w:r>
              <w:t xml:space="preserve"> </w:t>
            </w:r>
            <m:oMath>
              <m:r>
                <m:t>j</m:t>
              </m:r>
            </m:oMath>
            <w:r>
              <w:t xml:space="preserve"> </w:t>
            </w:r>
            <w:r>
              <w:t xml:space="preserve">en el paso de predicción</w:t>
            </w:r>
            <w:r>
              <w:t xml:space="preserve"> </w:t>
            </w:r>
            <m:oMath>
              <m:r>
                <m:t>i</m:t>
              </m:r>
            </m:oMath>
            <w:r>
              <w:t xml:space="preserve"> </w:t>
            </w:r>
            <w:r>
              <w:t xml:space="preserve">(Ec. </w:t>
            </w:r>
            <w:hyperlink w:anchor="eq:Jy">
              <w:r>
                <w:rPr>
                  <w:rStyle w:val="Hyperlink"/>
                </w:rPr>
                <w:t xml:space="preserve">[eq:Jy]</w:t>
              </w:r>
            </w:hyperlink>
            <w:r>
              <w:t xml:space="preserve">)</w:t>
            </w:r>
          </w:p>
        </w:tc>
        <w:tc>
          <w:tcPr/>
          <w:p>
            <w:pPr>
              <w:pStyle w:val="Compact"/>
              <w:jc w:val="right"/>
            </w:pPr>
            <w:r>
              <w:t xml:space="preserve">–</w:t>
            </w:r>
          </w:p>
        </w:tc>
      </w:tr>
      <w:tr>
        <w:tc>
          <w:tcPr/>
          <w:p>
            <w:pPr>
              <w:pStyle w:val="Compact"/>
              <w:jc w:val="left"/>
            </w:pPr>
            <m:oMath>
              <m:r>
                <m:t>R</m:t>
              </m:r>
              <m:r>
                <m:t>E</m:t>
              </m:r>
              <m:r>
                <m:t>C</m:t>
              </m:r>
              <m:r>
                <m:t>M</m:t>
              </m:r>
            </m:oMath>
          </w:p>
        </w:tc>
        <w:tc>
          <w:tcPr/>
          <w:p>
            <w:pPr>
              <w:pStyle w:val="Compact"/>
              <w:jc w:val="left"/>
            </w:pPr>
            <w:r>
              <w:t xml:space="preserve">Raíz del Error Cuadrático Medio (Ec. </w:t>
            </w:r>
            <w:hyperlink w:anchor="eq:RECM">
              <w:r>
                <w:rPr>
                  <w:rStyle w:val="Hyperlink"/>
                </w:rPr>
                <w:t xml:space="preserve">[eq:RECM]</w:t>
              </w:r>
            </w:hyperlink>
            <w:r>
              <w:t xml:space="preserve">)</w:t>
            </w:r>
          </w:p>
        </w:tc>
        <w:tc>
          <w:tcPr/>
          <w:p>
            <w:pPr>
              <w:pStyle w:val="Compact"/>
              <w:jc w:val="right"/>
            </w:pPr>
            <m:oMath>
              <m:sSup>
                <m:e>
                  <m:r>
                    <m:t>​</m:t>
                  </m:r>
                </m:e>
                <m:sup>
                  <m:r>
                    <m:rPr>
                      <m:sty m:val="p"/>
                    </m:rPr>
                    <m:t>∘</m:t>
                  </m:r>
                </m:sup>
              </m:sSup>
            </m:oMath>
            <w:r>
              <w:t xml:space="preserve">C</w:t>
            </w:r>
          </w:p>
        </w:tc>
      </w:tr>
      <w:tr>
        <w:tc>
          <w:tcPr/>
          <w:p>
            <w:pPr>
              <w:pStyle w:val="Compact"/>
              <w:jc w:val="left"/>
            </w:pPr>
            <m:oMath>
              <m:r>
                <m:t>R</m:t>
              </m:r>
              <m:sSub>
                <m:e>
                  <m:r>
                    <m:t>R</m:t>
                  </m:r>
                </m:e>
                <m:sub>
                  <m:r>
                    <m:t>T</m:t>
                  </m:r>
                  <m:r>
                    <m:rPr>
                      <m:nor/>
                      <m:sty m:val="p"/>
                    </m:rPr>
                    <m:t>-</m:t>
                  </m:r>
                  <m:r>
                    <m:t>101</m:t>
                  </m:r>
                </m:sub>
              </m:sSub>
            </m:oMath>
          </w:p>
        </w:tc>
        <w:tc>
          <w:tcPr/>
          <w:p>
            <w:pPr>
              <w:pStyle w:val="Compact"/>
              <w:jc w:val="left"/>
            </w:pPr>
            <w:r>
              <w:t xml:space="preserve">Razón de reflujo de la columna T-101 (variable manipulada)</w:t>
            </w:r>
          </w:p>
        </w:tc>
        <w:tc>
          <w:tcPr/>
          <w:p>
            <w:pPr>
              <w:pStyle w:val="Compact"/>
              <w:jc w:val="right"/>
            </w:pPr>
            <w:r>
              <w:t xml:space="preserve">–</w:t>
            </w:r>
          </w:p>
        </w:tc>
      </w:tr>
      <w:tr>
        <w:tc>
          <w:tcPr/>
          <w:p>
            <w:pPr>
              <w:pStyle w:val="Compact"/>
              <w:jc w:val="left"/>
            </w:pPr>
            <m:oMath>
              <m:r>
                <m:t>R</m:t>
              </m:r>
              <m:sSub>
                <m:e>
                  <m:r>
                    <m:t>R</m:t>
                  </m:r>
                </m:e>
                <m:sub>
                  <m:r>
                    <m:t>T</m:t>
                  </m:r>
                  <m:r>
                    <m:rPr>
                      <m:nor/>
                      <m:sty m:val="p"/>
                    </m:rPr>
                    <m:t>-</m:t>
                  </m:r>
                  <m:r>
                    <m:t>102</m:t>
                  </m:r>
                </m:sub>
              </m:sSub>
            </m:oMath>
          </w:p>
        </w:tc>
        <w:tc>
          <w:tcPr/>
          <w:p>
            <w:pPr>
              <w:pStyle w:val="Compact"/>
              <w:jc w:val="left"/>
            </w:pPr>
            <w:r>
              <w:t xml:space="preserve">Razón de reflujo de la columna T-102 (variable manipulada)</w:t>
            </w:r>
          </w:p>
        </w:tc>
        <w:tc>
          <w:tcPr/>
          <w:p>
            <w:pPr>
              <w:pStyle w:val="Compact"/>
              <w:jc w:val="right"/>
            </w:pPr>
            <w:r>
              <w:t xml:space="preserve">–</w:t>
            </w:r>
          </w:p>
        </w:tc>
      </w:tr>
      <w:tr>
        <w:tc>
          <w:tcPr/>
          <w:p>
            <w:pPr>
              <w:pStyle w:val="Compact"/>
              <w:jc w:val="left"/>
            </w:pPr>
            <m:oMath>
              <m:sSubSup>
                <m:e>
                  <m:r>
                    <m:t>s</m:t>
                  </m:r>
                </m:e>
                <m:sub>
                  <m:r>
                    <m:t>j</m:t>
                  </m:r>
                </m:sub>
                <m:sup>
                  <m:r>
                    <m:t>u</m:t>
                  </m:r>
                </m:sup>
              </m:sSubSup>
            </m:oMath>
          </w:p>
        </w:tc>
        <w:tc>
          <w:tcPr/>
          <w:p>
            <w:pPr>
              <w:pStyle w:val="Compact"/>
              <w:jc w:val="left"/>
            </w:pPr>
            <w:r>
              <w:t xml:space="preserve">Factor de escala para la variable manipulada</w:t>
            </w:r>
            <w:r>
              <w:t xml:space="preserve"> </w:t>
            </w:r>
            <m:oMath>
              <m:r>
                <m:t>j</m:t>
              </m:r>
            </m:oMath>
            <w:r>
              <w:t xml:space="preserve"> </w:t>
            </w:r>
            <w:r>
              <w:t xml:space="preserve">en el costo MPC (Ecs. </w:t>
            </w:r>
            <w:hyperlink w:anchor="eq:Ju">
              <w:r>
                <w:rPr>
                  <w:rStyle w:val="Hyperlink"/>
                </w:rPr>
                <w:t xml:space="preserve">[eq:Ju]</w:t>
              </w:r>
            </w:hyperlink>
            <w:r>
              <w:t xml:space="preserve">–</w:t>
            </w:r>
            <w:hyperlink w:anchor="eq:Jdeltau">
              <w:r>
                <w:rPr>
                  <w:rStyle w:val="Hyperlink"/>
                </w:rPr>
                <w:t xml:space="preserve">[eq:Jdeltau]</w:t>
              </w:r>
            </w:hyperlink>
            <w:r>
              <w:t xml:space="preserve">)</w:t>
            </w:r>
          </w:p>
        </w:tc>
        <w:tc>
          <w:tcPr/>
          <w:p>
            <w:pPr>
              <w:pStyle w:val="Compact"/>
              <w:jc w:val="right"/>
            </w:pPr>
            <w:r>
              <w:t xml:space="preserve">–</w:t>
            </w:r>
          </w:p>
        </w:tc>
      </w:tr>
      <w:tr>
        <w:tc>
          <w:tcPr/>
          <w:p>
            <w:pPr>
              <w:pStyle w:val="Compact"/>
              <w:jc w:val="left"/>
            </w:pPr>
            <m:oMath>
              <m:sSubSup>
                <m:e>
                  <m:r>
                    <m:t>s</m:t>
                  </m:r>
                </m:e>
                <m:sub>
                  <m:r>
                    <m:t>j</m:t>
                  </m:r>
                </m:sub>
                <m:sup>
                  <m:r>
                    <m:t>y</m:t>
                  </m:r>
                </m:sup>
              </m:sSubSup>
            </m:oMath>
          </w:p>
        </w:tc>
        <w:tc>
          <w:tcPr/>
          <w:p>
            <w:pPr>
              <w:pStyle w:val="Compact"/>
              <w:jc w:val="left"/>
            </w:pPr>
            <w:r>
              <w:t xml:space="preserve">Factor de escala para la variable de salida</w:t>
            </w:r>
            <w:r>
              <w:t xml:space="preserve"> </w:t>
            </w:r>
            <m:oMath>
              <m:r>
                <m:t>j</m:t>
              </m:r>
            </m:oMath>
            <w:r>
              <w:t xml:space="preserve"> </w:t>
            </w:r>
            <w:r>
              <w:t xml:space="preserve">en el costo MPC (Ec. </w:t>
            </w:r>
            <w:hyperlink w:anchor="eq:Jy">
              <w:r>
                <w:rPr>
                  <w:rStyle w:val="Hyperlink"/>
                </w:rPr>
                <w:t xml:space="preserve">[eq:Jy]</w:t>
              </w:r>
            </w:hyperlink>
            <w:r>
              <w:t xml:space="preserve">)</w:t>
            </w:r>
          </w:p>
        </w:tc>
        <w:tc>
          <w:tcPr/>
          <w:p>
            <w:pPr>
              <w:pStyle w:val="Compact"/>
              <w:jc w:val="right"/>
            </w:pPr>
            <w:r>
              <w:t xml:space="preserve">–</w:t>
            </w:r>
          </w:p>
        </w:tc>
      </w:tr>
      <w:tr>
        <w:tc>
          <w:tcPr/>
          <w:p>
            <w:pPr>
              <w:pStyle w:val="Compact"/>
              <w:jc w:val="left"/>
            </w:pPr>
            <m:oMath>
              <m:r>
                <m:t>S</m:t>
              </m:r>
              <m:r>
                <m:t>P</m:t>
              </m:r>
            </m:oMath>
          </w:p>
        </w:tc>
        <w:tc>
          <w:tcPr/>
          <w:p>
            <w:pPr>
              <w:pStyle w:val="Compact"/>
              <w:jc w:val="left"/>
            </w:pPr>
            <w:r>
              <w:t xml:space="preserve">Temperatura de referencia (setpoint) (Tabla </w:t>
            </w:r>
            <w:hyperlink w:anchor="tab:ControlIntegralesP1">
              <w:r>
                <w:rPr>
                  <w:rStyle w:val="Hyperlink"/>
                </w:rPr>
                <w:t xml:space="preserve">4</w:t>
              </w:r>
            </w:hyperlink>
            <w:r>
              <w:t xml:space="preserve">–</w:t>
            </w:r>
            <w:hyperlink w:anchor="tab:ControlIntegralesP2">
              <w:r>
                <w:rPr>
                  <w:rStyle w:val="Hyperlink"/>
                </w:rPr>
                <w:t xml:space="preserve">5</w:t>
              </w:r>
            </w:hyperlink>
            <w:r>
              <w:t xml:space="preserve">)</w:t>
            </w:r>
          </w:p>
        </w:tc>
        <w:tc>
          <w:tcPr/>
          <w:p>
            <w:pPr>
              <w:pStyle w:val="Compact"/>
              <w:jc w:val="right"/>
            </w:pPr>
            <m:oMath>
              <m:sSup>
                <m:e>
                  <m:r>
                    <m:t>​</m:t>
                  </m:r>
                </m:e>
                <m:sup>
                  <m:r>
                    <m:rPr>
                      <m:sty m:val="p"/>
                    </m:rPr>
                    <m:t>∘</m:t>
                  </m:r>
                </m:sup>
              </m:sSup>
            </m:oMath>
            <w:r>
              <w:t xml:space="preserve">C</w:t>
            </w:r>
          </w:p>
        </w:tc>
      </w:tr>
      <w:tr>
        <w:tc>
          <w:tcPr/>
          <w:p>
            <w:pPr>
              <w:pStyle w:val="Compact"/>
              <w:jc w:val="left"/>
            </w:pPr>
            <m:oMath>
              <m:r>
                <m:t>t</m:t>
              </m:r>
            </m:oMath>
          </w:p>
        </w:tc>
        <w:tc>
          <w:tcPr/>
          <w:p>
            <w:pPr>
              <w:pStyle w:val="Compact"/>
              <w:jc w:val="left"/>
            </w:pPr>
            <w:r>
              <w:t xml:space="preserve">Tiempo continuo; también variable de integración en IAE, ISE, ITAE, ITSE</w:t>
            </w:r>
          </w:p>
        </w:tc>
        <w:tc>
          <w:tcPr/>
          <w:p>
            <w:pPr>
              <w:pStyle w:val="Compact"/>
              <w:jc w:val="right"/>
            </w:pPr>
            <w:r>
              <w:t xml:space="preserve">h</w:t>
            </w:r>
          </w:p>
        </w:tc>
      </w:tr>
      <w:tr>
        <w:tc>
          <w:tcPr/>
          <w:p>
            <w:pPr>
              <w:pStyle w:val="Compact"/>
              <w:jc w:val="left"/>
            </w:pPr>
            <m:oMath>
              <m:sSub>
                <m:e>
                  <m:r>
                    <m:t>t</m:t>
                  </m:r>
                </m:e>
                <m:sub>
                  <m:r>
                    <m:t>1</m:t>
                  </m:r>
                </m:sub>
              </m:sSub>
            </m:oMath>
          </w:p>
        </w:tc>
        <w:tc>
          <w:tcPr/>
          <w:p>
            <w:pPr>
              <w:pStyle w:val="Compact"/>
              <w:jc w:val="left"/>
            </w:pPr>
            <w:r>
              <w:t xml:space="preserve">Tiempo de estabilización tras la primera perturbación (Tabla </w:t>
            </w:r>
            <w:hyperlink w:anchor="tab:ControlIntegralesP1">
              <w:r>
                <w:rPr>
                  <w:rStyle w:val="Hyperlink"/>
                </w:rPr>
                <w:t xml:space="preserve">4</w:t>
              </w:r>
            </w:hyperlink>
            <w:r>
              <w:t xml:space="preserve">–</w:t>
            </w:r>
            <w:hyperlink w:anchor="tab:ControlIntegralesP2">
              <w:r>
                <w:rPr>
                  <w:rStyle w:val="Hyperlink"/>
                </w:rPr>
                <w:t xml:space="preserve">5</w:t>
              </w:r>
            </w:hyperlink>
            <w:r>
              <w:t xml:space="preserve">)</w:t>
            </w:r>
          </w:p>
        </w:tc>
        <w:tc>
          <w:tcPr/>
          <w:p>
            <w:pPr>
              <w:pStyle w:val="Compact"/>
              <w:jc w:val="right"/>
            </w:pPr>
            <w:r>
              <w:t xml:space="preserve">h</w:t>
            </w:r>
          </w:p>
        </w:tc>
      </w:tr>
      <w:tr>
        <w:tc>
          <w:tcPr/>
          <w:p>
            <w:pPr>
              <w:pStyle w:val="Compact"/>
              <w:jc w:val="left"/>
            </w:pPr>
            <m:oMath>
              <m:sSub>
                <m:e>
                  <m:r>
                    <m:t>t</m:t>
                  </m:r>
                </m:e>
                <m:sub>
                  <m:r>
                    <m:t>2</m:t>
                  </m:r>
                </m:sub>
              </m:sSub>
            </m:oMath>
          </w:p>
        </w:tc>
        <w:tc>
          <w:tcPr/>
          <w:p>
            <w:pPr>
              <w:pStyle w:val="Compact"/>
              <w:jc w:val="left"/>
            </w:pPr>
            <w:r>
              <w:t xml:space="preserve">Tiempo de estabilización tras la segunda perturbación (Tabla </w:t>
            </w:r>
            <w:hyperlink w:anchor="tab:ControlIntegralesP1">
              <w:r>
                <w:rPr>
                  <w:rStyle w:val="Hyperlink"/>
                </w:rPr>
                <w:t xml:space="preserve">4</w:t>
              </w:r>
            </w:hyperlink>
            <w:r>
              <w:t xml:space="preserve">–</w:t>
            </w:r>
            <w:hyperlink w:anchor="tab:ControlIntegralesP2">
              <w:r>
                <w:rPr>
                  <w:rStyle w:val="Hyperlink"/>
                </w:rPr>
                <w:t xml:space="preserve">5</w:t>
              </w:r>
            </w:hyperlink>
            <w:r>
              <w:t xml:space="preserve">)</w:t>
            </w:r>
          </w:p>
        </w:tc>
        <w:tc>
          <w:tcPr/>
          <w:p>
            <w:pPr>
              <w:pStyle w:val="Compact"/>
              <w:jc w:val="right"/>
            </w:pPr>
            <w:r>
              <w:t xml:space="preserve">h</w:t>
            </w:r>
          </w:p>
        </w:tc>
      </w:tr>
      <w:tr>
        <w:tc>
          <w:tcPr/>
          <w:p>
            <w:pPr>
              <w:pStyle w:val="Compact"/>
              <w:jc w:val="left"/>
            </w:pPr>
            <m:oMath>
              <m:r>
                <m:t>T</m:t>
              </m:r>
            </m:oMath>
          </w:p>
        </w:tc>
        <w:tc>
          <w:tcPr/>
          <w:p>
            <w:pPr>
              <w:pStyle w:val="Compact"/>
              <w:jc w:val="left"/>
            </w:pPr>
            <w:r>
              <w:t xml:space="preserve">Temperatura (genérica)</w:t>
            </w:r>
          </w:p>
        </w:tc>
        <w:tc>
          <w:tcPr/>
          <w:p>
            <w:pPr>
              <w:pStyle w:val="Compact"/>
              <w:jc w:val="right"/>
            </w:pPr>
            <m:oMath>
              <m:sSup>
                <m:e>
                  <m:r>
                    <m:t>​</m:t>
                  </m:r>
                </m:e>
                <m:sup>
                  <m:r>
                    <m:rPr>
                      <m:sty m:val="p"/>
                    </m:rPr>
                    <m:t>∘</m:t>
                  </m:r>
                </m:sup>
              </m:sSup>
            </m:oMath>
            <w:r>
              <w:t xml:space="preserve">C</w:t>
            </w:r>
          </w:p>
        </w:tc>
      </w:tr>
      <w:tr>
        <w:tc>
          <w:tcPr/>
          <w:p>
            <w:pPr>
              <w:pStyle w:val="Compact"/>
              <w:jc w:val="left"/>
            </w:pPr>
            <m:oMath>
              <m:sSub>
                <m:e>
                  <m:r>
                    <m:t>T</m:t>
                  </m:r>
                </m:e>
                <m:sub>
                  <m:r>
                    <m:t>36</m:t>
                  </m:r>
                  <m:r>
                    <m:rPr>
                      <m:sty m:val="p"/>
                    </m:rPr>
                    <m:t>,</m:t>
                  </m:r>
                  <m:r>
                    <m:t>T</m:t>
                  </m:r>
                  <m:r>
                    <m:rPr>
                      <m:nor/>
                      <m:sty m:val="p"/>
                    </m:rPr>
                    <m:t>-</m:t>
                  </m:r>
                  <m:r>
                    <m:t>101</m:t>
                  </m:r>
                </m:sub>
              </m:sSub>
            </m:oMath>
          </w:p>
        </w:tc>
        <w:tc>
          <w:tcPr/>
          <w:p>
            <w:pPr>
              <w:pStyle w:val="Compact"/>
              <w:jc w:val="left"/>
            </w:pPr>
            <w:r>
              <w:t xml:space="preserve">Temperatura en la etapa 36 de la columna T-101 — variable controlada de T-101</w:t>
            </w:r>
          </w:p>
        </w:tc>
        <w:tc>
          <w:tcPr/>
          <w:p>
            <w:pPr>
              <w:pStyle w:val="Compact"/>
              <w:jc w:val="right"/>
            </w:pPr>
            <m:oMath>
              <m:sSup>
                <m:e>
                  <m:r>
                    <m:t>​</m:t>
                  </m:r>
                </m:e>
                <m:sup>
                  <m:r>
                    <m:rPr>
                      <m:sty m:val="p"/>
                    </m:rPr>
                    <m:t>∘</m:t>
                  </m:r>
                </m:sup>
              </m:sSup>
            </m:oMath>
            <w:r>
              <w:t xml:space="preserve">C</w:t>
            </w:r>
          </w:p>
        </w:tc>
      </w:tr>
      <w:tr>
        <w:tc>
          <w:tcPr/>
          <w:p>
            <w:pPr>
              <w:pStyle w:val="Compact"/>
              <w:jc w:val="left"/>
            </w:pPr>
            <m:oMath>
              <m:sSub>
                <m:e>
                  <m:r>
                    <m:t>T</m:t>
                  </m:r>
                </m:e>
                <m:sub>
                  <m:r>
                    <m:t>8</m:t>
                  </m:r>
                  <m:r>
                    <m:rPr>
                      <m:sty m:val="p"/>
                    </m:rPr>
                    <m:t>,</m:t>
                  </m:r>
                  <m:r>
                    <m:t>T</m:t>
                  </m:r>
                  <m:r>
                    <m:rPr>
                      <m:nor/>
                      <m:sty m:val="p"/>
                    </m:rPr>
                    <m:t>-</m:t>
                  </m:r>
                  <m:r>
                    <m:t>102</m:t>
                  </m:r>
                </m:sub>
              </m:sSub>
            </m:oMath>
          </w:p>
        </w:tc>
        <w:tc>
          <w:tcPr/>
          <w:p>
            <w:pPr>
              <w:pStyle w:val="Compact"/>
              <w:jc w:val="left"/>
            </w:pPr>
            <w:r>
              <w:t xml:space="preserve">Temperatura en la etapa 8 de la columna T-102 — variable controlada de T-102</w:t>
            </w:r>
          </w:p>
        </w:tc>
        <w:tc>
          <w:tcPr/>
          <w:p>
            <w:pPr>
              <w:pStyle w:val="Compact"/>
              <w:jc w:val="right"/>
            </w:pPr>
            <m:oMath>
              <m:sSup>
                <m:e>
                  <m:r>
                    <m:t>​</m:t>
                  </m:r>
                </m:e>
                <m:sup>
                  <m:r>
                    <m:rPr>
                      <m:sty m:val="p"/>
                    </m:rPr>
                    <m:t>∘</m:t>
                  </m:r>
                </m:sup>
              </m:sSup>
            </m:oMath>
            <w:r>
              <w:t xml:space="preserve">C</w:t>
            </w:r>
          </w:p>
        </w:tc>
      </w:tr>
      <w:tr>
        <w:tc>
          <w:tcPr/>
          <w:p>
            <w:pPr>
              <w:pStyle w:val="Compact"/>
              <w:jc w:val="left"/>
            </w:pPr>
            <m:oMath>
              <m:r>
                <m:t>u</m:t>
              </m:r>
            </m:oMath>
          </w:p>
        </w:tc>
        <w:tc>
          <w:tcPr/>
          <w:p>
            <w:pPr>
              <w:pStyle w:val="Compact"/>
              <w:jc w:val="left"/>
            </w:pPr>
            <w:r>
              <w:t xml:space="preserve">Variable manipulada (genérica)</w:t>
            </w:r>
          </w:p>
        </w:tc>
        <w:tc>
          <w:tcPr/>
          <w:p>
            <w:pPr>
              <w:pStyle w:val="Compact"/>
              <w:jc w:val="right"/>
            </w:pPr>
            <w:r>
              <w:t xml:space="preserve">–</w:t>
            </w:r>
          </w:p>
        </w:tc>
      </w:tr>
      <w:tr>
        <w:tc>
          <w:tcPr/>
          <w:p>
            <w:pPr>
              <w:pStyle w:val="Compact"/>
              <w:jc w:val="left"/>
            </w:pPr>
            <m:oMath>
              <m:r>
                <m:t>u</m:t>
              </m:r>
              <m:r>
                <m:rPr>
                  <m:sty m:val="p"/>
                </m:rPr>
                <m:t>(</m:t>
              </m:r>
              <m:r>
                <m:t>k</m:t>
              </m:r>
              <m:r>
                <m:rPr>
                  <m:sty m:val="p"/>
                </m:rPr>
                <m:t>)</m:t>
              </m:r>
            </m:oMath>
          </w:p>
        </w:tc>
        <w:tc>
          <w:tcPr/>
          <w:p>
            <w:pPr>
              <w:pStyle w:val="Compact"/>
              <w:jc w:val="left"/>
            </w:pPr>
            <w:r>
              <w:t xml:space="preserve">Señal de variable manipulada en tiempo discreto</w:t>
            </w:r>
          </w:p>
        </w:tc>
        <w:tc>
          <w:tcPr/>
          <w:p>
            <w:pPr>
              <w:pStyle w:val="Compact"/>
              <w:jc w:val="right"/>
            </w:pPr>
            <w:r>
              <w:t xml:space="preserve">–</w:t>
            </w:r>
          </w:p>
        </w:tc>
      </w:tr>
      <w:tr>
        <w:tc>
          <w:tcPr/>
          <w:p>
            <w:pPr>
              <w:pStyle w:val="Compact"/>
              <w:jc w:val="left"/>
            </w:pPr>
            <m:oMath>
              <m:acc>
                <m:accPr>
                  <m:chr m:val="‾"/>
                </m:accPr>
                <m:e>
                  <m:r>
                    <m:t>u</m:t>
                  </m:r>
                </m:e>
              </m:acc>
              <m:r>
                <m:rPr>
                  <m:sty m:val="p"/>
                </m:rPr>
                <m:t>(</m:t>
              </m:r>
              <m:r>
                <m:t>k</m:t>
              </m:r>
              <m:r>
                <m:rPr>
                  <m:sty m:val="p"/>
                </m:rPr>
                <m:t>)</m:t>
              </m:r>
            </m:oMath>
          </w:p>
        </w:tc>
        <w:tc>
          <w:tcPr/>
          <w:p>
            <w:pPr>
              <w:pStyle w:val="Compact"/>
              <w:jc w:val="left"/>
            </w:pPr>
            <w:r>
              <w:t xml:space="preserve">Señal de entrada en tiempo discreto en la formulación ARX/ARMAX (Ec. </w:t>
            </w:r>
            <w:hyperlink w:anchor="eq:arx_general">
              <w:r>
                <w:rPr>
                  <w:rStyle w:val="Hyperlink"/>
                </w:rPr>
                <w:t xml:space="preserve">[eq:arx_general]</w:t>
              </w:r>
            </w:hyperlink>
            <w:r>
              <w:t xml:space="preserve">)</w:t>
            </w:r>
          </w:p>
        </w:tc>
        <w:tc>
          <w:tcPr/>
          <w:p>
            <w:pPr>
              <w:pStyle w:val="Compact"/>
              <w:jc w:val="right"/>
            </w:pPr>
            <w:r>
              <w:t xml:space="preserve">–</w:t>
            </w:r>
          </w:p>
        </w:tc>
      </w:tr>
      <w:tr>
        <w:tc>
          <w:tcPr/>
          <w:p>
            <w:pPr>
              <w:pStyle w:val="Compact"/>
              <w:jc w:val="left"/>
            </w:pPr>
            <m:oMath>
              <m:r>
                <m:t>u</m:t>
              </m:r>
              <m:r>
                <m:rPr>
                  <m:sty m:val="p"/>
                </m:rPr>
                <m:t>(</m:t>
              </m:r>
              <m:r>
                <m:t>t</m:t>
              </m:r>
              <m:r>
                <m:rPr>
                  <m:sty m:val="p"/>
                </m:rPr>
                <m:t>)</m:t>
              </m:r>
            </m:oMath>
          </w:p>
        </w:tc>
        <w:tc>
          <w:tcPr/>
          <w:p>
            <w:pPr>
              <w:pStyle w:val="Compact"/>
              <w:jc w:val="left"/>
            </w:pPr>
            <w:r>
              <w:t xml:space="preserve">Vector de entradas en tiempo continuo (espacio de estados, Ec. </w:t>
            </w:r>
            <w:hyperlink w:anchor="eq:statespace_state">
              <w:r>
                <w:rPr>
                  <w:rStyle w:val="Hyperlink"/>
                </w:rPr>
                <w:t xml:space="preserve">[eq:statespace_state]</w:t>
              </w:r>
            </w:hyperlink>
            <w:r>
              <w:t xml:space="preserve">)</w:t>
            </w:r>
          </w:p>
        </w:tc>
        <w:tc>
          <w:tcPr/>
          <w:p>
            <w:pPr>
              <w:pStyle w:val="Compact"/>
              <w:jc w:val="right"/>
            </w:pPr>
            <w:r>
              <w:t xml:space="preserve">–</w:t>
            </w:r>
          </w:p>
        </w:tc>
      </w:tr>
      <w:tr>
        <w:tc>
          <w:tcPr/>
          <w:p>
            <w:pPr>
              <w:pStyle w:val="Compact"/>
              <w:jc w:val="left"/>
            </w:pPr>
            <m:oMath>
              <m:sSub>
                <m:e>
                  <m:r>
                    <m:t>u</m:t>
                  </m:r>
                </m:e>
                <m:sub>
                  <m:r>
                    <m:t>j</m:t>
                  </m:r>
                </m:sub>
              </m:sSub>
              <m:r>
                <m:rPr>
                  <m:sty m:val="p"/>
                </m:rPr>
                <m:t>(</m:t>
              </m:r>
              <m:r>
                <m:t>k</m:t>
              </m:r>
              <m:r>
                <m:rPr>
                  <m:sty m:val="p"/>
                </m:rPr>
                <m:t>+</m:t>
              </m:r>
              <m:r>
                <m:t>i</m:t>
              </m:r>
              <m:r>
                <m:rPr>
                  <m:sty m:val="p"/>
                </m:rPr>
                <m:t>|</m:t>
              </m:r>
              <m:r>
                <m:t>k</m:t>
              </m:r>
              <m:r>
                <m:rPr>
                  <m:sty m:val="p"/>
                </m:rPr>
                <m:t>)</m:t>
              </m:r>
            </m:oMath>
          </w:p>
        </w:tc>
        <w:tc>
          <w:tcPr/>
          <w:p>
            <w:pPr>
              <w:pStyle w:val="Compact"/>
              <w:jc w:val="left"/>
            </w:pPr>
            <w:r>
              <w:t xml:space="preserve">Variable manipulada</w:t>
            </w:r>
            <w:r>
              <w:t xml:space="preserve"> </w:t>
            </w:r>
            <m:oMath>
              <m:r>
                <m:t>j</m:t>
              </m:r>
            </m:oMath>
            <w:r>
              <w:t xml:space="preserve"> </w:t>
            </w:r>
            <w:r>
              <w:t xml:space="preserve">predicha en el paso</w:t>
            </w:r>
            <w:r>
              <w:t xml:space="preserve"> </w:t>
            </w:r>
            <m:oMath>
              <m:r>
                <m:t>i</m:t>
              </m:r>
            </m:oMath>
            <w:r>
              <w:t xml:space="preserve"> </w:t>
            </w:r>
            <w:r>
              <w:t xml:space="preserve">(Ecs. </w:t>
            </w:r>
            <w:hyperlink w:anchor="eq:Ju">
              <w:r>
                <w:rPr>
                  <w:rStyle w:val="Hyperlink"/>
                </w:rPr>
                <w:t xml:space="preserve">[eq:Ju]</w:t>
              </w:r>
            </w:hyperlink>
            <w:r>
              <w:t xml:space="preserve">–</w:t>
            </w:r>
            <w:hyperlink w:anchor="eq:Jdeltau">
              <w:r>
                <w:rPr>
                  <w:rStyle w:val="Hyperlink"/>
                </w:rPr>
                <w:t xml:space="preserve">[eq:Jdeltau]</w:t>
              </w:r>
            </w:hyperlink>
            <w:r>
              <w:t xml:space="preserve">)</w:t>
            </w:r>
          </w:p>
        </w:tc>
        <w:tc>
          <w:tcPr/>
          <w:p>
            <w:pPr>
              <w:pStyle w:val="Compact"/>
              <w:jc w:val="right"/>
            </w:pPr>
            <w:r>
              <w:t xml:space="preserve">–</w:t>
            </w:r>
          </w:p>
        </w:tc>
      </w:tr>
      <w:tr>
        <w:tc>
          <w:tcPr/>
          <w:p>
            <w:pPr>
              <w:pStyle w:val="Compact"/>
              <w:jc w:val="left"/>
            </w:pPr>
            <m:oMath>
              <m:sSub>
                <m:e>
                  <m:r>
                    <m:t>u</m:t>
                  </m:r>
                </m:e>
                <m:sub>
                  <m:r>
                    <m:t>j</m:t>
                  </m:r>
                  <m:r>
                    <m:rPr>
                      <m:sty m:val="p"/>
                    </m:rPr>
                    <m:t>,</m:t>
                  </m:r>
                  <m:r>
                    <m:t>t</m:t>
                  </m:r>
                  <m:r>
                    <m:t>a</m:t>
                  </m:r>
                  <m:r>
                    <m:t>r</m:t>
                  </m:r>
                  <m:r>
                    <m:t>g</m:t>
                  </m:r>
                  <m:r>
                    <m:t>e</m:t>
                  </m:r>
                  <m:r>
                    <m:t>t</m:t>
                  </m:r>
                </m:sub>
              </m:sSub>
              <m:r>
                <m:rPr>
                  <m:sty m:val="p"/>
                </m:rPr>
                <m:t>(</m:t>
              </m:r>
              <m:r>
                <m:t>k</m:t>
              </m:r>
              <m:r>
                <m:rPr>
                  <m:sty m:val="p"/>
                </m:rPr>
                <m:t>+</m:t>
              </m:r>
              <m:r>
                <m:t>i</m:t>
              </m:r>
              <m:r>
                <m:rPr>
                  <m:sty m:val="p"/>
                </m:rPr>
                <m:t>|</m:t>
              </m:r>
              <m:r>
                <m:t>k</m:t>
              </m:r>
              <m:r>
                <m:rPr>
                  <m:sty m:val="p"/>
                </m:rPr>
                <m:t>)</m:t>
              </m:r>
            </m:oMath>
          </w:p>
        </w:tc>
        <w:tc>
          <w:tcPr/>
          <w:p>
            <w:pPr>
              <w:pStyle w:val="Compact"/>
              <w:jc w:val="left"/>
            </w:pPr>
            <w:r>
              <w:t xml:space="preserve">Valor objetivo (estado estable deseado) para la variable manipulada</w:t>
            </w:r>
            <w:r>
              <w:t xml:space="preserve"> </w:t>
            </w:r>
            <m:oMath>
              <m:r>
                <m:t>j</m:t>
              </m:r>
            </m:oMath>
            <w:r>
              <w:t xml:space="preserve"> </w:t>
            </w:r>
            <w:r>
              <w:t xml:space="preserve">(Ec. </w:t>
            </w:r>
            <w:hyperlink w:anchor="eq:Ju">
              <w:r>
                <w:rPr>
                  <w:rStyle w:val="Hyperlink"/>
                </w:rPr>
                <w:t xml:space="preserve">[eq:Ju]</w:t>
              </w:r>
            </w:hyperlink>
            <w:r>
              <w:t xml:space="preserve">)</w:t>
            </w:r>
          </w:p>
        </w:tc>
        <w:tc>
          <w:tcPr/>
          <w:p>
            <w:pPr>
              <w:pStyle w:val="Compact"/>
              <w:jc w:val="right"/>
            </w:pPr>
            <w:r>
              <w:t xml:space="preserve">–</w:t>
            </w:r>
          </w:p>
        </w:tc>
      </w:tr>
      <w:tr>
        <w:tc>
          <w:tcPr/>
          <w:p>
            <w:pPr>
              <w:pStyle w:val="Compact"/>
              <w:jc w:val="left"/>
            </w:pPr>
            <m:oMath>
              <m:sSubSup>
                <m:e>
                  <m:r>
                    <m:t>w</m:t>
                  </m:r>
                </m:e>
                <m:sub>
                  <m:r>
                    <m:t>i</m:t>
                  </m:r>
                  <m:r>
                    <m:rPr>
                      <m:sty m:val="p"/>
                    </m:rPr>
                    <m:t>,</m:t>
                  </m:r>
                  <m:r>
                    <m:t>j</m:t>
                  </m:r>
                </m:sub>
                <m:sup>
                  <m:r>
                    <m:t>y</m:t>
                  </m:r>
                </m:sup>
              </m:sSubSup>
            </m:oMath>
          </w:p>
        </w:tc>
        <w:tc>
          <w:tcPr/>
          <w:p>
            <w:pPr>
              <w:pStyle w:val="Compact"/>
              <w:jc w:val="left"/>
            </w:pPr>
            <w:r>
              <w:t xml:space="preserve">Peso de sintonización MPC para la salida</w:t>
            </w:r>
            <w:r>
              <w:t xml:space="preserve"> </w:t>
            </w:r>
            <m:oMath>
              <m:r>
                <m:t>j</m:t>
              </m:r>
            </m:oMath>
            <w:r>
              <w:t xml:space="preserve"> </w:t>
            </w:r>
            <w:r>
              <w:t xml:space="preserve">en el paso</w:t>
            </w:r>
            <w:r>
              <w:t xml:space="preserve"> </w:t>
            </w:r>
            <m:oMath>
              <m:r>
                <m:t>i</m:t>
              </m:r>
            </m:oMath>
            <w:r>
              <w:t xml:space="preserve"> </w:t>
            </w:r>
            <w:r>
              <w:t xml:space="preserve">(Ec. </w:t>
            </w:r>
            <w:hyperlink w:anchor="eq:Jy">
              <w:r>
                <w:rPr>
                  <w:rStyle w:val="Hyperlink"/>
                </w:rPr>
                <w:t xml:space="preserve">[eq:Jy]</w:t>
              </w:r>
            </w:hyperlink>
            <w:r>
              <w:t xml:space="preserve">)</w:t>
            </w:r>
          </w:p>
        </w:tc>
        <w:tc>
          <w:tcPr/>
          <w:p>
            <w:pPr>
              <w:pStyle w:val="Compact"/>
              <w:jc w:val="right"/>
            </w:pPr>
            <w:r>
              <w:t xml:space="preserve">–</w:t>
            </w:r>
          </w:p>
        </w:tc>
      </w:tr>
      <w:tr>
        <w:tc>
          <w:tcPr/>
          <w:p>
            <w:pPr>
              <w:pStyle w:val="Compact"/>
              <w:jc w:val="left"/>
            </w:pPr>
            <m:oMath>
              <m:sSubSup>
                <m:e>
                  <m:r>
                    <m:t>w</m:t>
                  </m:r>
                </m:e>
                <m:sub>
                  <m:r>
                    <m:t>i</m:t>
                  </m:r>
                  <m:r>
                    <m:rPr>
                      <m:sty m:val="p"/>
                    </m:rPr>
                    <m:t>,</m:t>
                  </m:r>
                  <m:r>
                    <m:t>j</m:t>
                  </m:r>
                </m:sub>
                <m:sup>
                  <m:r>
                    <m:t>u</m:t>
                  </m:r>
                </m:sup>
              </m:sSubSup>
            </m:oMath>
          </w:p>
        </w:tc>
        <w:tc>
          <w:tcPr/>
          <w:p>
            <w:pPr>
              <w:pStyle w:val="Compact"/>
              <w:jc w:val="left"/>
            </w:pPr>
            <w:r>
              <w:t xml:space="preserve">Peso de sintonización MPC para la variable manipulada</w:t>
            </w:r>
            <w:r>
              <w:t xml:space="preserve"> </w:t>
            </w:r>
            <m:oMath>
              <m:r>
                <m:t>j</m:t>
              </m:r>
            </m:oMath>
            <w:r>
              <w:t xml:space="preserve"> </w:t>
            </w:r>
            <w:r>
              <w:t xml:space="preserve">en el paso</w:t>
            </w:r>
            <w:r>
              <w:t xml:space="preserve"> </w:t>
            </w:r>
            <m:oMath>
              <m:r>
                <m:t>i</m:t>
              </m:r>
            </m:oMath>
            <w:r>
              <w:t xml:space="preserve"> </w:t>
            </w:r>
            <w:r>
              <w:t xml:space="preserve">(Ec. </w:t>
            </w:r>
            <w:hyperlink w:anchor="eq:Ju">
              <w:r>
                <w:rPr>
                  <w:rStyle w:val="Hyperlink"/>
                </w:rPr>
                <w:t xml:space="preserve">[eq:Ju]</w:t>
              </w:r>
            </w:hyperlink>
            <w:r>
              <w:t xml:space="preserve">)</w:t>
            </w:r>
          </w:p>
        </w:tc>
        <w:tc>
          <w:tcPr/>
          <w:p>
            <w:pPr>
              <w:pStyle w:val="Compact"/>
              <w:jc w:val="right"/>
            </w:pPr>
            <w:r>
              <w:t xml:space="preserve">–</w:t>
            </w:r>
          </w:p>
        </w:tc>
      </w:tr>
      <w:tr>
        <w:tc>
          <w:tcPr/>
          <w:p>
            <w:pPr>
              <w:pStyle w:val="Compact"/>
              <w:jc w:val="left"/>
            </w:pPr>
            <m:oMath>
              <m:sSubSup>
                <m:e>
                  <m:r>
                    <m:t>w</m:t>
                  </m:r>
                </m:e>
                <m:sub>
                  <m:r>
                    <m:t>i</m:t>
                  </m:r>
                  <m:r>
                    <m:rPr>
                      <m:sty m:val="p"/>
                    </m:rPr>
                    <m:t>,</m:t>
                  </m:r>
                  <m:r>
                    <m:t>j</m:t>
                  </m:r>
                </m:sub>
                <m:sup>
                  <m:r>
                    <m:rPr>
                      <m:sty m:val="p"/>
                    </m:rPr>
                    <m:t>Δ</m:t>
                  </m:r>
                  <m:r>
                    <m:t>u</m:t>
                  </m:r>
                </m:sup>
              </m:sSubSup>
            </m:oMath>
          </w:p>
        </w:tc>
        <w:tc>
          <w:tcPr/>
          <w:p>
            <w:pPr>
              <w:pStyle w:val="Compact"/>
              <w:jc w:val="left"/>
            </w:pPr>
            <w:r>
              <w:t xml:space="preserve">Peso de sintonización MPC para la tasa de cambio de la variable manipulada</w:t>
            </w:r>
            <w:r>
              <w:t xml:space="preserve"> </w:t>
            </w:r>
            <m:oMath>
              <m:r>
                <m:t>j</m:t>
              </m:r>
            </m:oMath>
            <w:r>
              <w:t xml:space="preserve"> </w:t>
            </w:r>
            <w:r>
              <w:t xml:space="preserve">(Ec. </w:t>
            </w:r>
            <w:hyperlink w:anchor="eq:Jdeltau">
              <w:r>
                <w:rPr>
                  <w:rStyle w:val="Hyperlink"/>
                </w:rPr>
                <w:t xml:space="preserve">[eq:Jdeltau]</w:t>
              </w:r>
            </w:hyperlink>
            <w:r>
              <w:t xml:space="preserve">)</w:t>
            </w:r>
          </w:p>
        </w:tc>
        <w:tc>
          <w:tcPr/>
          <w:p>
            <w:pPr>
              <w:pStyle w:val="Compact"/>
              <w:jc w:val="right"/>
            </w:pPr>
            <w:r>
              <w:t xml:space="preserve">–</w:t>
            </w:r>
          </w:p>
        </w:tc>
      </w:tr>
      <w:tr>
        <w:tc>
          <w:tcPr/>
          <w:p>
            <w:pPr>
              <w:pStyle w:val="Compact"/>
              <w:jc w:val="left"/>
            </w:pPr>
            <m:oMath>
              <m:r>
                <m:t>x</m:t>
              </m:r>
              <m:r>
                <m:rPr>
                  <m:sty m:val="p"/>
                </m:rPr>
                <m:t>(</m:t>
              </m:r>
              <m:r>
                <m:t>t</m:t>
              </m:r>
              <m:r>
                <m:rPr>
                  <m:sty m:val="p"/>
                </m:rPr>
                <m:t>)</m:t>
              </m:r>
            </m:oMath>
          </w:p>
        </w:tc>
        <w:tc>
          <w:tcPr/>
          <w:p>
            <w:pPr>
              <w:pStyle w:val="Compact"/>
              <w:jc w:val="left"/>
            </w:pPr>
            <w:r>
              <w:t xml:space="preserve">Vector de estados en tiempo continuo (Ec. </w:t>
            </w:r>
            <w:hyperlink w:anchor="eq:statespace_state">
              <w:r>
                <w:rPr>
                  <w:rStyle w:val="Hyperlink"/>
                </w:rPr>
                <w:t xml:space="preserve">[eq:statespace_state]</w:t>
              </w:r>
            </w:hyperlink>
            <w:r>
              <w:t xml:space="preserve">)</w:t>
            </w:r>
          </w:p>
        </w:tc>
        <w:tc>
          <w:tcPr/>
          <w:p>
            <w:pPr>
              <w:pStyle w:val="Compact"/>
              <w:jc w:val="right"/>
            </w:pPr>
            <w:r>
              <w:t xml:space="preserve">–</w:t>
            </w:r>
          </w:p>
        </w:tc>
      </w:tr>
      <w:tr>
        <w:tc>
          <w:tcPr/>
          <w:p>
            <w:pPr>
              <w:pStyle w:val="Compact"/>
              <w:jc w:val="left"/>
            </w:pPr>
            <m:oMath>
              <m:acc>
                <m:accPr>
                  <m:chr m:val="̇"/>
                </m:accPr>
                <m:e>
                  <m:r>
                    <m:t>x</m:t>
                  </m:r>
                </m:e>
              </m:acc>
              <m:r>
                <m:rPr>
                  <m:sty m:val="p"/>
                </m:rPr>
                <m:t>(</m:t>
              </m:r>
              <m:r>
                <m:t>t</m:t>
              </m:r>
              <m:r>
                <m:rPr>
                  <m:sty m:val="p"/>
                </m:rPr>
                <m:t>)</m:t>
              </m:r>
            </m:oMath>
          </w:p>
        </w:tc>
        <w:tc>
          <w:tcPr/>
          <w:p>
            <w:pPr>
              <w:pStyle w:val="Compact"/>
              <w:jc w:val="left"/>
            </w:pPr>
            <w:r>
              <w:t xml:space="preserve">Derivada temporal del vector de estados (Ec. </w:t>
            </w:r>
            <w:hyperlink w:anchor="eq:statespace_state">
              <w:r>
                <w:rPr>
                  <w:rStyle w:val="Hyperlink"/>
                </w:rPr>
                <w:t xml:space="preserve">[eq:statespace_state]</w:t>
              </w:r>
            </w:hyperlink>
            <w:r>
              <w:t xml:space="preserve">)</w:t>
            </w:r>
          </w:p>
        </w:tc>
        <w:tc>
          <w:tcPr/>
          <w:p>
            <w:pPr>
              <w:pStyle w:val="Compact"/>
              <w:jc w:val="right"/>
            </w:pPr>
            <w:r>
              <w:t xml:space="preserve">–</w:t>
            </w:r>
          </w:p>
        </w:tc>
      </w:tr>
      <w:tr>
        <w:tc>
          <w:tcPr/>
          <w:p>
            <w:pPr>
              <w:pStyle w:val="Compact"/>
              <w:jc w:val="left"/>
            </w:pPr>
            <m:oMath>
              <m:r>
                <m:t>X</m:t>
              </m:r>
            </m:oMath>
          </w:p>
        </w:tc>
        <w:tc>
          <w:tcPr/>
          <w:p>
            <w:pPr>
              <w:pStyle w:val="Compact"/>
              <w:jc w:val="left"/>
            </w:pPr>
            <w:r>
              <w:t xml:space="preserve">Variable de proceso genérica utilizada en la normalización por desviación (Ec. </w:t>
            </w:r>
            <w:hyperlink w:anchor="eq:Desviacion">
              <w:r>
                <w:rPr>
                  <w:rStyle w:val="Hyperlink"/>
                </w:rPr>
                <w:t xml:space="preserve">[eq:Desviacion]</w:t>
              </w:r>
            </w:hyperlink>
            <w:r>
              <w:t xml:space="preserve">)</w:t>
            </w:r>
          </w:p>
        </w:tc>
        <w:tc>
          <w:tcPr/>
          <w:p>
            <w:pPr>
              <w:pStyle w:val="Compact"/>
              <w:jc w:val="right"/>
            </w:pPr>
            <w:r>
              <w:t xml:space="preserve">–</w:t>
            </w:r>
          </w:p>
        </w:tc>
      </w:tr>
      <w:tr>
        <w:tc>
          <w:tcPr/>
          <w:p>
            <w:pPr>
              <w:pStyle w:val="Compact"/>
              <w:jc w:val="left"/>
            </w:pPr>
            <m:oMath>
              <m:sSub>
                <m:e>
                  <m:r>
                    <m:t>X</m:t>
                  </m:r>
                </m:e>
                <m:sub>
                  <m:r>
                    <m:t>d</m:t>
                  </m:r>
                  <m:r>
                    <m:t>e</m:t>
                  </m:r>
                  <m:r>
                    <m:t>s</m:t>
                  </m:r>
                  <m:r>
                    <m:t>v</m:t>
                  </m:r>
                </m:sub>
              </m:sSub>
            </m:oMath>
          </w:p>
        </w:tc>
        <w:tc>
          <w:tcPr/>
          <w:p>
            <w:pPr>
              <w:pStyle w:val="Compact"/>
              <w:jc w:val="left"/>
            </w:pPr>
            <w:r>
              <w:t xml:space="preserve">Desviación relativa de la variable</w:t>
            </w:r>
            <w:r>
              <w:t xml:space="preserve"> </w:t>
            </w:r>
            <m:oMath>
              <m:r>
                <m:t>X</m:t>
              </m:r>
            </m:oMath>
            <w:r>
              <w:t xml:space="preserve"> </w:t>
            </w:r>
            <w:r>
              <w:t xml:space="preserve">respecto a su valor nominal de operación (Ec. </w:t>
            </w:r>
            <w:hyperlink w:anchor="eq:Desviacion">
              <w:r>
                <w:rPr>
                  <w:rStyle w:val="Hyperlink"/>
                </w:rPr>
                <w:t xml:space="preserve">[eq:Desviacion]</w:t>
              </w:r>
            </w:hyperlink>
            <w:r>
              <w:t xml:space="preserve">)</w:t>
            </w:r>
          </w:p>
        </w:tc>
        <w:tc>
          <w:tcPr/>
          <w:p>
            <w:pPr>
              <w:pStyle w:val="Compact"/>
              <w:jc w:val="right"/>
            </w:pPr>
            <w:r>
              <w:t xml:space="preserve">–</w:t>
            </w:r>
          </w:p>
        </w:tc>
      </w:tr>
      <w:tr>
        <w:tc>
          <w:tcPr/>
          <w:p>
            <w:pPr>
              <w:pStyle w:val="Compact"/>
              <w:jc w:val="left"/>
            </w:pPr>
            <m:oMath>
              <m:sSub>
                <m:e>
                  <m:r>
                    <m:t>X</m:t>
                  </m:r>
                </m:e>
                <m:sub>
                  <m:r>
                    <m:t>n</m:t>
                  </m:r>
                  <m:r>
                    <m:t>o</m:t>
                  </m:r>
                  <m:r>
                    <m:t>m</m:t>
                  </m:r>
                  <m:r>
                    <m:t>i</m:t>
                  </m:r>
                  <m:r>
                    <m:t>n</m:t>
                  </m:r>
                  <m:r>
                    <m:t>a</m:t>
                  </m:r>
                  <m:r>
                    <m:t>l</m:t>
                  </m:r>
                </m:sub>
              </m:sSub>
            </m:oMath>
          </w:p>
        </w:tc>
        <w:tc>
          <w:tcPr/>
          <w:p>
            <w:pPr>
              <w:pStyle w:val="Compact"/>
              <w:jc w:val="left"/>
            </w:pPr>
            <w:r>
              <w:t xml:space="preserve">Valor nominal (estado estacionario) de la variable</w:t>
            </w:r>
            <w:r>
              <w:t xml:space="preserve"> </w:t>
            </w:r>
            <m:oMath>
              <m:r>
                <m:t>X</m:t>
              </m:r>
            </m:oMath>
            <w:r>
              <w:t xml:space="preserve"> </w:t>
            </w:r>
            <w:r>
              <w:t xml:space="preserve">(Ec. </w:t>
            </w:r>
            <w:hyperlink w:anchor="eq:Desviacion">
              <w:r>
                <w:rPr>
                  <w:rStyle w:val="Hyperlink"/>
                </w:rPr>
                <w:t xml:space="preserve">[eq:Desviacion]</w:t>
              </w:r>
            </w:hyperlink>
            <w:r>
              <w:t xml:space="preserve">)</w:t>
            </w:r>
          </w:p>
        </w:tc>
        <w:tc>
          <w:tcPr/>
          <w:p>
            <w:pPr>
              <w:pStyle w:val="Compact"/>
              <w:jc w:val="right"/>
            </w:pPr>
            <w:r>
              <w:t xml:space="preserve">–</w:t>
            </w:r>
          </w:p>
        </w:tc>
      </w:tr>
      <w:tr>
        <w:tc>
          <w:tcPr/>
          <w:p>
            <w:pPr>
              <w:pStyle w:val="Compact"/>
              <w:jc w:val="left"/>
            </w:pPr>
            <m:oMath>
              <m:r>
                <m:t>y</m:t>
              </m:r>
            </m:oMath>
          </w:p>
        </w:tc>
        <w:tc>
          <w:tcPr/>
          <w:p>
            <w:pPr>
              <w:pStyle w:val="Compact"/>
              <w:jc w:val="left"/>
            </w:pPr>
            <w:r>
              <w:t xml:space="preserve">Variable de salida controlada (genérica)</w:t>
            </w:r>
          </w:p>
        </w:tc>
        <w:tc>
          <w:tcPr/>
          <w:p>
            <w:pPr>
              <w:pStyle w:val="Compact"/>
              <w:jc w:val="right"/>
            </w:pPr>
            <w:r>
              <w:t xml:space="preserve">–</w:t>
            </w:r>
          </w:p>
        </w:tc>
      </w:tr>
      <w:tr>
        <w:tc>
          <w:tcPr/>
          <w:p>
            <w:pPr>
              <w:pStyle w:val="Compact"/>
              <w:jc w:val="left"/>
            </w:pPr>
            <m:oMath>
              <m:r>
                <m:t>y</m:t>
              </m:r>
              <m:r>
                <m:rPr>
                  <m:sty m:val="p"/>
                </m:rPr>
                <m:t>(</m:t>
              </m:r>
              <m:r>
                <m:t>k</m:t>
              </m:r>
              <m:r>
                <m:rPr>
                  <m:sty m:val="p"/>
                </m:rPr>
                <m:t>)</m:t>
              </m:r>
            </m:oMath>
          </w:p>
        </w:tc>
        <w:tc>
          <w:tcPr/>
          <w:p>
            <w:pPr>
              <w:pStyle w:val="Compact"/>
              <w:jc w:val="left"/>
            </w:pPr>
            <w:r>
              <w:t xml:space="preserve">Señal de salida del sistema en tiempo discreto (formulación ARX/ARMAX)</w:t>
            </w:r>
          </w:p>
        </w:tc>
        <w:tc>
          <w:tcPr/>
          <w:p>
            <w:pPr>
              <w:pStyle w:val="Compact"/>
              <w:jc w:val="right"/>
            </w:pPr>
            <w:r>
              <w:t xml:space="preserve">–</w:t>
            </w:r>
          </w:p>
        </w:tc>
      </w:tr>
      <w:tr>
        <w:tc>
          <w:tcPr/>
          <w:p>
            <w:pPr>
              <w:pStyle w:val="Compact"/>
              <w:jc w:val="left"/>
            </w:pPr>
            <m:oMath>
              <m:acc>
                <m:accPr>
                  <m:chr m:val="‾"/>
                </m:accPr>
                <m:e>
                  <m:r>
                    <m:t>y</m:t>
                  </m:r>
                </m:e>
              </m:acc>
              <m:r>
                <m:rPr>
                  <m:sty m:val="p"/>
                </m:rPr>
                <m:t>(</m:t>
              </m:r>
              <m:r>
                <m:t>k</m:t>
              </m:r>
              <m:r>
                <m:rPr>
                  <m:sty m:val="p"/>
                </m:rPr>
                <m:t>)</m:t>
              </m:r>
            </m:oMath>
          </w:p>
        </w:tc>
        <w:tc>
          <w:tcPr/>
          <w:p>
            <w:pPr>
              <w:pStyle w:val="Compact"/>
              <w:jc w:val="left"/>
            </w:pPr>
            <w:r>
              <w:t xml:space="preserve">Señal de salida en tiempo discreto en la formulación ARX/ARMAX (Ec. </w:t>
            </w:r>
            <w:hyperlink w:anchor="eq:arx_general">
              <w:r>
                <w:rPr>
                  <w:rStyle w:val="Hyperlink"/>
                </w:rPr>
                <w:t xml:space="preserve">[eq:arx_general]</w:t>
              </w:r>
            </w:hyperlink>
            <w:r>
              <w:t xml:space="preserve">)</w:t>
            </w:r>
          </w:p>
        </w:tc>
        <w:tc>
          <w:tcPr/>
          <w:p>
            <w:pPr>
              <w:pStyle w:val="Compact"/>
              <w:jc w:val="right"/>
            </w:pPr>
            <w:r>
              <w:t xml:space="preserve">–</w:t>
            </w:r>
          </w:p>
        </w:tc>
      </w:tr>
      <w:tr>
        <w:tc>
          <w:tcPr/>
          <w:p>
            <w:pPr>
              <w:pStyle w:val="Compact"/>
              <w:jc w:val="left"/>
            </w:pPr>
            <m:oMath>
              <m:r>
                <m:t>y</m:t>
              </m:r>
              <m:r>
                <m:rPr>
                  <m:sty m:val="p"/>
                </m:rPr>
                <m:t>(</m:t>
              </m:r>
              <m:r>
                <m:t>t</m:t>
              </m:r>
              <m:r>
                <m:rPr>
                  <m:sty m:val="p"/>
                </m:rPr>
                <m:t>)</m:t>
              </m:r>
            </m:oMath>
          </w:p>
        </w:tc>
        <w:tc>
          <w:tcPr/>
          <w:p>
            <w:pPr>
              <w:pStyle w:val="Compact"/>
              <w:jc w:val="left"/>
            </w:pPr>
            <w:r>
              <w:t xml:space="preserve">Vector de salidas en tiempo continuo (espacio de estados, Ec. </w:t>
            </w:r>
            <w:hyperlink w:anchor="eq:statespace_output">
              <w:r>
                <w:rPr>
                  <w:rStyle w:val="Hyperlink"/>
                </w:rPr>
                <w:t xml:space="preserve">[eq:statespace_output]</w:t>
              </w:r>
            </w:hyperlink>
            <w:r>
              <w:t xml:space="preserve">)</w:t>
            </w:r>
          </w:p>
        </w:tc>
        <w:tc>
          <w:tcPr/>
          <w:p>
            <w:pPr>
              <w:pStyle w:val="Compact"/>
              <w:jc w:val="right"/>
            </w:pPr>
            <w:r>
              <w:t xml:space="preserve">–</w:t>
            </w:r>
          </w:p>
        </w:tc>
      </w:tr>
      <w:tr>
        <w:tc>
          <w:tcPr/>
          <w:p>
            <w:pPr>
              <w:pStyle w:val="Compact"/>
              <w:jc w:val="left"/>
            </w:pPr>
            <m:oMath>
              <m:sSub>
                <m:e>
                  <m:r>
                    <m:t>y</m:t>
                  </m:r>
                </m:e>
                <m:sub>
                  <m:r>
                    <m:t>j</m:t>
                  </m:r>
                </m:sub>
              </m:sSub>
              <m:r>
                <m:rPr>
                  <m:sty m:val="p"/>
                </m:rPr>
                <m:t>(</m:t>
              </m:r>
              <m:r>
                <m:t>k</m:t>
              </m:r>
              <m:r>
                <m:rPr>
                  <m:sty m:val="p"/>
                </m:rPr>
                <m:t>+</m:t>
              </m:r>
              <m:r>
                <m:t>i</m:t>
              </m:r>
              <m:r>
                <m:rPr>
                  <m:sty m:val="p"/>
                </m:rPr>
                <m:t>|</m:t>
              </m:r>
              <m:r>
                <m:t>k</m:t>
              </m:r>
              <m:r>
                <m:rPr>
                  <m:sty m:val="p"/>
                </m:rPr>
                <m:t>)</m:t>
              </m:r>
            </m:oMath>
          </w:p>
        </w:tc>
        <w:tc>
          <w:tcPr/>
          <w:p>
            <w:pPr>
              <w:pStyle w:val="Compact"/>
              <w:jc w:val="left"/>
            </w:pPr>
            <w:r>
              <w:t xml:space="preserve">Salida controlada</w:t>
            </w:r>
            <w:r>
              <w:t xml:space="preserve"> </w:t>
            </w:r>
            <m:oMath>
              <m:r>
                <m:t>j</m:t>
              </m:r>
            </m:oMath>
            <w:r>
              <w:t xml:space="preserve"> </w:t>
            </w:r>
            <w:r>
              <w:t xml:space="preserve">predicha en el paso</w:t>
            </w:r>
            <w:r>
              <w:t xml:space="preserve"> </w:t>
            </w:r>
            <m:oMath>
              <m:r>
                <m:t>i</m:t>
              </m:r>
            </m:oMath>
            <w:r>
              <w:t xml:space="preserve"> </w:t>
            </w:r>
            <w:r>
              <w:t xml:space="preserve">(Ec. </w:t>
            </w:r>
            <w:hyperlink w:anchor="eq:Jy">
              <w:r>
                <w:rPr>
                  <w:rStyle w:val="Hyperlink"/>
                </w:rPr>
                <w:t xml:space="preserve">[eq:Jy]</w:t>
              </w:r>
            </w:hyperlink>
            <w:r>
              <w:t xml:space="preserve">)</w:t>
            </w:r>
          </w:p>
        </w:tc>
        <w:tc>
          <w:tcPr/>
          <w:p>
            <w:pPr>
              <w:pStyle w:val="Compact"/>
              <w:jc w:val="right"/>
            </w:pPr>
            <w:r>
              <w:t xml:space="preserve">–</w:t>
            </w:r>
          </w:p>
        </w:tc>
      </w:tr>
      <w:tr>
        <w:tc>
          <w:tcPr/>
          <w:p>
            <w:pPr>
              <w:pStyle w:val="Compact"/>
              <w:jc w:val="left"/>
            </w:pPr>
            <m:oMath>
              <m:sSub>
                <m:e>
                  <m:r>
                    <m:t>y</m:t>
                  </m:r>
                </m:e>
                <m:sub>
                  <m:r>
                    <m:t>n</m:t>
                  </m:r>
                </m:sub>
              </m:sSub>
            </m:oMath>
          </w:p>
        </w:tc>
        <w:tc>
          <w:tcPr/>
          <w:p>
            <w:pPr>
              <w:pStyle w:val="Compact"/>
              <w:jc w:val="left"/>
            </w:pPr>
            <w:r>
              <w:t xml:space="preserve">Salida observada (modelo riguroso) en la muestra</w:t>
            </w:r>
            <w:r>
              <w:t xml:space="preserve"> </w:t>
            </w:r>
            <m:oMath>
              <m:r>
                <m:t>n</m:t>
              </m:r>
            </m:oMath>
            <w:r>
              <w:t xml:space="preserve"> </w:t>
            </w:r>
            <w:r>
              <w:t xml:space="preserve">(Ecs. </w:t>
            </w:r>
            <w:hyperlink w:anchor="eq:RECM">
              <w:r>
                <w:rPr>
                  <w:rStyle w:val="Hyperlink"/>
                </w:rPr>
                <w:t xml:space="preserve">[eq:RECM]</w:t>
              </w:r>
            </w:hyperlink>
            <w:r>
              <w:t xml:space="preserve">–</w:t>
            </w:r>
            <w:hyperlink w:anchor="eq:R2">
              <w:r>
                <w:rPr>
                  <w:rStyle w:val="Hyperlink"/>
                </w:rPr>
                <w:t xml:space="preserve">[eq:R2]</w:t>
              </w:r>
            </w:hyperlink>
            <w:r>
              <w:t xml:space="preserve">)</w:t>
            </w:r>
          </w:p>
        </w:tc>
        <w:tc>
          <w:tcPr/>
          <w:p>
            <w:pPr>
              <w:pStyle w:val="Compact"/>
              <w:jc w:val="right"/>
            </w:pPr>
            <w:r>
              <w:t xml:space="preserve">–</w:t>
            </w:r>
          </w:p>
        </w:tc>
      </w:tr>
      <w:tr>
        <w:tc>
          <w:tcPr/>
          <w:p>
            <w:pPr>
              <w:pStyle w:val="Compact"/>
              <w:jc w:val="left"/>
            </w:pPr>
            <m:oMath>
              <m:sSub>
                <m:e>
                  <m:acc>
                    <m:accPr>
                      <m:chr m:val="̂"/>
                    </m:accPr>
                    <m:e>
                      <m:r>
                        <m:t>y</m:t>
                      </m:r>
                    </m:e>
                  </m:acc>
                </m:e>
                <m:sub>
                  <m:r>
                    <m:t>n</m:t>
                  </m:r>
                </m:sub>
              </m:sSub>
            </m:oMath>
          </w:p>
        </w:tc>
        <w:tc>
          <w:tcPr/>
          <w:p>
            <w:pPr>
              <w:pStyle w:val="Compact"/>
              <w:jc w:val="left"/>
            </w:pPr>
            <w:r>
              <w:t xml:space="preserve">Salida predicha por el modelo subrogado en la muestra</w:t>
            </w:r>
            <w:r>
              <w:t xml:space="preserve"> </w:t>
            </w:r>
            <m:oMath>
              <m:r>
                <m:t>n</m:t>
              </m:r>
            </m:oMath>
            <w:r>
              <w:t xml:space="preserve"> </w:t>
            </w:r>
            <w:r>
              <w:t xml:space="preserve">(Ecs. </w:t>
            </w:r>
            <w:hyperlink w:anchor="eq:RECM">
              <w:r>
                <w:rPr>
                  <w:rStyle w:val="Hyperlink"/>
                </w:rPr>
                <w:t xml:space="preserve">[eq:RECM]</w:t>
              </w:r>
            </w:hyperlink>
            <w:r>
              <w:t xml:space="preserve">–</w:t>
            </w:r>
            <w:hyperlink w:anchor="eq:R2">
              <w:r>
                <w:rPr>
                  <w:rStyle w:val="Hyperlink"/>
                </w:rPr>
                <w:t xml:space="preserve">[eq:R2]</w:t>
              </w:r>
            </w:hyperlink>
            <w:r>
              <w:t xml:space="preserve">)</w:t>
            </w:r>
          </w:p>
        </w:tc>
        <w:tc>
          <w:tcPr/>
          <w:p>
            <w:pPr>
              <w:pStyle w:val="Compact"/>
              <w:jc w:val="right"/>
            </w:pPr>
            <w:r>
              <w:t xml:space="preserve">–</w:t>
            </w:r>
          </w:p>
        </w:tc>
      </w:tr>
      <w:tr>
        <w:tc>
          <w:tcPr/>
          <w:p>
            <w:pPr>
              <w:pStyle w:val="Compact"/>
              <w:jc w:val="left"/>
            </w:pPr>
            <m:oMath>
              <m:acc>
                <m:accPr>
                  <m:chr m:val="‾"/>
                </m:accPr>
                <m:e>
                  <m:r>
                    <m:t>y</m:t>
                  </m:r>
                </m:e>
              </m:acc>
            </m:oMath>
          </w:p>
        </w:tc>
        <w:tc>
          <w:tcPr/>
          <w:p>
            <w:pPr>
              <w:pStyle w:val="Compact"/>
              <w:jc w:val="left"/>
            </w:pPr>
            <w:r>
              <w:t xml:space="preserve">Media de las muestras de salida observadas; utilizada en el denominador de</w:t>
            </w:r>
            <w:r>
              <w:t xml:space="preserve"> </w:t>
            </w:r>
            <m:oMath>
              <m:sSup>
                <m:e>
                  <m:r>
                    <m:t>R</m:t>
                  </m:r>
                </m:e>
                <m:sup>
                  <m:r>
                    <m:t>2</m:t>
                  </m:r>
                </m:sup>
              </m:sSup>
            </m:oMath>
            <w:r>
              <w:t xml:space="preserve"> </w:t>
            </w:r>
            <w:r>
              <w:t xml:space="preserve">(Ec. </w:t>
            </w:r>
            <w:hyperlink w:anchor="eq:R2">
              <w:r>
                <w:rPr>
                  <w:rStyle w:val="Hyperlink"/>
                </w:rPr>
                <w:t xml:space="preserve">[eq:R2]</w:t>
              </w:r>
            </w:hyperlink>
            <w:r>
              <w:t xml:space="preserve">)</w:t>
            </w:r>
          </w:p>
        </w:tc>
        <w:tc>
          <w:tcPr/>
          <w:p>
            <w:pPr>
              <w:pStyle w:val="Compact"/>
              <w:jc w:val="right"/>
            </w:pPr>
            <w:r>
              <w:t xml:space="preserve">–</w:t>
            </w:r>
          </w:p>
        </w:tc>
      </w:tr>
      <w:tr>
        <w:tc>
          <w:tcPr/>
          <w:p>
            <w:pPr>
              <w:pStyle w:val="Compact"/>
              <w:jc w:val="left"/>
            </w:pPr>
            <m:oMath>
              <m:r>
                <m:t>Y</m:t>
              </m:r>
              <m:r>
                <m:rPr>
                  <m:sty m:val="p"/>
                </m:rPr>
                <m:t>(</m:t>
              </m:r>
              <m:r>
                <m:t>t</m:t>
              </m:r>
              <m:r>
                <m:rPr>
                  <m:sty m:val="p"/>
                </m:rPr>
                <m:t>)</m:t>
              </m:r>
            </m:oMath>
          </w:p>
        </w:tc>
        <w:tc>
          <w:tcPr/>
          <w:p>
            <w:pPr>
              <w:pStyle w:val="Compact"/>
              <w:jc w:val="left"/>
            </w:pPr>
            <w:r>
              <w:t xml:space="preserve">Salida del proceso controlado en tiempo continuo (Ec. </w:t>
            </w:r>
            <w:hyperlink w:anchor="eq:ErrorRelativo">
              <w:r>
                <w:rPr>
                  <w:rStyle w:val="Hyperlink"/>
                </w:rPr>
                <w:t xml:space="preserve">[eq:ErrorRelativo]</w:t>
              </w:r>
            </w:hyperlink>
            <w:r>
              <w:t xml:space="preserve">)</w:t>
            </w:r>
          </w:p>
        </w:tc>
        <w:tc>
          <w:tcPr/>
          <w:p>
            <w:pPr>
              <w:pStyle w:val="Compact"/>
              <w:jc w:val="right"/>
            </w:pPr>
            <m:oMath>
              <m:sSup>
                <m:e>
                  <m:r>
                    <m:t>​</m:t>
                  </m:r>
                </m:e>
                <m:sup>
                  <m:r>
                    <m:rPr>
                      <m:sty m:val="p"/>
                    </m:rPr>
                    <m:t>∘</m:t>
                  </m:r>
                </m:sup>
              </m:sSup>
            </m:oMath>
            <w:r>
              <w:t xml:space="preserve">C</w:t>
            </w:r>
          </w:p>
        </w:tc>
      </w:tr>
      <w:tr>
        <w:tc>
          <w:tcPr/>
          <w:p>
            <w:pPr>
              <w:pStyle w:val="Compact"/>
              <w:jc w:val="left"/>
            </w:pPr>
            <m:oMath>
              <m:sSub>
                <m:e>
                  <m:r>
                    <m:t>Y</m:t>
                  </m:r>
                </m:e>
                <m:sub>
                  <m:r>
                    <m:t>r</m:t>
                  </m:r>
                  <m:r>
                    <m:t>e</m:t>
                  </m:r>
                  <m:r>
                    <m:t>f</m:t>
                  </m:r>
                </m:sub>
              </m:sSub>
              <m:r>
                <m:rPr>
                  <m:sty m:val="p"/>
                </m:rPr>
                <m:t>(</m:t>
              </m:r>
              <m:r>
                <m:t>t</m:t>
              </m:r>
              <m:r>
                <m:rPr>
                  <m:sty m:val="p"/>
                </m:rPr>
                <m:t>)</m:t>
              </m:r>
            </m:oMath>
          </w:p>
        </w:tc>
        <w:tc>
          <w:tcPr/>
          <w:p>
            <w:pPr>
              <w:pStyle w:val="Compact"/>
              <w:jc w:val="left"/>
            </w:pPr>
            <w:r>
              <w:t xml:space="preserve">Valor de referencia (setpoint) de la salida del proceso (Ec. </w:t>
            </w:r>
            <w:hyperlink w:anchor="eq:ErrorRelativo">
              <w:r>
                <w:rPr>
                  <w:rStyle w:val="Hyperlink"/>
                </w:rPr>
                <w:t xml:space="preserve">[eq:ErrorRelativo]</w:t>
              </w:r>
            </w:hyperlink>
            <w:r>
              <w:t xml:space="preserve">)</w:t>
            </w:r>
          </w:p>
        </w:tc>
        <w:tc>
          <w:tcPr/>
          <w:p>
            <w:pPr>
              <w:pStyle w:val="Compact"/>
              <w:jc w:val="right"/>
            </w:pPr>
            <m:oMath>
              <m:sSup>
                <m:e>
                  <m:r>
                    <m:t>​</m:t>
                  </m:r>
                </m:e>
                <m:sup>
                  <m:r>
                    <m:rPr>
                      <m:sty m:val="p"/>
                    </m:rPr>
                    <m:t>∘</m:t>
                  </m:r>
                </m:sup>
              </m:sSup>
            </m:oMath>
            <w:r>
              <w:t xml:space="preserve">C</w:t>
            </w:r>
          </w:p>
        </w:tc>
      </w:tr>
      <w:tr>
        <w:tc>
          <w:tcPr/>
          <w:p>
            <w:pPr>
              <w:pStyle w:val="Compact"/>
              <w:jc w:val="left"/>
            </w:pPr>
            <m:oMath>
              <m:sSub>
                <m:e>
                  <m:r>
                    <m:t>z</m:t>
                  </m:r>
                </m:e>
                <m:sub>
                  <m:r>
                    <m:t>k</m:t>
                  </m:r>
                </m:sub>
              </m:sSub>
            </m:oMath>
          </w:p>
        </w:tc>
        <w:tc>
          <w:tcPr/>
          <w:p>
            <w:pPr>
              <w:pStyle w:val="Compact"/>
              <w:jc w:val="left"/>
            </w:pPr>
            <w:r>
              <w:t xml:space="preserve">Vector de decisión MPC — secuencia de acciones de control futuras y variable de holgura (Ec. </w:t>
            </w:r>
            <w:hyperlink w:anchor="eq:Vectorzk">
              <w:r>
                <w:rPr>
                  <w:rStyle w:val="Hyperlink"/>
                </w:rPr>
                <w:t xml:space="preserve">[eq:Vectorzk]</w:t>
              </w:r>
            </w:hyperlink>
            <w:r>
              <w:t xml:space="preserve">)</w:t>
            </w:r>
          </w:p>
        </w:tc>
        <w:tc>
          <w:tcPr/>
          <w:p>
            <w:pPr>
              <w:pStyle w:val="Compact"/>
              <w:jc w:val="right"/>
            </w:pPr>
            <w:r>
              <w:t xml:space="preserve">–</w:t>
            </w:r>
          </w:p>
        </w:tc>
      </w:tr>
      <w:tr>
        <w:tc>
          <w:tcPr/>
          <w:p>
            <w:pPr>
              <w:pStyle w:val="Compact"/>
              <w:jc w:val="left"/>
            </w:pPr>
            <m:oMath>
              <m:sSubSup>
                <m:e>
                  <m:r>
                    <m:t>z</m:t>
                  </m:r>
                </m:e>
                <m:sub>
                  <m:r>
                    <m:t>k</m:t>
                  </m:r>
                </m:sub>
                <m:sup>
                  <m:r>
                    <m:t>T</m:t>
                  </m:r>
                </m:sup>
              </m:sSubSup>
            </m:oMath>
          </w:p>
        </w:tc>
        <w:tc>
          <w:tcPr/>
          <w:p>
            <w:pPr>
              <w:pStyle w:val="Compact"/>
              <w:jc w:val="left"/>
            </w:pPr>
            <w:r>
              <w:t xml:space="preserve">Transpuesta del vector de decisión MPC (Ec. </w:t>
            </w:r>
            <w:hyperlink w:anchor="eq:Vectorzk">
              <w:r>
                <w:rPr>
                  <w:rStyle w:val="Hyperlink"/>
                </w:rPr>
                <w:t xml:space="preserve">[eq:Vectorzk]</w:t>
              </w:r>
            </w:hyperlink>
            <w:r>
              <w:t xml:space="preserve">)</w:t>
            </w:r>
          </w:p>
        </w:tc>
        <w:tc>
          <w:tcPr/>
          <w:p>
            <w:pPr>
              <w:pStyle w:val="Compact"/>
              <w:jc w:val="right"/>
            </w:pPr>
            <w:r>
              <w:t xml:space="preserve">–</w:t>
            </w:r>
          </w:p>
        </w:tc>
      </w:tr>
    </w:tbl>
    <w:bookmarkEnd w:id="71"/>
    <w:bookmarkStart w:id="72" w:name="b.-símbolos-griegos"/>
    <w:p>
      <w:pPr>
        <w:pStyle w:val="Heading2"/>
      </w:pPr>
      <w:r>
        <w:t xml:space="preserve">B. Símbolos griegos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Símbolo</w:t>
            </w:r>
          </w:p>
        </w:tc>
        <w:tc>
          <w:tcPr/>
          <w:p>
            <w:pPr>
              <w:pStyle w:val="Compact"/>
              <w:jc w:val="left"/>
            </w:pPr>
            <w:r>
              <w:rPr>
                <w:b/>
                <w:bCs/>
              </w:rPr>
              <w:t xml:space="preserve">Descripción</w:t>
            </w:r>
          </w:p>
        </w:tc>
        <w:tc>
          <w:tcPr/>
          <w:p>
            <w:pPr>
              <w:pStyle w:val="Compact"/>
              <w:jc w:val="right"/>
            </w:pPr>
            <w:r>
              <w:rPr>
                <w:b/>
                <w:bCs/>
              </w:rPr>
              <w:t xml:space="preserve">Unidad</w:t>
            </w:r>
          </w:p>
        </w:tc>
      </w:tr>
      <w:tr>
        <w:tc>
          <w:tcPr/>
          <w:p>
            <w:pPr>
              <w:pStyle w:val="Compact"/>
              <w:jc w:val="left"/>
            </w:pPr>
            <m:oMath>
              <m:r>
                <m:rPr>
                  <m:sty m:val="p"/>
                </m:rPr>
                <m:t>Δ</m:t>
              </m:r>
            </m:oMath>
          </w:p>
        </w:tc>
        <w:tc>
          <w:tcPr/>
          <w:p>
            <w:pPr>
              <w:pStyle w:val="Compact"/>
              <w:jc w:val="left"/>
            </w:pPr>
            <w:r>
              <w:t xml:space="preserve">Operador de diferencia finita / incremento (p.ej. </w:t>
            </w:r>
            <m:oMath>
              <m:r>
                <m:rPr>
                  <m:sty m:val="p"/>
                </m:rPr>
                <m:t>Δ</m:t>
              </m:r>
              <m:r>
                <m:t>u</m:t>
              </m:r>
            </m:oMath>
            <w:r>
              <w:t xml:space="preserve">: cambio en la variable manipulada)</w:t>
            </w:r>
          </w:p>
        </w:tc>
        <w:tc>
          <w:tcPr/>
          <w:p>
            <w:pPr>
              <w:pStyle w:val="Compact"/>
              <w:jc w:val="right"/>
            </w:pPr>
            <w:r>
              <w:t xml:space="preserve">–</w:t>
            </w:r>
          </w:p>
        </w:tc>
      </w:tr>
      <w:tr>
        <w:tc>
          <w:tcPr/>
          <w:p>
            <w:pPr>
              <w:pStyle w:val="Compact"/>
              <w:jc w:val="left"/>
            </w:pPr>
            <m:oMath>
              <m:sSub>
                <m:e>
                  <m:r>
                    <m:t>ε</m:t>
                  </m:r>
                </m:e>
                <m:sub>
                  <m:r>
                    <m:t>k</m:t>
                  </m:r>
                </m:sub>
              </m:sSub>
            </m:oMath>
          </w:p>
        </w:tc>
        <w:tc>
          <w:tcPr/>
          <w:p>
            <w:pPr>
              <w:pStyle w:val="Compact"/>
              <w:jc w:val="left"/>
            </w:pPr>
            <w:r>
              <w:t xml:space="preserve">Variable de holgura para la relajación de restricciones blandas en el paso</w:t>
            </w:r>
            <w:r>
              <w:t xml:space="preserve"> </w:t>
            </w:r>
            <m:oMath>
              <m:r>
                <m:t>k</m:t>
              </m:r>
            </m:oMath>
            <w:r>
              <w:t xml:space="preserve"> </w:t>
            </w:r>
            <w:r>
              <w:t xml:space="preserve">(escrita como</w:t>
            </w:r>
            <w:r>
              <w:t xml:space="preserve"> </w:t>
            </w:r>
            <m:oMath>
              <m:sSub>
                <m:e>
                  <m:r>
                    <m:t>ϵ</m:t>
                  </m:r>
                </m:e>
                <m:sub>
                  <m:r>
                    <m:t>k</m:t>
                  </m:r>
                </m:sub>
              </m:sSub>
            </m:oMath>
            <w:r>
              <w:t xml:space="preserve"> </w:t>
            </w:r>
            <w:r>
              <w:t xml:space="preserve">en la Ec. </w:t>
            </w:r>
            <w:hyperlink w:anchor="eq:Vectorzk">
              <w:r>
                <w:rPr>
                  <w:rStyle w:val="Hyperlink"/>
                </w:rPr>
                <w:t xml:space="preserve">[eq:Vectorzk]</w:t>
              </w:r>
            </w:hyperlink>
            <w:r>
              <w:t xml:space="preserve"> </w:t>
            </w:r>
            <w:r>
              <w:t xml:space="preserve">y como</w:t>
            </w:r>
            <w:r>
              <w:t xml:space="preserve"> </w:t>
            </w:r>
            <m:oMath>
              <m:sSub>
                <m:e>
                  <m:r>
                    <m:t>ε</m:t>
                  </m:r>
                </m:e>
                <m:sub>
                  <m:r>
                    <m:t>k</m:t>
                  </m:r>
                </m:sub>
              </m:sSub>
            </m:oMath>
            <w:r>
              <w:t xml:space="preserve"> </w:t>
            </w:r>
            <w:r>
              <w:t xml:space="preserve">en la Ec. </w:t>
            </w:r>
            <w:hyperlink w:anchor="eq:Jepsilon">
              <w:r>
                <w:rPr>
                  <w:rStyle w:val="Hyperlink"/>
                </w:rPr>
                <w:t xml:space="preserve">[eq:Jepsilon]</w:t>
              </w:r>
            </w:hyperlink>
            <w:r>
              <w:t xml:space="preserve">;</w:t>
            </w:r>
            <w:r>
              <w:t xml:space="preserve"> </w:t>
            </w:r>
            <w:r>
              <w:t xml:space="preserve">ambas se refieren a la misma variable)</w:t>
            </w:r>
          </w:p>
        </w:tc>
        <w:tc>
          <w:tcPr/>
          <w:p>
            <w:pPr>
              <w:pStyle w:val="Compact"/>
              <w:jc w:val="right"/>
            </w:pPr>
            <w:r>
              <w:t xml:space="preserve">–</w:t>
            </w:r>
          </w:p>
        </w:tc>
      </w:tr>
      <w:tr>
        <w:tc>
          <w:tcPr/>
          <w:p>
            <w:pPr>
              <w:pStyle w:val="Compact"/>
              <w:jc w:val="left"/>
            </w:pPr>
            <m:oMath>
              <m:sSub>
                <m:e>
                  <m:r>
                    <m:t>ρ</m:t>
                  </m:r>
                </m:e>
                <m:sub>
                  <m:r>
                    <m:t>ε</m:t>
                  </m:r>
                </m:sub>
              </m:sSub>
            </m:oMath>
          </w:p>
        </w:tc>
        <w:tc>
          <w:tcPr/>
          <w:p>
            <w:pPr>
              <w:pStyle w:val="Compact"/>
              <w:jc w:val="left"/>
            </w:pPr>
            <w:r>
              <w:t xml:space="preserve">Coeficiente de penalización sobre la variable de holgura en el costo MPC (Ec. </w:t>
            </w:r>
            <w:hyperlink w:anchor="eq:Jepsilon">
              <w:r>
                <w:rPr>
                  <w:rStyle w:val="Hyperlink"/>
                </w:rPr>
                <w:t xml:space="preserve">[eq:Jepsilon]</w:t>
              </w:r>
            </w:hyperlink>
            <w:r>
              <w:t xml:space="preserve">)</w:t>
            </w:r>
          </w:p>
        </w:tc>
        <w:tc>
          <w:tcPr/>
          <w:p>
            <w:pPr>
              <w:pStyle w:val="Compact"/>
              <w:jc w:val="right"/>
            </w:pPr>
            <w:r>
              <w:t xml:space="preserve">–</w:t>
            </w:r>
          </w:p>
        </w:tc>
      </w:tr>
    </w:tbl>
    <w:bookmarkEnd w:id="72"/>
    <w:bookmarkStart w:id="73" w:name="c.-subíndices"/>
    <w:p>
      <w:pPr>
        <w:pStyle w:val="Heading2"/>
      </w:pPr>
      <w:r>
        <w:t xml:space="preserve">C. Subíndices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Subíndice</w:t>
            </w:r>
          </w:p>
        </w:tc>
        <w:tc>
          <w:tcPr/>
          <w:p>
            <w:pPr>
              <w:pStyle w:val="Compact"/>
              <w:jc w:val="left"/>
            </w:pPr>
            <w:r>
              <w:rPr>
                <w:b/>
                <w:bCs/>
              </w:rPr>
              <w:t xml:space="preserve">Descripción</w:t>
            </w:r>
          </w:p>
        </w:tc>
      </w:tr>
      <w:tr>
        <w:tc>
          <w:tcPr/>
          <w:p>
            <w:pPr>
              <w:pStyle w:val="Compact"/>
              <w:jc w:val="left"/>
            </w:pPr>
            <m:oMath>
              <m:r>
                <m:t>36</m:t>
              </m:r>
            </m:oMath>
          </w:p>
        </w:tc>
        <w:tc>
          <w:tcPr/>
          <w:p>
            <w:pPr>
              <w:pStyle w:val="Compact"/>
              <w:jc w:val="left"/>
            </w:pPr>
            <w:r>
              <w:t xml:space="preserve">Etapa 36 de la columna T-101 (ubicación de medición de temperatura)</w:t>
            </w:r>
          </w:p>
        </w:tc>
      </w:tr>
      <w:tr>
        <w:tc>
          <w:tcPr/>
          <w:p>
            <w:pPr>
              <w:pStyle w:val="Compact"/>
              <w:jc w:val="left"/>
            </w:pPr>
            <m:oMath>
              <m:r>
                <m:t>8</m:t>
              </m:r>
            </m:oMath>
          </w:p>
        </w:tc>
        <w:tc>
          <w:tcPr/>
          <w:p>
            <w:pPr>
              <w:pStyle w:val="Compact"/>
              <w:jc w:val="left"/>
            </w:pPr>
            <w:r>
              <w:t xml:space="preserve">Etapa 8 de la columna T-102 (ubicación de medición de temperatura)</w:t>
            </w:r>
          </w:p>
        </w:tc>
      </w:tr>
      <w:tr>
        <w:tc>
          <w:tcPr/>
          <w:p>
            <w:pPr>
              <w:pStyle w:val="Compact"/>
              <w:jc w:val="left"/>
            </w:pPr>
            <m:oMath>
              <m:r>
                <m:t>a</m:t>
              </m:r>
            </m:oMath>
          </w:p>
        </w:tc>
        <w:tc>
          <w:tcPr/>
          <w:p>
            <w:pPr>
              <w:pStyle w:val="Compact"/>
              <w:jc w:val="left"/>
            </w:pPr>
            <w:r>
              <w:t xml:space="preserve">Orden del polinomio autorregresivo</w:t>
            </w:r>
          </w:p>
        </w:tc>
      </w:tr>
      <w:tr>
        <w:tc>
          <w:tcPr/>
          <w:p>
            <w:pPr>
              <w:pStyle w:val="Compact"/>
              <w:jc w:val="left"/>
            </w:pPr>
            <m:oMath>
              <m:r>
                <m:t>b</m:t>
              </m:r>
            </m:oMath>
          </w:p>
        </w:tc>
        <w:tc>
          <w:tcPr/>
          <w:p>
            <w:pPr>
              <w:pStyle w:val="Compact"/>
              <w:jc w:val="left"/>
            </w:pPr>
            <w:r>
              <w:t xml:space="preserve">Orden del polinomio de entrada</w:t>
            </w:r>
          </w:p>
        </w:tc>
      </w:tr>
      <w:tr>
        <w:tc>
          <w:tcPr/>
          <w:p>
            <w:pPr>
              <w:pStyle w:val="Compact"/>
              <w:jc w:val="left"/>
            </w:pPr>
            <m:oMath>
              <m:r>
                <m:t>c</m:t>
              </m:r>
            </m:oMath>
          </w:p>
        </w:tc>
        <w:tc>
          <w:tcPr/>
          <w:p>
            <w:pPr>
              <w:pStyle w:val="Compact"/>
              <w:jc w:val="left"/>
            </w:pPr>
            <w:r>
              <w:t xml:space="preserve">Orden del polinomio de ruido</w:t>
            </w:r>
          </w:p>
        </w:tc>
      </w:tr>
      <w:tr>
        <w:tc>
          <w:tcPr/>
          <w:p>
            <w:pPr>
              <w:pStyle w:val="Compact"/>
              <w:jc w:val="left"/>
            </w:pPr>
            <m:oMath>
              <m:r>
                <m:t>e</m:t>
              </m:r>
              <m:r>
                <m:t>c</m:t>
              </m:r>
            </m:oMath>
          </w:p>
        </w:tc>
        <w:tc>
          <w:tcPr/>
          <w:p>
            <w:pPr>
              <w:pStyle w:val="Compact"/>
              <w:jc w:val="left"/>
            </w:pPr>
            <w:r>
              <w:t xml:space="preserve">Conteo de ecuaciones algebraicas (modelo MESH)</w:t>
            </w:r>
          </w:p>
        </w:tc>
      </w:tr>
      <w:tr>
        <w:tc>
          <w:tcPr/>
          <w:p>
            <w:pPr>
              <w:pStyle w:val="Compact"/>
              <w:jc w:val="left"/>
            </w:pPr>
            <m:oMath>
              <m:r>
                <m:t>e</m:t>
              </m:r>
              <m:r>
                <m:t>t</m:t>
              </m:r>
            </m:oMath>
          </w:p>
        </w:tc>
        <w:tc>
          <w:tcPr/>
          <w:p>
            <w:pPr>
              <w:pStyle w:val="Compact"/>
              <w:jc w:val="left"/>
            </w:pPr>
            <w:r>
              <w:t xml:space="preserve">Conteo total de ecuaciones en la simulación dinámica</w:t>
            </w:r>
          </w:p>
        </w:tc>
      </w:tr>
      <w:tr>
        <w:tc>
          <w:tcPr/>
          <w:p>
            <w:pPr>
              <w:pStyle w:val="Compact"/>
              <w:jc w:val="left"/>
            </w:pPr>
            <m:oMath>
              <m:r>
                <m:t>i</m:t>
              </m:r>
            </m:oMath>
          </w:p>
        </w:tc>
        <w:tc>
          <w:tcPr/>
          <w:p>
            <w:pPr>
              <w:pStyle w:val="Compact"/>
              <w:jc w:val="left"/>
            </w:pPr>
            <w:r>
              <w:t xml:space="preserve">Índice de paso de predicción dentro del horizonte MPC</w:t>
            </w:r>
          </w:p>
        </w:tc>
      </w:tr>
      <w:tr>
        <w:tc>
          <w:tcPr/>
          <w:p>
            <w:pPr>
              <w:pStyle w:val="Compact"/>
              <w:jc w:val="left"/>
            </w:pPr>
            <m:oMath>
              <m:r>
                <m:t>j</m:t>
              </m:r>
            </m:oMath>
          </w:p>
        </w:tc>
        <w:tc>
          <w:tcPr/>
          <w:p>
            <w:pPr>
              <w:pStyle w:val="Compact"/>
              <w:jc w:val="left"/>
            </w:pPr>
            <w:r>
              <w:t xml:space="preserve">Índice de variable controlada o variable manipulada</w:t>
            </w:r>
          </w:p>
        </w:tc>
      </w:tr>
      <w:tr>
        <w:tc>
          <w:tcPr/>
          <w:p>
            <w:pPr>
              <w:pStyle w:val="Compact"/>
              <w:jc w:val="left"/>
            </w:pPr>
            <m:oMath>
              <m:r>
                <m:t>k</m:t>
              </m:r>
            </m:oMath>
          </w:p>
        </w:tc>
        <w:tc>
          <w:tcPr/>
          <w:p>
            <w:pPr>
              <w:pStyle w:val="Compact"/>
              <w:jc w:val="left"/>
            </w:pPr>
            <w:r>
              <w:t xml:space="preserve">Paso de tiempo discreto actual</w:t>
            </w:r>
          </w:p>
        </w:tc>
      </w:tr>
      <w:tr>
        <w:tc>
          <w:tcPr/>
          <w:p>
            <w:pPr>
              <w:pStyle w:val="Compact"/>
              <w:jc w:val="left"/>
            </w:pPr>
            <m:oMath>
              <m:r>
                <m:t>n</m:t>
              </m:r>
            </m:oMath>
          </w:p>
        </w:tc>
        <w:tc>
          <w:tcPr/>
          <w:p>
            <w:pPr>
              <w:pStyle w:val="Compact"/>
              <w:jc w:val="left"/>
            </w:pPr>
            <w:r>
              <w:t xml:space="preserve">Índice de muestra en las métricas de ajuste estadístico (RECM,</w:t>
            </w:r>
            <w:r>
              <w:t xml:space="preserve"> </w:t>
            </w:r>
            <m:oMath>
              <m:sSup>
                <m:e>
                  <m:r>
                    <m:t>R</m:t>
                  </m:r>
                </m:e>
                <m:sup>
                  <m:r>
                    <m:t>2</m:t>
                  </m:r>
                </m:sup>
              </m:sSup>
            </m:oMath>
            <w:r>
              <w:t xml:space="preserve">)</w:t>
            </w:r>
          </w:p>
        </w:tc>
      </w:tr>
      <w:tr>
        <w:tc>
          <w:tcPr/>
          <w:p>
            <w:pPr>
              <w:pStyle w:val="Compact"/>
              <w:jc w:val="left"/>
            </w:pPr>
            <m:oMath>
              <m:r>
                <m:t>R</m:t>
              </m:r>
            </m:oMath>
          </w:p>
        </w:tc>
        <w:tc>
          <w:tcPr/>
          <w:p>
            <w:pPr>
              <w:pStyle w:val="Compact"/>
              <w:jc w:val="left"/>
            </w:pPr>
            <w:r>
              <w:t xml:space="preserve">Rehervidor (utilizado en</w:t>
            </w:r>
            <w:r>
              <w:t xml:space="preserve"> </w:t>
            </w:r>
            <m:oMath>
              <m:sSub>
                <m:e>
                  <m:r>
                    <m:t>Q</m:t>
                  </m:r>
                </m:e>
                <m:sub>
                  <m:r>
                    <m:t>R</m:t>
                  </m:r>
                </m:sub>
              </m:sSub>
            </m:oMath>
            <w:r>
              <w:t xml:space="preserve">,</w:t>
            </w:r>
            <w:r>
              <w:t xml:space="preserve"> </w:t>
            </w:r>
            <m:oMath>
              <m:sSub>
                <m:e>
                  <m:r>
                    <m:t>Q</m:t>
                  </m:r>
                </m:e>
                <m:sub>
                  <m:r>
                    <m:t>R</m:t>
                  </m:r>
                  <m:r>
                    <m:rPr>
                      <m:sty m:val="p"/>
                    </m:rPr>
                    <m:t>,</m:t>
                  </m:r>
                  <m:r>
                    <m:t>T</m:t>
                  </m:r>
                  <m:r>
                    <m:rPr>
                      <m:nor/>
                      <m:sty m:val="p"/>
                    </m:rPr>
                    <m:t>-</m:t>
                  </m:r>
                  <m:r>
                    <m:t>101</m:t>
                  </m:r>
                </m:sub>
              </m:sSub>
            </m:oMath>
            <w:r>
              <w:t xml:space="preserve">, etc.)</w:t>
            </w:r>
          </w:p>
        </w:tc>
      </w:tr>
      <w:tr>
        <w:tc>
          <w:tcPr/>
          <w:p>
            <w:pPr>
              <w:pStyle w:val="Compact"/>
              <w:jc w:val="left"/>
            </w:pPr>
            <m:oMath>
              <m:r>
                <m:t>r</m:t>
              </m:r>
              <m:r>
                <m:t>e</m:t>
              </m:r>
              <m:r>
                <m:t>f</m:t>
              </m:r>
            </m:oMath>
          </w:p>
        </w:tc>
        <w:tc>
          <w:tcPr/>
          <w:p>
            <w:pPr>
              <w:pStyle w:val="Compact"/>
              <w:jc w:val="left"/>
            </w:pPr>
            <w:r>
              <w:t xml:space="preserve">Valor de referencia (setpoint)</w:t>
            </w:r>
          </w:p>
        </w:tc>
      </w:tr>
      <w:tr>
        <w:tc>
          <w:tcPr/>
          <w:p>
            <w:pPr>
              <w:pStyle w:val="Compact"/>
              <w:jc w:val="left"/>
            </w:pPr>
            <m:oMath>
              <m:r>
                <m:t>T</m:t>
              </m:r>
              <m:r>
                <m:rPr>
                  <m:nor/>
                  <m:sty m:val="p"/>
                </m:rPr>
                <m:t>-</m:t>
              </m:r>
              <m:r>
                <m:t>101</m:t>
              </m:r>
            </m:oMath>
          </w:p>
        </w:tc>
        <w:tc>
          <w:tcPr/>
          <w:p>
            <w:pPr>
              <w:pStyle w:val="Compact"/>
              <w:jc w:val="left"/>
            </w:pPr>
            <w:r>
              <w:t xml:space="preserve">Identificador de la columna de destilación extractiva</w:t>
            </w:r>
          </w:p>
        </w:tc>
      </w:tr>
      <w:tr>
        <w:tc>
          <w:tcPr/>
          <w:p>
            <w:pPr>
              <w:pStyle w:val="Compact"/>
              <w:jc w:val="left"/>
            </w:pPr>
            <m:oMath>
              <m:r>
                <m:t>T</m:t>
              </m:r>
              <m:r>
                <m:rPr>
                  <m:nor/>
                  <m:sty m:val="p"/>
                </m:rPr>
                <m:t>-</m:t>
              </m:r>
              <m:r>
                <m:t>102</m:t>
              </m:r>
            </m:oMath>
          </w:p>
        </w:tc>
        <w:tc>
          <w:tcPr/>
          <w:p>
            <w:pPr>
              <w:pStyle w:val="Compact"/>
              <w:jc w:val="left"/>
            </w:pPr>
            <w:r>
              <w:t xml:space="preserve">Identificador de la columna de recuperación de solvente</w:t>
            </w:r>
          </w:p>
        </w:tc>
      </w:tr>
    </w:tbl>
    <w:bookmarkEnd w:id="73"/>
    <w:bookmarkStart w:id="74" w:name="e.-abreviaturas"/>
    <w:p>
      <w:pPr>
        <w:pStyle w:val="Heading2"/>
      </w:pPr>
      <w:r>
        <w:t xml:space="preserve">E.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Abreviatura</w:t>
            </w:r>
          </w:p>
        </w:tc>
        <w:tc>
          <w:tcPr/>
          <w:p>
            <w:pPr>
              <w:pStyle w:val="Compact"/>
              <w:jc w:val="left"/>
            </w:pPr>
            <w:r>
              <w:rPr>
                <w:b/>
                <w:bCs/>
              </w:rPr>
              <w:t xml:space="preserve">Descripción</w:t>
            </w:r>
          </w:p>
        </w:tc>
      </w:tr>
      <w:tr>
        <w:tc>
          <w:tcPr/>
          <w:p>
            <w:pPr>
              <w:pStyle w:val="Compact"/>
              <w:jc w:val="left"/>
            </w:pPr>
            <w:r>
              <w:t xml:space="preserve">ARMAX</w:t>
            </w:r>
          </w:p>
        </w:tc>
        <w:tc>
          <w:tcPr/>
          <w:p>
            <w:pPr>
              <w:pStyle w:val="Compact"/>
              <w:jc w:val="left"/>
            </w:pPr>
            <w:r>
              <w:t xml:space="preserve">AutoRegressive Moving Average with eXogenous inputs (Autorregresivo de media móvil con entradas exógenas)</w:t>
            </w:r>
          </w:p>
        </w:tc>
      </w:tr>
      <w:tr>
        <w:tc>
          <w:tcPr/>
          <w:p>
            <w:pPr>
              <w:pStyle w:val="Compact"/>
              <w:jc w:val="left"/>
            </w:pPr>
            <w:r>
              <w:t xml:space="preserve">ARX</w:t>
            </w:r>
          </w:p>
        </w:tc>
        <w:tc>
          <w:tcPr/>
          <w:p>
            <w:pPr>
              <w:pStyle w:val="Compact"/>
              <w:jc w:val="left"/>
            </w:pPr>
            <w:r>
              <w:t xml:space="preserve">AutoRegressive with eXogenous inputs (Autorregresivo con entradas exógenas)</w:t>
            </w:r>
          </w:p>
        </w:tc>
      </w:tr>
      <w:tr>
        <w:tc>
          <w:tcPr/>
          <w:p>
            <w:pPr>
              <w:pStyle w:val="Compact"/>
              <w:jc w:val="left"/>
            </w:pPr>
            <w:r>
              <w:t xml:space="preserve">NLARX</w:t>
            </w:r>
          </w:p>
        </w:tc>
        <w:tc>
          <w:tcPr/>
          <w:p>
            <w:pPr>
              <w:pStyle w:val="Compact"/>
              <w:jc w:val="left"/>
            </w:pPr>
            <w:r>
              <w:t xml:space="preserve">NonLinear AutoRegressive with eXogenous inputs (Autorregresivo no lineal con entradas exógenas)</w:t>
            </w:r>
          </w:p>
        </w:tc>
      </w:tr>
      <w:tr>
        <w:tc>
          <w:tcPr/>
          <w:p>
            <w:pPr>
              <w:pStyle w:val="Compact"/>
              <w:jc w:val="left"/>
            </w:pPr>
            <w:r>
              <w:t xml:space="preserve">CPU</w:t>
            </w:r>
          </w:p>
        </w:tc>
        <w:tc>
          <w:tcPr/>
          <w:p>
            <w:pPr>
              <w:pStyle w:val="Compact"/>
              <w:jc w:val="left"/>
            </w:pPr>
            <w:r>
              <w:t xml:space="preserve">Central Processing Unit (Unidad Central de Procesamiento)</w:t>
            </w:r>
          </w:p>
        </w:tc>
      </w:tr>
      <w:tr>
        <w:tc>
          <w:tcPr/>
          <w:p>
            <w:pPr>
              <w:pStyle w:val="Compact"/>
              <w:jc w:val="left"/>
            </w:pPr>
            <w:r>
              <w:t xml:space="preserve">DMSO</w:t>
            </w:r>
          </w:p>
        </w:tc>
        <w:tc>
          <w:tcPr/>
          <w:p>
            <w:pPr>
              <w:pStyle w:val="Compact"/>
              <w:jc w:val="left"/>
            </w:pPr>
            <w:r>
              <w:t xml:space="preserve">Dimetilsulfóxido (solvente de destilación extractiva)</w:t>
            </w:r>
          </w:p>
        </w:tc>
      </w:tr>
      <w:tr>
        <w:tc>
          <w:tcPr/>
          <w:p>
            <w:pPr>
              <w:pStyle w:val="Compact"/>
              <w:jc w:val="left"/>
            </w:pPr>
            <w:r>
              <w:t xml:space="preserve">FOPDT</w:t>
            </w:r>
          </w:p>
        </w:tc>
        <w:tc>
          <w:tcPr/>
          <w:p>
            <w:pPr>
              <w:pStyle w:val="Compact"/>
              <w:jc w:val="left"/>
            </w:pPr>
            <w:r>
              <w:t xml:space="preserve">First-Order Plus Dead Time (Primer orden con tiempo muerto)</w:t>
            </w:r>
          </w:p>
        </w:tc>
      </w:tr>
      <w:tr>
        <w:tc>
          <w:tcPr/>
          <w:p>
            <w:pPr>
              <w:pStyle w:val="Compact"/>
              <w:jc w:val="left"/>
            </w:pPr>
            <w:r>
              <w:t xml:space="preserve">IAE</w:t>
            </w:r>
          </w:p>
        </w:tc>
        <w:tc>
          <w:tcPr/>
          <w:p>
            <w:pPr>
              <w:pStyle w:val="Compact"/>
              <w:jc w:val="left"/>
            </w:pPr>
            <w:r>
              <w:t xml:space="preserve">Integral of Absolute Error — Integral del valor absoluto del error (Ec. </w:t>
            </w:r>
            <w:hyperlink w:anchor="eq:IAE">
              <w:r>
                <w:rPr>
                  <w:rStyle w:val="Hyperlink"/>
                </w:rPr>
                <w:t xml:space="preserve">[eq:IAE]</w:t>
              </w:r>
            </w:hyperlink>
            <w:r>
              <w:t xml:space="preserve">)</w:t>
            </w:r>
          </w:p>
        </w:tc>
      </w:tr>
      <w:tr>
        <w:tc>
          <w:tcPr/>
          <w:p>
            <w:pPr>
              <w:pStyle w:val="Compact"/>
              <w:jc w:val="left"/>
            </w:pPr>
            <w:r>
              <w:t xml:space="preserve">ISE</w:t>
            </w:r>
          </w:p>
        </w:tc>
        <w:tc>
          <w:tcPr/>
          <w:p>
            <w:pPr>
              <w:pStyle w:val="Compact"/>
              <w:jc w:val="left"/>
            </w:pPr>
            <w:r>
              <w:t xml:space="preserve">Integral of Squared Error — Integral del error cuadrático (Ec. </w:t>
            </w:r>
            <w:hyperlink w:anchor="eq:ISE">
              <w:r>
                <w:rPr>
                  <w:rStyle w:val="Hyperlink"/>
                </w:rPr>
                <w:t xml:space="preserve">[eq:ISE]</w:t>
              </w:r>
            </w:hyperlink>
            <w:r>
              <w:t xml:space="preserve">)</w:t>
            </w:r>
          </w:p>
        </w:tc>
      </w:tr>
      <w:tr>
        <w:tc>
          <w:tcPr/>
          <w:p>
            <w:pPr>
              <w:pStyle w:val="Compact"/>
              <w:jc w:val="left"/>
            </w:pPr>
            <w:r>
              <w:t xml:space="preserve">ITAE</w:t>
            </w:r>
          </w:p>
        </w:tc>
        <w:tc>
          <w:tcPr/>
          <w:p>
            <w:pPr>
              <w:pStyle w:val="Compact"/>
              <w:jc w:val="left"/>
            </w:pPr>
            <w:r>
              <w:t xml:space="preserve">Integral of Time-weighted Absolute Error — Integral del valor absoluto del error ponderado por el tiempo (Ec. </w:t>
            </w:r>
            <w:hyperlink w:anchor="eq:ITAE">
              <w:r>
                <w:rPr>
                  <w:rStyle w:val="Hyperlink"/>
                </w:rPr>
                <w:t xml:space="preserve">[eq:ITAE]</w:t>
              </w:r>
            </w:hyperlink>
            <w:r>
              <w:t xml:space="preserve">)</w:t>
            </w:r>
          </w:p>
        </w:tc>
      </w:tr>
      <w:tr>
        <w:tc>
          <w:tcPr/>
          <w:p>
            <w:pPr>
              <w:pStyle w:val="Compact"/>
              <w:jc w:val="left"/>
            </w:pPr>
            <w:r>
              <w:t xml:space="preserve">ITSE</w:t>
            </w:r>
          </w:p>
        </w:tc>
        <w:tc>
          <w:tcPr/>
          <w:p>
            <w:pPr>
              <w:pStyle w:val="Compact"/>
              <w:jc w:val="left"/>
            </w:pPr>
            <w:r>
              <w:t xml:space="preserve">Integral of Time-weighted Squared Error — Integral del error cuadrático ponderado por el tiempo (Ec. </w:t>
            </w:r>
            <w:hyperlink w:anchor="eq:ITSE">
              <w:r>
                <w:rPr>
                  <w:rStyle w:val="Hyperlink"/>
                </w:rPr>
                <w:t xml:space="preserve">[eq:ITSE]</w:t>
              </w:r>
            </w:hyperlink>
            <w:r>
              <w:t xml:space="preserve">)</w:t>
            </w:r>
          </w:p>
        </w:tc>
      </w:tr>
      <w:tr>
        <w:tc>
          <w:tcPr/>
          <w:p>
            <w:pPr>
              <w:pStyle w:val="Compact"/>
              <w:jc w:val="left"/>
            </w:pPr>
            <w:r>
              <w:t xml:space="preserve">MESH</w:t>
            </w:r>
          </w:p>
        </w:tc>
        <w:tc>
          <w:tcPr/>
          <w:p>
            <w:pPr>
              <w:pStyle w:val="Compact"/>
              <w:jc w:val="left"/>
            </w:pPr>
            <w:r>
              <w:t xml:space="preserve">Mass, Equilibrium, Summation and Heat (marco de modelado de columnas de destilación)</w:t>
            </w:r>
          </w:p>
        </w:tc>
      </w:tr>
      <w:tr>
        <w:tc>
          <w:tcPr/>
          <w:p>
            <w:pPr>
              <w:pStyle w:val="Compact"/>
              <w:jc w:val="left"/>
            </w:pPr>
            <w:r>
              <w:t xml:space="preserve">MIMO</w:t>
            </w:r>
          </w:p>
        </w:tc>
        <w:tc>
          <w:tcPr/>
          <w:p>
            <w:pPr>
              <w:pStyle w:val="Compact"/>
              <w:jc w:val="left"/>
            </w:pPr>
            <w:r>
              <w:t xml:space="preserve">Multiple Inputs, Multiple Outputs (múltiples entradas, múltiples salidas)</w:t>
            </w:r>
          </w:p>
        </w:tc>
      </w:tr>
      <w:tr>
        <w:tc>
          <w:tcPr/>
          <w:p>
            <w:pPr>
              <w:pStyle w:val="Compact"/>
              <w:jc w:val="left"/>
            </w:pPr>
            <w:r>
              <w:t xml:space="preserve">MISO</w:t>
            </w:r>
          </w:p>
        </w:tc>
        <w:tc>
          <w:tcPr/>
          <w:p>
            <w:pPr>
              <w:pStyle w:val="Compact"/>
              <w:jc w:val="left"/>
            </w:pPr>
            <w:r>
              <w:t xml:space="preserve">Multiple Inputs, Single Output (múltiples entradas, una salida)</w:t>
            </w:r>
          </w:p>
        </w:tc>
      </w:tr>
      <w:tr>
        <w:tc>
          <w:tcPr/>
          <w:p>
            <w:pPr>
              <w:pStyle w:val="Compact"/>
              <w:jc w:val="left"/>
            </w:pPr>
            <w:r>
              <w:t xml:space="preserve">MPC</w:t>
            </w:r>
          </w:p>
        </w:tc>
        <w:tc>
          <w:tcPr/>
          <w:p>
            <w:pPr>
              <w:pStyle w:val="Compact"/>
              <w:jc w:val="left"/>
            </w:pPr>
            <w:r>
              <w:t xml:space="preserve">Model Predictive Control — Control Predictivo Basado en Modelo</w:t>
            </w:r>
          </w:p>
        </w:tc>
      </w:tr>
      <w:tr>
        <w:tc>
          <w:tcPr/>
          <w:p>
            <w:pPr>
              <w:pStyle w:val="Compact"/>
              <w:jc w:val="left"/>
            </w:pPr>
            <w:r>
              <w:t xml:space="preserve">PFD</w:t>
            </w:r>
          </w:p>
        </w:tc>
        <w:tc>
          <w:tcPr/>
          <w:p>
            <w:pPr>
              <w:pStyle w:val="Compact"/>
              <w:jc w:val="left"/>
            </w:pPr>
            <w:r>
              <w:t xml:space="preserve">Process Flow Diagram — Diagrama de Flujo del Proceso</w:t>
            </w:r>
          </w:p>
        </w:tc>
      </w:tr>
      <w:tr>
        <w:tc>
          <w:tcPr/>
          <w:p>
            <w:pPr>
              <w:pStyle w:val="Compact"/>
              <w:jc w:val="left"/>
            </w:pPr>
            <w:r>
              <w:t xml:space="preserve">PI</w:t>
            </w:r>
          </w:p>
        </w:tc>
        <w:tc>
          <w:tcPr/>
          <w:p>
            <w:pPr>
              <w:pStyle w:val="Compact"/>
              <w:jc w:val="left"/>
            </w:pPr>
            <w:r>
              <w:t xml:space="preserve">Controlador Proporcional-Integral</w:t>
            </w:r>
          </w:p>
        </w:tc>
      </w:tr>
      <w:tr>
        <w:tc>
          <w:tcPr/>
          <w:p>
            <w:pPr>
              <w:pStyle w:val="Compact"/>
              <w:jc w:val="left"/>
            </w:pPr>
            <w:r>
              <w:t xml:space="preserve">PID</w:t>
            </w:r>
          </w:p>
        </w:tc>
        <w:tc>
          <w:tcPr/>
          <w:p>
            <w:pPr>
              <w:pStyle w:val="Compact"/>
              <w:jc w:val="left"/>
            </w:pPr>
            <w:r>
              <w:t xml:space="preserve">Controlador Proporcional-Integral-Derivativo</w:t>
            </w:r>
          </w:p>
        </w:tc>
      </w:tr>
      <w:tr>
        <w:tc>
          <w:tcPr/>
          <w:p>
            <w:pPr>
              <w:pStyle w:val="Compact"/>
              <w:jc w:val="left"/>
            </w:pPr>
            <w:r>
              <w:t xml:space="preserve">QP</w:t>
            </w:r>
          </w:p>
        </w:tc>
        <w:tc>
          <w:tcPr/>
          <w:p>
            <w:pPr>
              <w:pStyle w:val="Compact"/>
              <w:jc w:val="left"/>
            </w:pPr>
            <w:r>
              <w:t xml:space="preserve">Quadratic Programming — Programación Cuadrática</w:t>
            </w:r>
          </w:p>
        </w:tc>
      </w:tr>
      <w:tr>
        <w:tc>
          <w:tcPr/>
          <w:p>
            <w:pPr>
              <w:pStyle w:val="Compact"/>
              <w:jc w:val="left"/>
            </w:pPr>
            <w:r>
              <w:t xml:space="preserve">RAM</w:t>
            </w:r>
          </w:p>
        </w:tc>
        <w:tc>
          <w:tcPr/>
          <w:p>
            <w:pPr>
              <w:pStyle w:val="Compact"/>
              <w:jc w:val="left"/>
            </w:pPr>
            <w:r>
              <w:t xml:space="preserve">Random Access Memory — Memoria de Acceso Aleatorio</w:t>
            </w:r>
          </w:p>
        </w:tc>
      </w:tr>
      <w:tr>
        <w:tc>
          <w:tcPr/>
          <w:p>
            <w:pPr>
              <w:pStyle w:val="Compact"/>
              <w:jc w:val="left"/>
            </w:pPr>
            <w:r>
              <w:t xml:space="preserve">RECM</w:t>
            </w:r>
          </w:p>
        </w:tc>
        <w:tc>
          <w:tcPr/>
          <w:p>
            <w:pPr>
              <w:pStyle w:val="Compact"/>
              <w:jc w:val="left"/>
            </w:pPr>
            <w:r>
              <w:t xml:space="preserve">Raíz del Error Cuadrático Medio (Ec. </w:t>
            </w:r>
            <w:hyperlink w:anchor="eq:RECM">
              <w:r>
                <w:rPr>
                  <w:rStyle w:val="Hyperlink"/>
                </w:rPr>
                <w:t xml:space="preserve">[eq:RECM]</w:t>
              </w:r>
            </w:hyperlink>
            <w:r>
              <w:t xml:space="preserve">)</w:t>
            </w:r>
          </w:p>
        </w:tc>
      </w:tr>
      <w:tr>
        <w:tc>
          <w:tcPr/>
          <w:p>
            <w:pPr>
              <w:pStyle w:val="Compact"/>
              <w:jc w:val="left"/>
            </w:pPr>
            <w:r>
              <w:t xml:space="preserve">SISO</w:t>
            </w:r>
          </w:p>
        </w:tc>
        <w:tc>
          <w:tcPr/>
          <w:p>
            <w:pPr>
              <w:pStyle w:val="Compact"/>
              <w:jc w:val="left"/>
            </w:pPr>
            <w:r>
              <w:t xml:space="preserve">Single Input, Single Output (una entrada, una salida)</w:t>
            </w:r>
          </w:p>
        </w:tc>
      </w:tr>
      <w:tr>
        <w:tc>
          <w:tcPr/>
          <w:p>
            <w:pPr>
              <w:pStyle w:val="Compact"/>
              <w:jc w:val="left"/>
            </w:pPr>
            <w:r>
              <w:t xml:space="preserve">SS</w:t>
            </w:r>
          </w:p>
        </w:tc>
        <w:tc>
          <w:tcPr/>
          <w:p>
            <w:pPr>
              <w:pStyle w:val="Compact"/>
              <w:jc w:val="left"/>
            </w:pPr>
            <w:r>
              <w:t xml:space="preserve">State Space — Espacio de Estados</w:t>
            </w:r>
          </w:p>
        </w:tc>
      </w:tr>
    </w:tbl>
    <w:bookmarkEnd w:id="74"/>
    <w:bookmarkEnd w:id="75"/>
    <w:bookmarkStart w:id="139" w:name="anexos"/>
    <w:p>
      <w:pPr>
        <w:pStyle w:val="Heading1"/>
      </w:pPr>
      <w:r>
        <w:t xml:space="preserve">Anexos</w:t>
      </w:r>
    </w:p>
    <w:bookmarkStart w:id="79" w:name="tablas-de-parámetros"/>
    <w:p>
      <w:pPr>
        <w:pStyle w:val="Heading2"/>
      </w:pPr>
      <w:r>
        <w:t xml:space="preserve">Tablas de parámetros</w:t>
      </w:r>
    </w:p>
    <w:bookmarkStart w:id="76" w:name="tab:alimentacion"/>
    <w:p>
      <w:pPr>
        <w:pStyle w:val="TableCaption"/>
      </w:pPr>
      <w:r>
        <w:t xml:space="preserve">Condiciones de las corrientes de alimentación</w:t>
      </w:r>
    </w:p>
    <w:tbl>
      <w:tblPr>
        <w:tblStyle w:val="Table"/>
        <w:tblW w:type="auto" w:w="0"/>
        <w:tblLook w:firstRow="1" w:lastRow="0" w:firstColumn="0" w:lastColumn="0" w:noHBand="0" w:noVBand="0" w:val="0020"/>
        <w:tblCaption w:val="Condiciones de las corrientes de alimentación"/>
      </w:tblPr>
      <w:tblGrid>
        <w:gridCol w:w="2640"/>
        <w:gridCol w:w="2640"/>
        <w:gridCol w:w="2640"/>
      </w:tblGrid>
      <w:tr>
        <w:trPr>
          <w:tblHeader w:val="on"/>
        </w:trPr>
        <w:tc>
          <w:tcPr/>
          <w:p>
            <w:pPr>
              <w:pStyle w:val="Compact"/>
              <w:jc w:val="left"/>
            </w:pPr>
            <w:r>
              <w:rPr>
                <w:b/>
                <w:bCs/>
              </w:rPr>
              <w:t xml:space="preserve">Parámetro</w:t>
            </w:r>
          </w:p>
        </w:tc>
        <w:tc>
          <w:tcPr/>
          <w:p>
            <w:pPr>
              <w:pStyle w:val="Compact"/>
              <w:jc w:val="center"/>
            </w:pPr>
            <w:r>
              <w:rPr>
                <w:b/>
                <w:bCs/>
              </w:rPr>
              <w:t xml:space="preserve">Corriente azeotrópica</w:t>
            </w:r>
          </w:p>
        </w:tc>
        <w:tc>
          <w:tcPr/>
          <w:p>
            <w:pPr>
              <w:pStyle w:val="Compact"/>
              <w:jc w:val="center"/>
            </w:pPr>
            <w:r>
              <w:rPr>
                <w:b/>
                <w:bCs/>
              </w:rPr>
              <w:t xml:space="preserve">Solvente</w:t>
            </w:r>
          </w:p>
        </w:tc>
      </w:tr>
      <w:tr>
        <w:tc>
          <w:tcPr/>
          <w:p>
            <w:pPr>
              <w:pStyle w:val="Compact"/>
              <w:jc w:val="left"/>
            </w:pPr>
            <w:r>
              <w:t xml:space="preserve">Flujo [kmol/h]</w:t>
            </w:r>
          </w:p>
        </w:tc>
        <w:tc>
          <w:tcPr/>
          <w:p>
            <w:pPr>
              <w:pStyle w:val="Compact"/>
              <w:jc w:val="center"/>
            </w:pPr>
            <w:r>
              <w:t xml:space="preserve">100</w:t>
            </w:r>
          </w:p>
        </w:tc>
        <w:tc>
          <w:tcPr/>
          <w:p>
            <w:pPr>
              <w:pStyle w:val="Compact"/>
              <w:jc w:val="center"/>
            </w:pPr>
            <w:r>
              <w:t xml:space="preserve">150</w:t>
            </w:r>
          </w:p>
        </w:tc>
      </w:tr>
      <w:tr>
        <w:tc>
          <w:tcPr/>
          <w:p>
            <w:pPr>
              <w:pStyle w:val="Compact"/>
              <w:jc w:val="left"/>
            </w:pPr>
            <w:r>
              <w:t xml:space="preserve">Temperatura [</w:t>
            </w:r>
            <m:oMath>
              <m:sSup>
                <m:e>
                  <m:r>
                    <m:t>​</m:t>
                  </m:r>
                </m:e>
                <m:sup>
                  <m:r>
                    <m:rPr>
                      <m:sty m:val="p"/>
                    </m:rPr>
                    <m:t>∘</m:t>
                  </m:r>
                </m:sup>
              </m:sSup>
            </m:oMath>
            <w:r>
              <w:t xml:space="preserve">C]</w:t>
            </w:r>
          </w:p>
        </w:tc>
        <w:tc>
          <w:tcPr/>
          <w:p>
            <w:pPr>
              <w:pStyle w:val="Compact"/>
              <w:jc w:val="center"/>
            </w:pPr>
            <w:r>
              <w:t xml:space="preserve">47</w:t>
            </w:r>
          </w:p>
        </w:tc>
        <w:tc>
          <w:tcPr/>
          <w:p>
            <w:pPr>
              <w:pStyle w:val="Compact"/>
              <w:jc w:val="center"/>
            </w:pPr>
            <w:r>
              <w:t xml:space="preserve">47</w:t>
            </w:r>
          </w:p>
        </w:tc>
      </w:tr>
      <w:tr>
        <w:tc>
          <w:tcPr/>
          <w:p>
            <w:pPr>
              <w:pStyle w:val="Compact"/>
              <w:jc w:val="left"/>
            </w:pPr>
            <w:r>
              <w:t xml:space="preserve">Presión absoluta [bar]</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Composición molar</w:t>
            </w:r>
          </w:p>
        </w:tc>
        <w:tc>
          <w:tcPr/>
          <w:p>
            <w:pPr>
              <w:pStyle w:val="Compact"/>
              <w:jc w:val="center"/>
            </w:pPr>
            <w:r>
              <w:t xml:space="preserve">0,5 – 0,5</w:t>
            </w:r>
          </w:p>
        </w:tc>
        <w:tc>
          <w:tcPr/>
          <w:p>
            <w:pPr>
              <w:pStyle w:val="Compact"/>
              <w:jc w:val="center"/>
            </w:pPr>
            <w:r>
              <w:t xml:space="preserve">1</w:t>
            </w:r>
          </w:p>
        </w:tc>
      </w:tr>
    </w:tbl>
    <w:bookmarkEnd w:id="76"/>
    <w:bookmarkStart w:id="77" w:name="tab:operacion"/>
    <w:p>
      <w:pPr>
        <w:pStyle w:val="TableCaption"/>
      </w:pPr>
      <w:r>
        <w:t xml:space="preserve">Condiciones de operación de las columnas</w:t>
      </w:r>
    </w:p>
    <w:tbl>
      <w:tblPr>
        <w:tblStyle w:val="Table"/>
        <w:tblW w:type="auto" w:w="0"/>
        <w:tblLook w:firstRow="1" w:lastRow="0" w:firstColumn="0" w:lastColumn="0" w:noHBand="0" w:noVBand="0" w:val="0020"/>
        <w:tblCaption w:val="Condiciones de operación de las columnas"/>
      </w:tblPr>
      <w:tblGrid>
        <w:gridCol w:w="2640"/>
        <w:gridCol w:w="2640"/>
        <w:gridCol w:w="2640"/>
      </w:tblGrid>
      <w:tr>
        <w:trPr>
          <w:tblHeader w:val="on"/>
        </w:trPr>
        <w:tc>
          <w:tcPr/>
          <w:p>
            <w:pPr>
              <w:pStyle w:val="Compact"/>
              <w:jc w:val="left"/>
            </w:pPr>
            <w:r>
              <w:rPr>
                <w:b/>
                <w:bCs/>
              </w:rPr>
              <w:t xml:space="preserve">Parámetro</w:t>
            </w:r>
          </w:p>
        </w:tc>
        <w:tc>
          <w:tcPr/>
          <w:p>
            <w:pPr>
              <w:pStyle w:val="Compact"/>
              <w:jc w:val="center"/>
            </w:pPr>
            <w:r>
              <w:rPr>
                <w:b/>
                <w:bCs/>
              </w:rPr>
              <w:t xml:space="preserve">T-101</w:t>
            </w:r>
          </w:p>
        </w:tc>
        <w:tc>
          <w:tcPr/>
          <w:p>
            <w:pPr>
              <w:pStyle w:val="Compact"/>
              <w:jc w:val="center"/>
            </w:pPr>
            <w:r>
              <w:rPr>
                <w:b/>
                <w:bCs/>
              </w:rPr>
              <w:t xml:space="preserve">T-102</w:t>
            </w:r>
          </w:p>
        </w:tc>
      </w:tr>
      <w:tr>
        <w:tc>
          <w:tcPr/>
          <w:p>
            <w:pPr>
              <w:pStyle w:val="Compact"/>
              <w:jc w:val="left"/>
            </w:pPr>
            <w:r>
              <w:t xml:space="preserve">Presión absoluta [bar]</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Flujo de destilado [kmol/h]</w:t>
            </w:r>
          </w:p>
        </w:tc>
        <w:tc>
          <w:tcPr/>
          <w:p>
            <w:pPr>
              <w:pStyle w:val="Compact"/>
              <w:jc w:val="center"/>
            </w:pPr>
            <w:r>
              <w:t xml:space="preserve">50</w:t>
            </w:r>
          </w:p>
        </w:tc>
        <w:tc>
          <w:tcPr/>
          <w:p>
            <w:pPr>
              <w:pStyle w:val="Compact"/>
              <w:jc w:val="center"/>
            </w:pPr>
            <w:r>
              <w:t xml:space="preserve">50,5</w:t>
            </w:r>
          </w:p>
        </w:tc>
      </w:tr>
      <w:tr>
        <w:tc>
          <w:tcPr/>
          <w:p>
            <w:pPr>
              <w:pStyle w:val="Compact"/>
              <w:jc w:val="left"/>
            </w:pPr>
            <w:r>
              <w:t xml:space="preserve">Razón de reflujo [mol/mol]</w:t>
            </w:r>
          </w:p>
        </w:tc>
        <w:tc>
          <w:tcPr/>
          <w:p>
            <w:pPr>
              <w:pStyle w:val="Compact"/>
              <w:jc w:val="center"/>
            </w:pPr>
            <w:r>
              <w:t xml:space="preserve">1</w:t>
            </w:r>
          </w:p>
        </w:tc>
        <w:tc>
          <w:tcPr/>
          <w:p>
            <w:pPr>
              <w:pStyle w:val="Compact"/>
              <w:jc w:val="center"/>
            </w:pPr>
            <w:r>
              <w:t xml:space="preserve">0,5</w:t>
            </w:r>
          </w:p>
        </w:tc>
      </w:tr>
      <w:tr>
        <w:tc>
          <w:tcPr/>
          <w:p>
            <w:pPr>
              <w:pStyle w:val="Compact"/>
              <w:jc w:val="left"/>
            </w:pPr>
            <w:r>
              <w:t xml:space="preserve">Número de etapas</w:t>
            </w:r>
          </w:p>
        </w:tc>
        <w:tc>
          <w:tcPr/>
          <w:p>
            <w:pPr>
              <w:pStyle w:val="Compact"/>
              <w:jc w:val="center"/>
            </w:pPr>
            <w:r>
              <w:t xml:space="preserve">37</w:t>
            </w:r>
          </w:p>
        </w:tc>
        <w:tc>
          <w:tcPr/>
          <w:p>
            <w:pPr>
              <w:pStyle w:val="Compact"/>
              <w:jc w:val="center"/>
            </w:pPr>
            <w:r>
              <w:t xml:space="preserve">17</w:t>
            </w:r>
          </w:p>
        </w:tc>
      </w:tr>
      <w:tr>
        <w:tc>
          <w:tcPr/>
          <w:p>
            <w:pPr>
              <w:pStyle w:val="Compact"/>
              <w:jc w:val="left"/>
            </w:pPr>
            <w:r>
              <w:t xml:space="preserve">Etapa de alimentación</w:t>
            </w:r>
          </w:p>
        </w:tc>
        <w:tc>
          <w:tcPr/>
          <w:p>
            <w:pPr>
              <w:pStyle w:val="Compact"/>
              <w:jc w:val="center"/>
            </w:pPr>
            <w:r>
              <w:t xml:space="preserve">24</w:t>
            </w:r>
          </w:p>
        </w:tc>
        <w:tc>
          <w:tcPr/>
          <w:p>
            <w:pPr>
              <w:pStyle w:val="Compact"/>
              <w:jc w:val="center"/>
            </w:pPr>
            <w:r>
              <w:t xml:space="preserve">8</w:t>
            </w:r>
          </w:p>
        </w:tc>
      </w:tr>
      <w:tr>
        <w:tc>
          <w:tcPr/>
          <w:p>
            <w:pPr>
              <w:pStyle w:val="Compact"/>
              <w:jc w:val="left"/>
            </w:pPr>
            <w:r>
              <w:t xml:space="preserve">Etapa de alimentación del agente separador</w:t>
            </w:r>
          </w:p>
        </w:tc>
        <w:tc>
          <w:tcPr/>
          <w:p>
            <w:pPr>
              <w:pStyle w:val="Compact"/>
              <w:jc w:val="center"/>
            </w:pPr>
            <w:r>
              <w:t xml:space="preserve">4</w:t>
            </w:r>
          </w:p>
        </w:tc>
        <w:tc>
          <w:tcPr/>
          <w:p>
            <w:pPr>
              <w:pStyle w:val="Compact"/>
              <w:jc w:val="center"/>
            </w:pPr>
            <w:r>
              <w:t xml:space="preserve">–</w:t>
            </w:r>
          </w:p>
        </w:tc>
      </w:tr>
    </w:tbl>
    <w:bookmarkEnd w:id="77"/>
    <w:bookmarkStart w:id="78" w:name="tab:PI"/>
    <w:p>
      <w:pPr>
        <w:pStyle w:val="TableCaption"/>
      </w:pPr>
      <w:r>
        <w:t xml:space="preserve">Parámetros de sintonización de controladores PI</w:t>
      </w:r>
    </w:p>
    <w:tbl>
      <w:tblPr>
        <w:tblStyle w:val="Table"/>
        <w:tblW w:type="auto" w:w="0"/>
        <w:tblLook w:firstRow="1" w:lastRow="0" w:firstColumn="0" w:lastColumn="0" w:noHBand="0" w:noVBand="0" w:val="0020"/>
        <w:tblCaption w:val="Parámetros de sintonización de controladores PI"/>
      </w:tblPr>
      <w:tblGrid>
        <w:gridCol w:w="1131"/>
        <w:gridCol w:w="1131"/>
        <w:gridCol w:w="1131"/>
        <w:gridCol w:w="1131"/>
        <w:gridCol w:w="1131"/>
        <w:gridCol w:w="1131"/>
        <w:gridCol w:w="1131"/>
      </w:tblGrid>
      <w:tr>
        <w:trPr>
          <w:tblHeader w:val="on"/>
        </w:trPr>
        <w:tc>
          <w:tcPr/>
          <w:p>
            <w:pPr>
              <w:pStyle w:val="Compact"/>
              <w:jc w:val="left"/>
            </w:pPr>
            <w:r>
              <w:rPr>
                <w:b/>
                <w:bCs/>
              </w:rPr>
              <w:t xml:space="preserve">Controlador</w:t>
            </w:r>
          </w:p>
        </w:tc>
        <w:tc>
          <w:tcPr/>
          <w:p>
            <w:pPr>
              <w:pStyle w:val="Compact"/>
              <w:jc w:val="left"/>
            </w:pPr>
            <w:r>
              <w:rPr>
                <w:b/>
                <w:bCs/>
              </w:rPr>
              <w:t xml:space="preserve">Nivel de Condensador T-101</w:t>
            </w:r>
          </w:p>
        </w:tc>
        <w:tc>
          <w:tcPr/>
          <w:p>
            <w:pPr>
              <w:pStyle w:val="Compact"/>
              <w:jc w:val="left"/>
            </w:pPr>
            <w:r>
              <w:rPr>
                <w:b/>
                <w:bCs/>
              </w:rPr>
              <w:t xml:space="preserve">Nivel de Rehervidor T-101</w:t>
            </w:r>
          </w:p>
        </w:tc>
        <w:tc>
          <w:tcPr/>
          <w:p>
            <w:pPr>
              <w:pStyle w:val="Compact"/>
              <w:jc w:val="left"/>
            </w:pPr>
            <w:r>
              <w:rPr>
                <w:b/>
                <w:bCs/>
              </w:rPr>
              <w:t xml:space="preserve">Presión T-101</w:t>
            </w:r>
          </w:p>
        </w:tc>
        <w:tc>
          <w:tcPr/>
          <w:p>
            <w:pPr>
              <w:pStyle w:val="Compact"/>
              <w:jc w:val="left"/>
            </w:pPr>
            <w:r>
              <w:rPr>
                <w:b/>
                <w:bCs/>
              </w:rPr>
              <w:t xml:space="preserve">Nivel de Condensador T-102</w:t>
            </w:r>
          </w:p>
        </w:tc>
        <w:tc>
          <w:tcPr/>
          <w:p>
            <w:pPr>
              <w:pStyle w:val="Compact"/>
              <w:jc w:val="left"/>
            </w:pPr>
            <w:r>
              <w:rPr>
                <w:b/>
                <w:bCs/>
              </w:rPr>
              <w:t xml:space="preserve">Nivel de Rehervidor T-102</w:t>
            </w:r>
          </w:p>
        </w:tc>
        <w:tc>
          <w:tcPr/>
          <w:p>
            <w:pPr>
              <w:pStyle w:val="Compact"/>
              <w:jc w:val="left"/>
            </w:pPr>
            <w:r>
              <w:rPr>
                <w:b/>
                <w:bCs/>
              </w:rPr>
              <w:t xml:space="preserve">Presión T-102</w:t>
            </w:r>
          </w:p>
        </w:tc>
      </w:tr>
      <w:tr>
        <w:tc>
          <w:tcPr/>
          <w:p>
            <w:pPr>
              <w:pStyle w:val="Compact"/>
              <w:jc w:val="left"/>
            </w:pPr>
            <w:r>
              <w:t xml:space="preserve">Ganancia (%/%)</w:t>
            </w:r>
          </w:p>
        </w:tc>
        <w:tc>
          <w:tcPr/>
          <w:p>
            <w:pPr>
              <w:pStyle w:val="Compact"/>
              <w:jc w:val="left"/>
            </w:pPr>
            <w:r>
              <w:t xml:space="preserve">,145</w:t>
            </w:r>
          </w:p>
        </w:tc>
        <w:tc>
          <w:tcPr/>
          <w:p>
            <w:pPr>
              <w:pStyle w:val="Compact"/>
              <w:jc w:val="left"/>
            </w:pPr>
            <w:r>
              <w:t xml:space="preserve">,658</w:t>
            </w:r>
          </w:p>
        </w:tc>
        <w:tc>
          <w:tcPr/>
          <w:p>
            <w:pPr>
              <w:pStyle w:val="Compact"/>
              <w:jc w:val="left"/>
            </w:pPr>
            <w:r>
              <w:t xml:space="preserve">,108</w:t>
            </w:r>
          </w:p>
        </w:tc>
        <w:tc>
          <w:tcPr/>
          <w:p>
            <w:pPr>
              <w:pStyle w:val="Compact"/>
              <w:jc w:val="left"/>
            </w:pPr>
            <w:r>
              <w:t xml:space="preserve">,133</w:t>
            </w:r>
          </w:p>
        </w:tc>
        <w:tc>
          <w:tcPr/>
          <w:p>
            <w:pPr>
              <w:pStyle w:val="Compact"/>
              <w:jc w:val="left"/>
            </w:pPr>
            <w:r>
              <w:t xml:space="preserve">,406</w:t>
            </w:r>
          </w:p>
        </w:tc>
        <w:tc>
          <w:tcPr/>
          <w:p>
            <w:pPr>
              <w:pStyle w:val="Compact"/>
              <w:jc w:val="left"/>
            </w:pPr>
            <w:r>
              <w:t xml:space="preserve">,249</w:t>
            </w:r>
          </w:p>
        </w:tc>
      </w:tr>
      <w:tr>
        <w:tc>
          <w:tcPr/>
          <w:p>
            <w:pPr>
              <w:pStyle w:val="Compact"/>
              <w:jc w:val="left"/>
            </w:pPr>
            <w:r>
              <w:t xml:space="preserve">Constante de tiempo</w:t>
            </w:r>
            <w:r>
              <w:t xml:space="preserve"> </w:t>
            </w:r>
            <m:oMath>
              <m:r>
                <m:t>τ</m:t>
              </m:r>
            </m:oMath>
            <w:r>
              <w:t xml:space="preserve"> </w:t>
            </w:r>
            <w:r>
              <w:t xml:space="preserve">[min]</w:t>
            </w:r>
          </w:p>
        </w:tc>
        <w:tc>
          <w:tcPr/>
          <w:p>
            <w:pPr>
              <w:pStyle w:val="Compact"/>
              <w:jc w:val="left"/>
            </w:pPr>
            <w:r>
              <w:t xml:space="preserve">,20</w:t>
            </w:r>
          </w:p>
        </w:tc>
        <w:tc>
          <w:tcPr/>
          <w:p>
            <w:pPr>
              <w:pStyle w:val="Compact"/>
              <w:jc w:val="left"/>
            </w:pPr>
            <w:r>
              <w:t xml:space="preserve">,28</w:t>
            </w:r>
          </w:p>
        </w:tc>
        <w:tc>
          <w:tcPr/>
          <w:p>
            <w:pPr>
              <w:pStyle w:val="Compact"/>
              <w:jc w:val="left"/>
            </w:pPr>
            <w:r>
              <w:t xml:space="preserve">,99</w:t>
            </w:r>
          </w:p>
        </w:tc>
        <w:tc>
          <w:tcPr/>
          <w:p>
            <w:pPr>
              <w:pStyle w:val="Compact"/>
              <w:jc w:val="left"/>
            </w:pPr>
            <w:r>
              <w:t xml:space="preserve">,96</w:t>
            </w:r>
          </w:p>
        </w:tc>
        <w:tc>
          <w:tcPr/>
          <w:p>
            <w:pPr>
              <w:pStyle w:val="Compact"/>
              <w:jc w:val="left"/>
            </w:pPr>
            <w:r>
              <w:t xml:space="preserve">,60</w:t>
            </w:r>
          </w:p>
        </w:tc>
        <w:tc>
          <w:tcPr/>
          <w:p>
            <w:pPr>
              <w:pStyle w:val="Compact"/>
              <w:jc w:val="left"/>
            </w:pPr>
            <w:r>
              <w:t xml:space="preserve">,00</w:t>
            </w:r>
          </w:p>
        </w:tc>
      </w:tr>
    </w:tbl>
    <w:bookmarkEnd w:id="78"/>
    <w:bookmarkEnd w:id="79"/>
    <w:bookmarkStart w:id="92" w:name="figuras-adicionales"/>
    <w:p>
      <w:pPr>
        <w:pStyle w:val="Heading2"/>
      </w:pPr>
      <w:r>
        <w:t xml:space="preserve">Figuras adicionales</w:t>
      </w:r>
    </w:p>
    <w:bookmarkStart w:id="83" w:name="fig:DiagramaPFD"/>
    <w:p>
      <w:pPr>
        <w:pStyle w:val="CaptionedFigure"/>
      </w:pPr>
      <w:r>
        <w:drawing>
          <wp:inline>
            <wp:extent cx="5334000" cy="3769479"/>
            <wp:effectExtent b="0" l="0" r="0" t="0"/>
            <wp:docPr descr="Figure 7: Diagrama del proceso de destilación extractiva." title="" id="81" name="Picture"/>
            <a:graphic>
              <a:graphicData uri="http://schemas.openxmlformats.org/drawingml/2006/picture">
                <pic:pic>
                  <pic:nvPicPr>
                    <pic:cNvPr descr="figures/PFD_Tesis_2.jpg" id="82" name="Picture"/>
                    <pic:cNvPicPr>
                      <a:picLocks noChangeArrowheads="1" noChangeAspect="1"/>
                    </pic:cNvPicPr>
                  </pic:nvPicPr>
                  <pic:blipFill>
                    <a:blip r:embed="rId80"/>
                    <a:stretch>
                      <a:fillRect/>
                    </a:stretch>
                  </pic:blipFill>
                  <pic:spPr bwMode="auto">
                    <a:xfrm>
                      <a:off x="0" y="0"/>
                      <a:ext cx="5334000" cy="3769479"/>
                    </a:xfrm>
                    <a:prstGeom prst="rect">
                      <a:avLst/>
                    </a:prstGeom>
                    <a:noFill/>
                    <a:ln w="9525">
                      <a:noFill/>
                      <a:headEnd/>
                      <a:tailEnd/>
                    </a:ln>
                  </pic:spPr>
                </pic:pic>
              </a:graphicData>
            </a:graphic>
          </wp:inline>
        </w:drawing>
      </w:r>
    </w:p>
    <w:p>
      <w:pPr>
        <w:pStyle w:val="ImageCaption"/>
      </w:pPr>
      <w:r>
        <w:t xml:space="preserve">Figure 7: Diagrama del proceso de destilación extractiva.</w:t>
      </w:r>
    </w:p>
    <w:bookmarkEnd w:id="83"/>
    <w:bookmarkStart w:id="87" w:name="fig:DiagramaSimulink"/>
    <w:p>
      <w:pPr>
        <w:pStyle w:val="CaptionedFigure"/>
      </w:pPr>
      <w:r>
        <w:drawing>
          <wp:inline>
            <wp:extent cx="5334000" cy="3897923"/>
            <wp:effectExtent b="0" l="0" r="0" t="0"/>
            <wp:docPr descr="Figure 8: Diagrama del control implementado en Simulink." title="" id="85" name="Picture"/>
            <a:graphic>
              <a:graphicData uri="http://schemas.openxmlformats.org/drawingml/2006/picture">
                <pic:pic>
                  <pic:nvPicPr>
                    <pic:cNvPr descr="figures/Simulink.png" id="86" name="Picture"/>
                    <pic:cNvPicPr>
                      <a:picLocks noChangeArrowheads="1" noChangeAspect="1"/>
                    </pic:cNvPicPr>
                  </pic:nvPicPr>
                  <pic:blipFill>
                    <a:blip r:embed="rId84"/>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Figure 8: Diagrama del control implementado en Simulink.</w:t>
      </w:r>
    </w:p>
    <w:bookmarkEnd w:id="87"/>
    <w:bookmarkStart w:id="91" w:name="fig:Simulink2.0"/>
    <w:p>
      <w:pPr>
        <w:pStyle w:val="CaptionedFigure"/>
      </w:pPr>
      <w:r>
        <w:drawing>
          <wp:inline>
            <wp:extent cx="5334000" cy="1142720"/>
            <wp:effectExtent b="0" l="0" r="0" t="0"/>
            <wp:docPr descr="Figure 9: Esquema general del controlador MPC." title="" id="89" name="Picture"/>
            <a:graphic>
              <a:graphicData uri="http://schemas.openxmlformats.org/drawingml/2006/picture">
                <pic:pic>
                  <pic:nvPicPr>
                    <pic:cNvPr descr="figures/SIMULINK2.0.png" id="90" name="Picture"/>
                    <pic:cNvPicPr>
                      <a:picLocks noChangeArrowheads="1" noChangeAspect="1"/>
                    </pic:cNvPicPr>
                  </pic:nvPicPr>
                  <pic:blipFill>
                    <a:blip r:embed="rId88"/>
                    <a:stretch>
                      <a:fillRect/>
                    </a:stretch>
                  </pic:blipFill>
                  <pic:spPr bwMode="auto">
                    <a:xfrm>
                      <a:off x="0" y="0"/>
                      <a:ext cx="5334000" cy="1142720"/>
                    </a:xfrm>
                    <a:prstGeom prst="rect">
                      <a:avLst/>
                    </a:prstGeom>
                    <a:noFill/>
                    <a:ln w="9525">
                      <a:noFill/>
                      <a:headEnd/>
                      <a:tailEnd/>
                    </a:ln>
                  </pic:spPr>
                </pic:pic>
              </a:graphicData>
            </a:graphic>
          </wp:inline>
        </w:drawing>
      </w:r>
    </w:p>
    <w:p>
      <w:pPr>
        <w:pStyle w:val="ImageCaption"/>
      </w:pPr>
      <w:r>
        <w:t xml:space="preserve">Figure 9: Esquema general del controlador MPC.</w:t>
      </w:r>
    </w:p>
    <w:bookmarkEnd w:id="91"/>
    <w:bookmarkEnd w:id="92"/>
    <w:bookmarkStart w:id="138" w:name="parámetros-de-los-metamodelos"/>
    <w:p>
      <w:pPr>
        <w:pStyle w:val="Heading2"/>
      </w:pPr>
      <w:r>
        <w:t xml:space="preserve">Parámetros de los metamodelos</w:t>
      </w:r>
    </w:p>
    <w:bookmarkStart w:id="93" w:name="tab:T101"/>
    <w:p>
      <w:pPr>
        <w:pStyle w:val="TableCaption"/>
      </w:pPr>
      <w:r>
        <w:t xml:space="preserve">Parámetros de modelos de subrogación para T-101</w:t>
      </w:r>
    </w:p>
    <w:tbl>
      <w:tblPr>
        <w:tblStyle w:val="Table"/>
        <w:tblW w:type="auto" w:w="0"/>
        <w:tblLook w:firstRow="1" w:lastRow="0" w:firstColumn="0" w:lastColumn="0" w:noHBand="0" w:noVBand="0" w:val="0020"/>
        <w:tblCaption w:val="Parámetros de modelos de subrogación para T-101"/>
      </w:tblPr>
      <w:tblGrid>
        <w:gridCol w:w="2640"/>
        <w:gridCol w:w="2640"/>
        <w:gridCol w:w="2640"/>
      </w:tblGrid>
      <w:tr>
        <w:trPr>
          <w:tblHeader w:val="on"/>
        </w:trPr>
        <w:tc>
          <w:tcPr/>
          <w:p>
            <w:pPr>
              <w:pStyle w:val="Compact"/>
              <w:jc w:val="left"/>
            </w:pPr>
            <w:r>
              <w:rPr>
                <w:b/>
                <w:bCs/>
              </w:rPr>
              <w:t xml:space="preserve">Modelo</w:t>
            </w:r>
          </w:p>
        </w:tc>
        <w:tc>
          <w:tcPr/>
          <w:p>
            <w:pPr>
              <w:pStyle w:val="Compact"/>
              <w:jc w:val="center"/>
            </w:pPr>
            <w:r>
              <w:rPr>
                <w:b/>
                <w:bCs/>
              </w:rPr>
              <w:t xml:space="preserve">Entrada</w:t>
            </w:r>
          </w:p>
        </w:tc>
        <w:tc>
          <w:tcPr/>
          <w:p>
            <w:pPr>
              <w:pStyle w:val="Compact"/>
              <w:jc w:val="left"/>
            </w:pPr>
            <w:r>
              <w:rPr>
                <w:b/>
                <w:bCs/>
              </w:rPr>
              <w:t xml:space="preserve">Parámetros</w:t>
            </w:r>
          </w:p>
        </w:tc>
      </w:tr>
      <w:tr>
        <w:tc>
          <w:tcPr/>
          <w:p>
            <w:pPr>
              <w:pStyle w:val="Compact"/>
              <w:jc w:val="left"/>
            </w:pPr>
            <w:r>
              <w:t xml:space="preserve">SS-T101</w:t>
            </w:r>
          </w:p>
        </w:tc>
        <w:tc>
          <w:tcPr/>
          <w:p>
            <w:pPr>
              <w:pStyle w:val="Compact"/>
              <w:jc w:val="center"/>
            </w:pPr>
            <w:r>
              <w:t xml:space="preserve">–</w:t>
            </w:r>
          </w:p>
        </w:tc>
        <w:tc>
          <w:tcPr/>
          <w:p>
            <w:pPr>
              <w:pStyle w:val="Compact"/>
              <w:jc w:val="left"/>
            </w:pPr>
            <m:oMath>
              <m:r>
                <m:t>A</m:t>
              </m:r>
              <m:r>
                <m:rPr>
                  <m:sty m:val="p"/>
                </m:rPr>
                <m:t>=</m:t>
              </m:r>
              <m:r>
                <m:rPr>
                  <m:sty m:val="p"/>
                </m:rPr>
                <m:t>[</m:t>
              </m:r>
              <m:r>
                <m:t>40.8</m:t>
              </m:r>
              <m:r>
                <m:rPr>
                  <m:sty m:val="p"/>
                </m:rPr>
                <m:t>,</m:t>
              </m:r>
              <m:r>
                <m:rPr>
                  <m:sty m:val="p"/>
                </m:rPr>
                <m:t>−</m:t>
              </m:r>
              <m:r>
                <m:t>41.47</m:t>
              </m:r>
              <m:r>
                <m:rPr>
                  <m:sty m:val="p"/>
                </m:rPr>
                <m:t>,</m:t>
              </m:r>
              <m:r>
                <m:rPr>
                  <m:sty m:val="p"/>
                </m:rPr>
                <m:t>−</m:t>
              </m:r>
              <m:r>
                <m:t>3.201</m:t>
              </m:r>
              <m:r>
                <m:rPr>
                  <m:sty m:val="p"/>
                </m:rPr>
                <m:t>,</m:t>
              </m:r>
              <m:r>
                <m:rPr>
                  <m:sty m:val="p"/>
                </m:rPr>
                <m:t>−</m:t>
              </m:r>
              <m:r>
                <m:t>2.235</m:t>
              </m:r>
              <m:r>
                <m:rPr>
                  <m:sty m:val="p"/>
                </m:rPr>
                <m:t>,</m:t>
              </m:r>
              <m:r>
                <m:rPr>
                  <m:sty m:val="p"/>
                </m:rPr>
                <m:t>−</m:t>
              </m:r>
              <m:r>
                <m:t>3.453</m:t>
              </m:r>
              <m:r>
                <m:rPr>
                  <m:sty m:val="p"/>
                </m:rPr>
                <m:t>,</m:t>
              </m:r>
              <m:r>
                <m:t>4.586</m:t>
              </m:r>
              <m:r>
                <m:rPr>
                  <m:sty m:val="p"/>
                </m:rPr>
                <m:t>]</m:t>
              </m:r>
            </m:oMath>
          </w:p>
        </w:tc>
      </w:tr>
      <w:tr>
        <w:tc>
          <w:tcPr/>
          <w:p>
            <w:pPr>
              <w:pStyle w:val="Compact"/>
            </w:pPr>
          </w:p>
        </w:tc>
        <w:tc>
          <w:tcPr/>
          <w:p>
            <w:pPr>
              <w:pStyle w:val="Compact"/>
            </w:pPr>
          </w:p>
        </w:tc>
        <w:tc>
          <w:tcPr/>
          <w:p>
            <w:pPr>
              <w:pStyle w:val="Compact"/>
              <w:jc w:val="left"/>
            </w:pPr>
            <m:oMath>
              <m:r>
                <m:t>B</m:t>
              </m:r>
              <m:r>
                <m:rPr>
                  <m:sty m:val="p"/>
                </m:rPr>
                <m:t>=</m:t>
              </m:r>
              <m:r>
                <m:rPr>
                  <m:sty m:val="p"/>
                </m:rPr>
                <m:t>[</m:t>
              </m:r>
              <m:r>
                <m:t>0.165</m:t>
              </m:r>
              <m:r>
                <m:rPr>
                  <m:sty m:val="p"/>
                </m:rPr>
                <m:t>,</m:t>
              </m:r>
              <m:r>
                <m:rPr>
                  <m:sty m:val="p"/>
                </m:rPr>
                <m:t>−</m:t>
              </m:r>
              <m:r>
                <m:t>18.52</m:t>
              </m:r>
              <m:r>
                <m:rPr>
                  <m:sty m:val="p"/>
                </m:rPr>
                <m:t>,</m:t>
              </m:r>
              <m:r>
                <m:rPr>
                  <m:sty m:val="p"/>
                </m:rPr>
                <m:t>−</m:t>
              </m:r>
              <m:r>
                <m:t>1.84</m:t>
              </m:r>
              <m:r>
                <m:rPr>
                  <m:sty m:val="p"/>
                </m:rPr>
                <m:t>,</m:t>
              </m:r>
              <m:r>
                <m:rPr>
                  <m:sty m:val="p"/>
                </m:rPr>
                <m:t>−</m:t>
              </m:r>
              <m:r>
                <m:t>11.35</m:t>
              </m:r>
              <m:r>
                <m:rPr>
                  <m:sty m:val="p"/>
                </m:rPr>
                <m:t>,</m:t>
              </m:r>
              <m:r>
                <m:t>0.8057</m:t>
              </m:r>
              <m:r>
                <m:rPr>
                  <m:sty m:val="p"/>
                </m:rPr>
                <m:t>,</m:t>
              </m:r>
              <m:r>
                <m:t>7.268</m:t>
              </m:r>
              <m:r>
                <m:rPr>
                  <m:sty m:val="p"/>
                </m:rPr>
                <m:t>]</m:t>
              </m:r>
            </m:oMath>
          </w:p>
        </w:tc>
      </w:tr>
      <w:tr>
        <w:tc>
          <w:tcPr/>
          <w:p>
            <w:pPr>
              <w:pStyle w:val="Compact"/>
            </w:pPr>
          </w:p>
        </w:tc>
        <w:tc>
          <w:tcPr/>
          <w:p>
            <w:pPr>
              <w:pStyle w:val="Compact"/>
            </w:pPr>
          </w:p>
        </w:tc>
        <w:tc>
          <w:tcPr/>
          <w:p>
            <w:pPr>
              <w:pStyle w:val="Compact"/>
              <w:jc w:val="left"/>
            </w:pPr>
            <m:oMath>
              <m:r>
                <m:t>C</m:t>
              </m:r>
              <m:r>
                <m:rPr>
                  <m:sty m:val="p"/>
                </m:rPr>
                <m:t>=</m:t>
              </m:r>
              <m:r>
                <m:rPr>
                  <m:sty m:val="p"/>
                </m:rPr>
                <m:t>[</m:t>
              </m:r>
              <m:r>
                <m:t>10.59</m:t>
              </m:r>
              <m:r>
                <m:rPr>
                  <m:sty m:val="p"/>
                </m:rPr>
                <m:t>,</m:t>
              </m:r>
              <m:r>
                <m:t>1.733</m:t>
              </m:r>
              <m:r>
                <m:rPr>
                  <m:sty m:val="p"/>
                </m:rPr>
                <m:t>,</m:t>
              </m:r>
              <m:r>
                <m:rPr>
                  <m:sty m:val="p"/>
                </m:rPr>
                <m:t>−</m:t>
              </m:r>
              <m:r>
                <m:t>2.845</m:t>
              </m:r>
              <m:r>
                <m:rPr>
                  <m:sty m:val="p"/>
                </m:rPr>
                <m:t>,</m:t>
              </m:r>
              <m:r>
                <m:rPr>
                  <m:sty m:val="p"/>
                </m:rPr>
                <m:t>−</m:t>
              </m:r>
              <m:r>
                <m:t>9.098</m:t>
              </m:r>
              <m:r>
                <m:rPr>
                  <m:sty m:val="p"/>
                </m:rPr>
                <m:t>,</m:t>
              </m:r>
              <m:r>
                <m:t>0.9113</m:t>
              </m:r>
              <m:r>
                <m:rPr>
                  <m:sty m:val="p"/>
                </m:rPr>
                <m:t>,</m:t>
              </m:r>
              <m:r>
                <m:t>2.971</m:t>
              </m:r>
              <m:r>
                <m:rPr>
                  <m:sty m:val="p"/>
                </m:rPr>
                <m:t>]</m:t>
              </m:r>
            </m:oMath>
          </w:p>
        </w:tc>
      </w:tr>
      <w:tr>
        <w:tc>
          <w:tcPr/>
          <w:p>
            <w:pPr>
              <w:pStyle w:val="Compact"/>
              <w:jc w:val="left"/>
            </w:pPr>
            <w:r>
              <w:t xml:space="preserve">ARX-T101</w:t>
            </w:r>
          </w:p>
        </w:tc>
        <w:tc>
          <w:tcPr/>
          <w:p>
            <w:pPr>
              <w:pStyle w:val="Compact"/>
              <w:jc w:val="center"/>
            </w:pPr>
            <w:r>
              <w:t xml:space="preserve">–</w:t>
            </w:r>
          </w:p>
        </w:tc>
        <w:tc>
          <w:tcPr/>
          <w:p>
            <w:pPr>
              <w:pStyle w:val="Compact"/>
              <w:jc w:val="left"/>
            </w:pPr>
            <m:oMath>
              <m:r>
                <m:t>A</m:t>
              </m:r>
              <m:r>
                <m:rPr>
                  <m:sty m:val="p"/>
                </m:rPr>
                <m:t>=</m:t>
              </m:r>
              <m:r>
                <m:rPr>
                  <m:sty m:val="p"/>
                </m:rPr>
                <m:t>[</m:t>
              </m:r>
              <m:r>
                <m:t>1.000</m:t>
              </m:r>
              <m:r>
                <m:rPr>
                  <m:sty m:val="p"/>
                </m:rPr>
                <m:t>,</m:t>
              </m:r>
              <m:r>
                <m:rPr>
                  <m:sty m:val="p"/>
                </m:rPr>
                <m:t>−</m:t>
              </m:r>
              <m:r>
                <m:t>1.354</m:t>
              </m:r>
              <m:r>
                <m:rPr>
                  <m:sty m:val="p"/>
                </m:rPr>
                <m:t>,</m:t>
              </m:r>
              <m:r>
                <m:t>0.198</m:t>
              </m:r>
              <m:r>
                <m:rPr>
                  <m:sty m:val="p"/>
                </m:rPr>
                <m:t>,</m:t>
              </m:r>
              <m:r>
                <m:rPr>
                  <m:sty m:val="p"/>
                </m:rPr>
                <m:t>−</m:t>
              </m:r>
              <m:r>
                <m:t>0.003</m:t>
              </m:r>
              <m:r>
                <m:rPr>
                  <m:sty m:val="p"/>
                </m:rPr>
                <m:t>,</m:t>
              </m:r>
              <m:r>
                <m:t>0.119</m:t>
              </m:r>
              <m:r>
                <m:rPr>
                  <m:sty m:val="p"/>
                </m:rPr>
                <m:t>,</m:t>
              </m:r>
              <m:r>
                <m:t>0.085</m:t>
              </m:r>
              <m:r>
                <m:rPr>
                  <m:sty m:val="p"/>
                </m:rPr>
                <m:t>,</m:t>
              </m:r>
              <m:r>
                <m:t>0.011</m:t>
              </m:r>
              <m:r>
                <m:rPr>
                  <m:sty m:val="p"/>
                </m:rPr>
                <m:t>,</m:t>
              </m:r>
              <m:r>
                <m:rPr>
                  <m:sty m:val="p"/>
                </m:rPr>
                <m:t>−</m:t>
              </m:r>
              <m:r>
                <m:t>0.024</m:t>
              </m:r>
              <m:r>
                <m:rPr>
                  <m:sty m:val="p"/>
                </m:rPr>
                <m:t>,</m:t>
              </m:r>
              <m:r>
                <m:rPr>
                  <m:sty m:val="p"/>
                </m:rPr>
                <m:t>−</m:t>
              </m:r>
              <m:r>
                <m:t>0.026</m:t>
              </m:r>
              <m:r>
                <m:rPr>
                  <m:sty m:val="p"/>
                </m:rPr>
                <m:t>,</m:t>
              </m:r>
              <m:r>
                <m:rPr>
                  <m:sty m:val="p"/>
                </m:rPr>
                <m:t>−</m:t>
              </m:r>
              <m:r>
                <m:t>0.036</m:t>
              </m:r>
              <m:r>
                <m:rPr>
                  <m:sty m:val="p"/>
                </m:rPr>
                <m:t>,</m:t>
              </m:r>
              <m:r>
                <m:t>0.022</m:t>
              </m:r>
              <m:r>
                <m:rPr>
                  <m:sty m:val="p"/>
                </m:rPr>
                <m:t>,</m:t>
              </m:r>
              <m:r>
                <m:t>0.005</m:t>
              </m:r>
              <m:r>
                <m:rPr>
                  <m:sty m:val="p"/>
                </m:rPr>
                <m:t>,</m:t>
              </m:r>
              <m:r>
                <m:rPr>
                  <m:sty m:val="p"/>
                </m:rPr>
                <m:t>−</m:t>
              </m:r>
              <m:r>
                <m:t>0.002</m:t>
              </m:r>
              <m:r>
                <m:rPr>
                  <m:sty m:val="p"/>
                </m:rPr>
                <m:t>,</m:t>
              </m:r>
              <m:r>
                <m:rPr>
                  <m:sty m:val="p"/>
                </m:rPr>
                <m:t>−</m:t>
              </m:r>
              <m:r>
                <m:t>0.002</m:t>
              </m:r>
              <m:r>
                <m:rPr>
                  <m:sty m:val="p"/>
                </m:rPr>
                <m:t>,</m:t>
              </m:r>
              <m:r>
                <m:t>0.007</m:t>
              </m:r>
              <m:r>
                <m:rPr>
                  <m:sty m:val="p"/>
                </m:rPr>
                <m:t>]</m:t>
              </m:r>
            </m:oMath>
          </w:p>
        </w:tc>
      </w:tr>
      <w:tr>
        <w:tc>
          <w:tcPr/>
          <w:p>
            <w:pPr>
              <w:pStyle w:val="Compact"/>
            </w:pPr>
          </w:p>
        </w:tc>
        <w:tc>
          <w:tcPr/>
          <w:p>
            <w:pPr>
              <w:pStyle w:val="Compact"/>
            </w:pPr>
          </w:p>
        </w:tc>
        <w:tc>
          <w:tcPr/>
          <w:p>
            <w:pPr>
              <w:pStyle w:val="Compact"/>
              <w:jc w:val="left"/>
            </w:pPr>
            <m:oMath>
              <m:r>
                <m:t>B</m:t>
              </m:r>
              <m:r>
                <m:rPr>
                  <m:sty m:val="p"/>
                </m:rPr>
                <m:t>=</m:t>
              </m:r>
              <m:r>
                <m:rPr>
                  <m:sty m:val="p"/>
                </m:rPr>
                <m:t>[</m:t>
              </m:r>
              <m:r>
                <m:t>0.000</m:t>
              </m:r>
              <m:r>
                <m:rPr>
                  <m:sty m:val="p"/>
                </m:rPr>
                <m:t>,</m:t>
              </m:r>
              <m:r>
                <m:t>0.164</m:t>
              </m:r>
              <m:r>
                <m:rPr>
                  <m:sty m:val="p"/>
                </m:rPr>
                <m:t>,</m:t>
              </m:r>
              <m:r>
                <m:rPr>
                  <m:sty m:val="p"/>
                </m:rPr>
                <m:t>−</m:t>
              </m:r>
              <m:r>
                <m:t>0.158</m:t>
              </m:r>
              <m:r>
                <m:rPr>
                  <m:sty m:val="p"/>
                </m:rPr>
                <m:t>,</m:t>
              </m:r>
              <m:r>
                <m:rPr>
                  <m:sty m:val="p"/>
                </m:rPr>
                <m:t>−</m:t>
              </m:r>
              <m:r>
                <m:t>0.027</m:t>
              </m:r>
              <m:r>
                <m:rPr>
                  <m:sty m:val="p"/>
                </m:rPr>
                <m:t>,</m:t>
              </m:r>
              <m:r>
                <m:rPr>
                  <m:sty m:val="p"/>
                </m:rPr>
                <m:t>−</m:t>
              </m:r>
              <m:r>
                <m:t>0.009</m:t>
              </m:r>
              <m:r>
                <m:rPr>
                  <m:sty m:val="p"/>
                </m:rPr>
                <m:t>,</m:t>
              </m:r>
              <m:r>
                <m:t>0.012</m:t>
              </m:r>
              <m:r>
                <m:rPr>
                  <m:sty m:val="p"/>
                </m:rPr>
                <m:t>,</m:t>
              </m:r>
              <m:r>
                <m:t>0.018</m:t>
              </m:r>
              <m:r>
                <m:rPr>
                  <m:sty m:val="p"/>
                </m:rPr>
                <m:t>,</m:t>
              </m:r>
              <m:r>
                <m:t>0.011</m:t>
              </m:r>
              <m:r>
                <m:rPr>
                  <m:sty m:val="p"/>
                </m:rPr>
                <m:t>,</m:t>
              </m:r>
              <m:r>
                <m:t>0.003</m:t>
              </m:r>
              <m:r>
                <m:rPr>
                  <m:sty m:val="p"/>
                </m:rPr>
                <m:t>,</m:t>
              </m:r>
              <m:r>
                <m:rPr>
                  <m:sty m:val="p"/>
                </m:rPr>
                <m:t>−</m:t>
              </m:r>
              <m:r>
                <m:t>0.008</m:t>
              </m:r>
              <m:r>
                <m:rPr>
                  <m:sty m:val="p"/>
                </m:rPr>
                <m:t>,</m:t>
              </m:r>
              <m:r>
                <m:rPr>
                  <m:sty m:val="p"/>
                </m:rPr>
                <m:t>−</m:t>
              </m:r>
              <m:r>
                <m:t>0.007</m:t>
              </m:r>
              <m:r>
                <m:rPr>
                  <m:sty m:val="p"/>
                </m:rPr>
                <m:t>,</m:t>
              </m:r>
              <m:r>
                <m:t>0.002</m:t>
              </m:r>
              <m:r>
                <m:rPr>
                  <m:sty m:val="p"/>
                </m:rPr>
                <m:t>,</m:t>
              </m:r>
              <m:r>
                <m:t>0.001</m:t>
              </m:r>
              <m:r>
                <m:rPr>
                  <m:sty m:val="p"/>
                </m:rPr>
                <m:t>,</m:t>
              </m:r>
              <m:r>
                <m:t>0.000</m:t>
              </m:r>
              <m:r>
                <m:rPr>
                  <m:sty m:val="p"/>
                </m:rPr>
                <m:t>,</m:t>
              </m:r>
              <m:r>
                <m:rPr>
                  <m:sty m:val="p"/>
                </m:rPr>
                <m:t>−</m:t>
              </m:r>
              <m:r>
                <m:t>0.002</m:t>
              </m:r>
              <m:r>
                <m:rPr>
                  <m:sty m:val="p"/>
                </m:rPr>
                <m:t>]</m:t>
              </m:r>
            </m:oMath>
          </w:p>
        </w:tc>
      </w:tr>
      <w:tr>
        <w:tc>
          <w:tcPr/>
          <w:p>
            <w:pPr>
              <w:pStyle w:val="Compact"/>
              <w:jc w:val="left"/>
            </w:pPr>
            <w:r>
              <w:t xml:space="preserve">ARMAX-T101</w:t>
            </w:r>
          </w:p>
        </w:tc>
        <w:tc>
          <w:tcPr/>
          <w:p>
            <w:pPr>
              <w:pStyle w:val="Compact"/>
              <w:jc w:val="center"/>
            </w:pPr>
            <w:r>
              <w:t xml:space="preserve">–</w:t>
            </w:r>
          </w:p>
        </w:tc>
        <w:tc>
          <w:tcPr/>
          <w:p>
            <w:pPr>
              <w:pStyle w:val="Compact"/>
              <w:jc w:val="left"/>
            </w:pPr>
            <m:oMath>
              <m:r>
                <m:t>A</m:t>
              </m:r>
              <m:r>
                <m:rPr>
                  <m:sty m:val="p"/>
                </m:rPr>
                <m:t>=</m:t>
              </m:r>
              <m:r>
                <m:rPr>
                  <m:sty m:val="p"/>
                </m:rPr>
                <m:t>[</m:t>
              </m:r>
              <m:r>
                <m:t>1.000</m:t>
              </m:r>
              <m:r>
                <m:rPr>
                  <m:sty m:val="p"/>
                </m:rPr>
                <m:t>,</m:t>
              </m:r>
              <m:r>
                <m:rPr>
                  <m:sty m:val="p"/>
                </m:rPr>
                <m:t>−</m:t>
              </m:r>
              <m:r>
                <m:t>2.486</m:t>
              </m:r>
              <m:r>
                <m:rPr>
                  <m:sty m:val="p"/>
                </m:rPr>
                <m:t>,</m:t>
              </m:r>
              <m:r>
                <m:t>2.019</m:t>
              </m:r>
              <m:r>
                <m:rPr>
                  <m:sty m:val="p"/>
                </m:rPr>
                <m:t>,</m:t>
              </m:r>
              <m:r>
                <m:rPr>
                  <m:sty m:val="p"/>
                </m:rPr>
                <m:t>−</m:t>
              </m:r>
              <m:r>
                <m:t>0.616</m:t>
              </m:r>
              <m:r>
                <m:rPr>
                  <m:sty m:val="p"/>
                </m:rPr>
                <m:t>,</m:t>
              </m:r>
              <m:r>
                <m:t>0.179</m:t>
              </m:r>
              <m:r>
                <m:rPr>
                  <m:sty m:val="p"/>
                </m:rPr>
                <m:t>,</m:t>
              </m:r>
              <m:r>
                <m:rPr>
                  <m:sty m:val="p"/>
                </m:rPr>
                <m:t>−</m:t>
              </m:r>
              <m:r>
                <m:t>0.051</m:t>
              </m:r>
              <m:r>
                <m:rPr>
                  <m:sty m:val="p"/>
                </m:rPr>
                <m:t>,</m:t>
              </m:r>
              <m:r>
                <m:rPr>
                  <m:sty m:val="p"/>
                </m:rPr>
                <m:t>−</m:t>
              </m:r>
              <m:r>
                <m:t>0.050</m:t>
              </m:r>
              <m:r>
                <m:rPr>
                  <m:sty m:val="p"/>
                </m:rPr>
                <m:t>,</m:t>
              </m:r>
              <m:r>
                <m:rPr>
                  <m:sty m:val="p"/>
                </m:rPr>
                <m:t>−</m:t>
              </m:r>
              <m:r>
                <m:t>0.013</m:t>
              </m:r>
              <m:r>
                <m:rPr>
                  <m:sty m:val="p"/>
                </m:rPr>
                <m:t>,</m:t>
              </m:r>
              <m:r>
                <m:t>0.004</m:t>
              </m:r>
              <m:r>
                <m:rPr>
                  <m:sty m:val="p"/>
                </m:rPr>
                <m:t>,</m:t>
              </m:r>
              <m:r>
                <m:rPr>
                  <m:sty m:val="p"/>
                </m:rPr>
                <m:t>−</m:t>
              </m:r>
              <m:r>
                <m:t>0.015</m:t>
              </m:r>
              <m:r>
                <m:rPr>
                  <m:sty m:val="p"/>
                </m:rPr>
                <m:t>,</m:t>
              </m:r>
              <m:r>
                <m:t>0.054</m:t>
              </m:r>
              <m:r>
                <m:rPr>
                  <m:sty m:val="p"/>
                </m:rPr>
                <m:t>,</m:t>
              </m:r>
              <m:r>
                <m:rPr>
                  <m:sty m:val="p"/>
                </m:rPr>
                <m:t>−</m:t>
              </m:r>
              <m:r>
                <m:t>0.021</m:t>
              </m:r>
              <m:r>
                <m:rPr>
                  <m:sty m:val="p"/>
                </m:rPr>
                <m:t>,</m:t>
              </m:r>
              <m:r>
                <m:rPr>
                  <m:sty m:val="p"/>
                </m:rPr>
                <m:t>−</m:t>
              </m:r>
              <m:r>
                <m:t>0.005</m:t>
              </m:r>
              <m:r>
                <m:rPr>
                  <m:sty m:val="p"/>
                </m:rPr>
                <m:t>,</m:t>
              </m:r>
              <m:r>
                <m:t>0.002</m:t>
              </m:r>
              <m:r>
                <m:rPr>
                  <m:sty m:val="p"/>
                </m:rPr>
                <m:t>,</m:t>
              </m:r>
              <m:r>
                <m:rPr>
                  <m:sty m:val="p"/>
                </m:rPr>
                <m:t>−</m:t>
              </m:r>
              <m:r>
                <m:t>0.000</m:t>
              </m:r>
              <m:r>
                <m:rPr>
                  <m:sty m:val="p"/>
                </m:rPr>
                <m:t>]</m:t>
              </m:r>
            </m:oMath>
          </w:p>
        </w:tc>
      </w:tr>
      <w:tr>
        <w:tc>
          <w:tcPr/>
          <w:p>
            <w:pPr>
              <w:pStyle w:val="Compact"/>
            </w:pPr>
          </w:p>
        </w:tc>
        <w:tc>
          <w:tcPr/>
          <w:p>
            <w:pPr>
              <w:pStyle w:val="Compact"/>
            </w:pPr>
          </w:p>
        </w:tc>
        <w:tc>
          <w:tcPr/>
          <w:p>
            <w:pPr>
              <w:pStyle w:val="Compact"/>
              <w:jc w:val="left"/>
            </w:pPr>
            <m:oMath>
              <m:r>
                <m:t>B</m:t>
              </m:r>
              <m:r>
                <m:rPr>
                  <m:sty m:val="p"/>
                </m:rPr>
                <m:t>=</m:t>
              </m:r>
              <m:r>
                <m:rPr>
                  <m:sty m:val="p"/>
                </m:rPr>
                <m:t>[</m:t>
              </m:r>
              <m:r>
                <m:t>0.000</m:t>
              </m:r>
              <m:r>
                <m:rPr>
                  <m:sty m:val="p"/>
                </m:rPr>
                <m:t>,</m:t>
              </m:r>
              <m:r>
                <m:t>0.164</m:t>
              </m:r>
              <m:r>
                <m:rPr>
                  <m:sty m:val="p"/>
                </m:rPr>
                <m:t>,</m:t>
              </m:r>
              <m:r>
                <m:rPr>
                  <m:sty m:val="p"/>
                </m:rPr>
                <m:t>−</m:t>
              </m:r>
              <m:r>
                <m:t>0.343</m:t>
              </m:r>
              <m:r>
                <m:rPr>
                  <m:sty m:val="p"/>
                </m:rPr>
                <m:t>,</m:t>
              </m:r>
              <m:r>
                <m:t>0.199</m:t>
              </m:r>
              <m:r>
                <m:rPr>
                  <m:sty m:val="p"/>
                </m:rPr>
                <m:t>,</m:t>
              </m:r>
              <m:r>
                <m:rPr>
                  <m:sty m:val="p"/>
                </m:rPr>
                <m:t>−</m:t>
              </m:r>
              <m:r>
                <m:t>0.024</m:t>
              </m:r>
              <m:r>
                <m:rPr>
                  <m:sty m:val="p"/>
                </m:rPr>
                <m:t>,</m:t>
              </m:r>
              <m:r>
                <m:t>0.014</m:t>
              </m:r>
              <m:r>
                <m:rPr>
                  <m:sty m:val="p"/>
                </m:rPr>
                <m:t>,</m:t>
              </m:r>
              <m:r>
                <m:t>0.002</m:t>
              </m:r>
              <m:r>
                <m:rPr>
                  <m:sty m:val="p"/>
                </m:rPr>
                <m:t>,</m:t>
              </m:r>
              <m:r>
                <m:rPr>
                  <m:sty m:val="p"/>
                </m:rPr>
                <m:t>−</m:t>
              </m:r>
              <m:r>
                <m:t>0.006</m:t>
              </m:r>
              <m:r>
                <m:rPr>
                  <m:sty m:val="p"/>
                </m:rPr>
                <m:t>,</m:t>
              </m:r>
              <m:r>
                <m:rPr>
                  <m:sty m:val="p"/>
                </m:rPr>
                <m:t>−</m:t>
              </m:r>
              <m:r>
                <m:t>0.005</m:t>
              </m:r>
              <m:r>
                <m:rPr>
                  <m:sty m:val="p"/>
                </m:rPr>
                <m:t>,</m:t>
              </m:r>
              <m:r>
                <m:rPr>
                  <m:sty m:val="p"/>
                </m:rPr>
                <m:t>−</m:t>
              </m:r>
              <m:r>
                <m:t>0.008</m:t>
              </m:r>
              <m:r>
                <m:rPr>
                  <m:sty m:val="p"/>
                </m:rPr>
                <m:t>,</m:t>
              </m:r>
              <m:r>
                <m:t>0.003</m:t>
              </m:r>
              <m:r>
                <m:rPr>
                  <m:sty m:val="p"/>
                </m:rPr>
                <m:t>,</m:t>
              </m:r>
              <m:r>
                <m:t>0.007</m:t>
              </m:r>
              <m:r>
                <m:rPr>
                  <m:sty m:val="p"/>
                </m:rPr>
                <m:t>,</m:t>
              </m:r>
              <m:r>
                <m:rPr>
                  <m:sty m:val="p"/>
                </m:rPr>
                <m:t>−</m:t>
              </m:r>
              <m:r>
                <m:t>0.001</m:t>
              </m:r>
              <m:r>
                <m:rPr>
                  <m:sty m:val="p"/>
                </m:rPr>
                <m:t>,</m:t>
              </m:r>
              <m:r>
                <m:rPr>
                  <m:sty m:val="p"/>
                </m:rPr>
                <m:t>−</m:t>
              </m:r>
              <m:r>
                <m:t>0.001</m:t>
              </m:r>
              <m:r>
                <m:rPr>
                  <m:sty m:val="p"/>
                </m:rPr>
                <m:t>,</m:t>
              </m:r>
              <m:r>
                <m:rPr>
                  <m:sty m:val="p"/>
                </m:rPr>
                <m:t>−</m:t>
              </m:r>
              <m:r>
                <m:t>0.001</m:t>
              </m:r>
              <m:r>
                <m:rPr>
                  <m:sty m:val="p"/>
                </m:rPr>
                <m:t>]</m:t>
              </m:r>
            </m:oMath>
          </w:p>
        </w:tc>
      </w:tr>
      <w:tr>
        <w:tc>
          <w:tcPr/>
          <w:p>
            <w:pPr>
              <w:pStyle w:val="Compact"/>
            </w:pPr>
          </w:p>
        </w:tc>
        <w:tc>
          <w:tcPr/>
          <w:p>
            <w:pPr>
              <w:pStyle w:val="Compact"/>
            </w:pPr>
          </w:p>
        </w:tc>
        <w:tc>
          <w:tcPr/>
          <w:p>
            <w:pPr>
              <w:pStyle w:val="Compact"/>
              <w:jc w:val="left"/>
            </w:pPr>
            <m:oMath>
              <m:r>
                <m:t>C</m:t>
              </m:r>
              <m:r>
                <m:rPr>
                  <m:sty m:val="p"/>
                </m:rPr>
                <m:t>=</m:t>
              </m:r>
              <m:r>
                <m:rPr>
                  <m:sty m:val="p"/>
                </m:rPr>
                <m:t>[</m:t>
              </m:r>
              <m:r>
                <m:t>1.000</m:t>
              </m:r>
              <m:r>
                <m:rPr>
                  <m:sty m:val="p"/>
                </m:rPr>
                <m:t>,</m:t>
              </m:r>
              <m:r>
                <m:rPr>
                  <m:sty m:val="p"/>
                </m:rPr>
                <m:t>−</m:t>
              </m:r>
              <m:r>
                <m:t>1.133</m:t>
              </m:r>
              <m:r>
                <m:rPr>
                  <m:sty m:val="p"/>
                </m:rPr>
                <m:t>,</m:t>
              </m:r>
              <m:r>
                <m:t>0.288</m:t>
              </m:r>
              <m:r>
                <m:rPr>
                  <m:sty m:val="p"/>
                </m:rPr>
                <m:t>]</m:t>
              </m:r>
            </m:oMath>
          </w:p>
        </w:tc>
      </w:tr>
    </w:tbl>
    <w:bookmarkEnd w:id="93"/>
    <w:bookmarkStart w:id="94" w:name="tab:T102"/>
    <w:p>
      <w:pPr>
        <w:pStyle w:val="TableCaption"/>
      </w:pPr>
      <w:r>
        <w:t xml:space="preserve">Parámetros de modelos de subrogación para T-102</w:t>
      </w:r>
    </w:p>
    <w:tbl>
      <w:tblPr>
        <w:tblStyle w:val="Table"/>
        <w:tblW w:type="auto" w:w="0"/>
        <w:tblLook w:firstRow="1" w:lastRow="0" w:firstColumn="0" w:lastColumn="0" w:noHBand="0" w:noVBand="0" w:val="0020"/>
        <w:tblCaption w:val="Parámetros de modelos de subrogación para T-102"/>
      </w:tblPr>
      <w:tblGrid>
        <w:gridCol w:w="2640"/>
        <w:gridCol w:w="2640"/>
        <w:gridCol w:w="2640"/>
      </w:tblGrid>
      <w:tr>
        <w:trPr>
          <w:tblHeader w:val="on"/>
        </w:trPr>
        <w:tc>
          <w:tcPr/>
          <w:p>
            <w:pPr>
              <w:pStyle w:val="Compact"/>
              <w:jc w:val="left"/>
            </w:pPr>
            <w:r>
              <w:rPr>
                <w:b/>
                <w:bCs/>
              </w:rPr>
              <w:t xml:space="preserve">Modelo</w:t>
            </w:r>
          </w:p>
        </w:tc>
        <w:tc>
          <w:tcPr/>
          <w:p>
            <w:pPr>
              <w:pStyle w:val="Compact"/>
              <w:jc w:val="center"/>
            </w:pPr>
            <w:r>
              <w:rPr>
                <w:b/>
                <w:bCs/>
              </w:rPr>
              <w:t xml:space="preserve">Entrada</w:t>
            </w:r>
          </w:p>
        </w:tc>
        <w:tc>
          <w:tcPr/>
          <w:p>
            <w:pPr>
              <w:pStyle w:val="Compact"/>
              <w:jc w:val="left"/>
            </w:pPr>
            <w:r>
              <w:rPr>
                <w:b/>
                <w:bCs/>
              </w:rPr>
              <w:t xml:space="preserve">Parámetros</w:t>
            </w:r>
          </w:p>
        </w:tc>
      </w:tr>
      <w:tr>
        <w:tc>
          <w:tcPr/>
          <w:p>
            <w:pPr>
              <w:pStyle w:val="Compact"/>
              <w:jc w:val="left"/>
            </w:pPr>
            <w:r>
              <w:t xml:space="preserve">SS-T102</w:t>
            </w:r>
          </w:p>
        </w:tc>
        <w:tc>
          <w:tcPr/>
          <w:p>
            <w:pPr>
              <w:pStyle w:val="Compact"/>
              <w:jc w:val="center"/>
            </w:pPr>
            <w:r>
              <w:t xml:space="preserve">–</w:t>
            </w:r>
          </w:p>
        </w:tc>
        <w:tc>
          <w:tcPr/>
          <w:p>
            <w:pPr>
              <w:pStyle w:val="Compact"/>
              <w:jc w:val="left"/>
            </w:pPr>
            <m:oMath>
              <m:r>
                <m:t>A</m:t>
              </m:r>
              <m:r>
                <m:rPr>
                  <m:sty m:val="p"/>
                </m:rPr>
                <m:t>=</m:t>
              </m:r>
              <m:r>
                <m:rPr>
                  <m:sty m:val="p"/>
                </m:rPr>
                <m:t>[</m:t>
              </m:r>
              <m:r>
                <m:rPr>
                  <m:sty m:val="p"/>
                </m:rPr>
                <m:t>−</m:t>
              </m:r>
              <m:r>
                <m:t>12.31</m:t>
              </m:r>
              <m:r>
                <m:rPr>
                  <m:sty m:val="p"/>
                </m:rPr>
                <m:t>,</m:t>
              </m:r>
              <m:r>
                <m:rPr>
                  <m:sty m:val="p"/>
                </m:rPr>
                <m:t>−</m:t>
              </m:r>
              <m:r>
                <m:t>3.067</m:t>
              </m:r>
              <m:r>
                <m:rPr>
                  <m:sty m:val="p"/>
                </m:rPr>
                <m:t>,</m:t>
              </m:r>
              <m:r>
                <m:t>7.829</m:t>
              </m:r>
              <m:r>
                <m:rPr>
                  <m:sty m:val="p"/>
                </m:rPr>
                <m:t>,</m:t>
              </m:r>
              <m:r>
                <m:rPr>
                  <m:sty m:val="p"/>
                </m:rPr>
                <m:t>−</m:t>
              </m:r>
              <m:r>
                <m:t>8.206</m:t>
              </m:r>
              <m:r>
                <m:rPr>
                  <m:sty m:val="p"/>
                </m:rPr>
                <m:t>,</m:t>
              </m:r>
              <m:r>
                <m:rPr>
                  <m:sty m:val="p"/>
                </m:rPr>
                <m:t>−</m:t>
              </m:r>
              <m:r>
                <m:t>13.97</m:t>
              </m:r>
              <m:r>
                <m:rPr>
                  <m:sty m:val="p"/>
                </m:rPr>
                <m:t>,</m:t>
              </m:r>
              <m:r>
                <m:rPr>
                  <m:sty m:val="p"/>
                </m:rPr>
                <m:t>−</m:t>
              </m:r>
              <m:r>
                <m:t>8.776</m:t>
              </m:r>
              <m:r>
                <m:rPr>
                  <m:sty m:val="p"/>
                </m:rPr>
                <m:t>,</m:t>
              </m:r>
              <m:r>
                <m:rPr>
                  <m:sty m:val="p"/>
                </m:rPr>
                <m:t>−</m:t>
              </m:r>
              <m:r>
                <m:t>6.807</m:t>
              </m:r>
              <m:r>
                <m:rPr>
                  <m:sty m:val="p"/>
                </m:rPr>
                <m:t>,</m:t>
              </m:r>
              <m:r>
                <m:t>5.213</m:t>
              </m:r>
              <m:r>
                <m:rPr>
                  <m:sty m:val="p"/>
                </m:rPr>
                <m:t>]</m:t>
              </m:r>
            </m:oMath>
          </w:p>
        </w:tc>
      </w:tr>
      <w:tr>
        <w:tc>
          <w:tcPr/>
          <w:p>
            <w:pPr>
              <w:pStyle w:val="Compact"/>
            </w:pPr>
          </w:p>
        </w:tc>
        <w:tc>
          <w:tcPr/>
          <w:p>
            <w:pPr>
              <w:pStyle w:val="Compact"/>
            </w:pPr>
          </w:p>
        </w:tc>
        <w:tc>
          <w:tcPr/>
          <w:p>
            <w:pPr>
              <w:pStyle w:val="Compact"/>
              <w:jc w:val="left"/>
            </w:pPr>
            <m:oMath>
              <m:r>
                <m:t>B</m:t>
              </m:r>
              <m:r>
                <m:rPr>
                  <m:sty m:val="p"/>
                </m:rPr>
                <m:t>=</m:t>
              </m:r>
              <m:r>
                <m:rPr>
                  <m:sty m:val="p"/>
                </m:rPr>
                <m:t>[</m:t>
              </m:r>
              <m:r>
                <m:rPr>
                  <m:sty m:val="p"/>
                </m:rPr>
                <m:t>−</m:t>
              </m:r>
              <m:r>
                <m:t>0.7859</m:t>
              </m:r>
              <m:r>
                <m:rPr>
                  <m:sty m:val="p"/>
                </m:rPr>
                <m:t>,</m:t>
              </m:r>
              <m:r>
                <m:rPr>
                  <m:sty m:val="p"/>
                </m:rPr>
                <m:t>−</m:t>
              </m:r>
              <m:r>
                <m:t>0.3498</m:t>
              </m:r>
              <m:r>
                <m:rPr>
                  <m:sty m:val="p"/>
                </m:rPr>
                <m:t>,</m:t>
              </m:r>
              <m:r>
                <m:t>19.37</m:t>
              </m:r>
              <m:r>
                <m:rPr>
                  <m:sty m:val="p"/>
                </m:rPr>
                <m:t>,</m:t>
              </m:r>
              <m:r>
                <m:rPr>
                  <m:sty m:val="p"/>
                </m:rPr>
                <m:t>−</m:t>
              </m:r>
              <m:r>
                <m:t>3.938</m:t>
              </m:r>
              <m:r>
                <m:rPr>
                  <m:sty m:val="p"/>
                </m:rPr>
                <m:t>,</m:t>
              </m:r>
              <m:r>
                <m:rPr>
                  <m:sty m:val="p"/>
                </m:rPr>
                <m:t>−</m:t>
              </m:r>
              <m:r>
                <m:t>7.507</m:t>
              </m:r>
              <m:r>
                <m:rPr>
                  <m:sty m:val="p"/>
                </m:rPr>
                <m:t>,</m:t>
              </m:r>
              <m:r>
                <m:rPr>
                  <m:sty m:val="p"/>
                </m:rPr>
                <m:t>−</m:t>
              </m:r>
              <m:r>
                <m:t>2.394</m:t>
              </m:r>
              <m:r>
                <m:rPr>
                  <m:sty m:val="p"/>
                </m:rPr>
                <m:t>,</m:t>
              </m:r>
              <m:r>
                <m:t>1.11</m:t>
              </m:r>
              <m:r>
                <m:rPr>
                  <m:sty m:val="p"/>
                </m:rPr>
                <m:t>,</m:t>
              </m:r>
              <m:r>
                <m:rPr>
                  <m:sty m:val="p"/>
                </m:rPr>
                <m:t>−</m:t>
              </m:r>
              <m:r>
                <m:t>0.09381</m:t>
              </m:r>
              <m:r>
                <m:rPr>
                  <m:sty m:val="p"/>
                </m:rPr>
                <m:t>]</m:t>
              </m:r>
            </m:oMath>
          </w:p>
        </w:tc>
      </w:tr>
      <w:tr>
        <w:tc>
          <w:tcPr/>
          <w:p>
            <w:pPr>
              <w:pStyle w:val="Compact"/>
            </w:pPr>
          </w:p>
        </w:tc>
        <w:tc>
          <w:tcPr/>
          <w:p>
            <w:pPr>
              <w:pStyle w:val="Compact"/>
            </w:pPr>
          </w:p>
        </w:tc>
        <w:tc>
          <w:tcPr/>
          <w:p>
            <w:pPr>
              <w:pStyle w:val="Compact"/>
              <w:jc w:val="left"/>
            </w:pPr>
            <m:oMath>
              <m:r>
                <m:t>C</m:t>
              </m:r>
              <m:r>
                <m:rPr>
                  <m:sty m:val="p"/>
                </m:rPr>
                <m:t>=</m:t>
              </m:r>
              <m:r>
                <m:rPr>
                  <m:sty m:val="p"/>
                </m:rPr>
                <m:t>[</m:t>
              </m:r>
              <m:r>
                <m:rPr>
                  <m:sty m:val="p"/>
                </m:rPr>
                <m:t>−</m:t>
              </m:r>
              <m:r>
                <m:t>7.394</m:t>
              </m:r>
              <m:r>
                <m:rPr>
                  <m:sty m:val="p"/>
                </m:rPr>
                <m:t>,</m:t>
              </m:r>
              <m:r>
                <m:rPr>
                  <m:sty m:val="p"/>
                </m:rPr>
                <m:t>−</m:t>
              </m:r>
              <m:r>
                <m:t>19</m:t>
              </m:r>
              <m:r>
                <m:rPr>
                  <m:sty m:val="p"/>
                </m:rPr>
                <m:t>,</m:t>
              </m:r>
              <m:r>
                <m:t>0.3128</m:t>
              </m:r>
              <m:r>
                <m:rPr>
                  <m:sty m:val="p"/>
                </m:rPr>
                <m:t>,</m:t>
              </m:r>
              <m:r>
                <m:t>13.91</m:t>
              </m:r>
              <m:r>
                <m:rPr>
                  <m:sty m:val="p"/>
                </m:rPr>
                <m:t>,</m:t>
              </m:r>
              <m:r>
                <m:t>22.35</m:t>
              </m:r>
              <m:r>
                <m:rPr>
                  <m:sty m:val="p"/>
                </m:rPr>
                <m:t>,</m:t>
              </m:r>
              <m:r>
                <m:t>7.993</m:t>
              </m:r>
              <m:r>
                <m:rPr>
                  <m:sty m:val="p"/>
                </m:rPr>
                <m:t>,</m:t>
              </m:r>
              <m:r>
                <m:t>10.39</m:t>
              </m:r>
              <m:r>
                <m:rPr>
                  <m:sty m:val="p"/>
                </m:rPr>
                <m:t>,</m:t>
              </m:r>
              <m:r>
                <m:rPr>
                  <m:sty m:val="p"/>
                </m:rPr>
                <m:t>−</m:t>
              </m:r>
              <m:r>
                <m:t>5.793</m:t>
              </m:r>
              <m:r>
                <m:rPr>
                  <m:sty m:val="p"/>
                </m:rPr>
                <m:t>]</m:t>
              </m:r>
            </m:oMath>
          </w:p>
        </w:tc>
      </w:tr>
      <w:tr>
        <w:tc>
          <w:tcPr/>
          <w:p>
            <w:pPr>
              <w:pStyle w:val="Compact"/>
              <w:jc w:val="left"/>
            </w:pPr>
            <w:r>
              <w:t xml:space="preserve">ARX-T102</w:t>
            </w:r>
          </w:p>
        </w:tc>
        <w:tc>
          <w:tcPr/>
          <w:p>
            <w:pPr>
              <w:pStyle w:val="Compact"/>
              <w:jc w:val="center"/>
            </w:pPr>
            <w:r>
              <w:t xml:space="preserve">–</w:t>
            </w:r>
          </w:p>
        </w:tc>
        <w:tc>
          <w:tcPr/>
          <w:p>
            <w:pPr>
              <w:pStyle w:val="Compact"/>
              <w:jc w:val="left"/>
            </w:pPr>
            <m:oMath>
              <m:r>
                <m:t>A</m:t>
              </m:r>
              <m:r>
                <m:rPr>
                  <m:sty m:val="p"/>
                </m:rPr>
                <m:t>=</m:t>
              </m:r>
              <m:r>
                <m:rPr>
                  <m:sty m:val="p"/>
                </m:rPr>
                <m:t>[</m:t>
              </m:r>
              <m:r>
                <m:t>1.000</m:t>
              </m:r>
              <m:r>
                <m:rPr>
                  <m:sty m:val="p"/>
                </m:rPr>
                <m:t>,</m:t>
              </m:r>
              <m:r>
                <m:rPr>
                  <m:sty m:val="p"/>
                </m:rPr>
                <m:t>−</m:t>
              </m:r>
              <m:r>
                <m:t>1.756</m:t>
              </m:r>
              <m:r>
                <m:rPr>
                  <m:sty m:val="p"/>
                </m:rPr>
                <m:t>,</m:t>
              </m:r>
              <m:r>
                <m:t>0.895</m:t>
              </m:r>
              <m:r>
                <m:rPr>
                  <m:sty m:val="p"/>
                </m:rPr>
                <m:t>,</m:t>
              </m:r>
              <m:r>
                <m:rPr>
                  <m:sty m:val="p"/>
                </m:rPr>
                <m:t>−</m:t>
              </m:r>
              <m:r>
                <m:t>0.162</m:t>
              </m:r>
              <m:r>
                <m:rPr>
                  <m:sty m:val="p"/>
                </m:rPr>
                <m:t>,</m:t>
              </m:r>
              <m:r>
                <m:t>0.208</m:t>
              </m:r>
              <m:r>
                <m:rPr>
                  <m:sty m:val="p"/>
                </m:rPr>
                <m:t>,</m:t>
              </m:r>
              <m:r>
                <m:rPr>
                  <m:sty m:val="p"/>
                </m:rPr>
                <m:t>−</m:t>
              </m:r>
              <m:r>
                <m:t>0.086</m:t>
              </m:r>
              <m:r>
                <m:rPr>
                  <m:sty m:val="p"/>
                </m:rPr>
                <m:t>,</m:t>
              </m:r>
              <m:r>
                <m:rPr>
                  <m:sty m:val="p"/>
                </m:rPr>
                <m:t>−</m:t>
              </m:r>
              <m:r>
                <m:t>0.304</m:t>
              </m:r>
              <m:r>
                <m:rPr>
                  <m:sty m:val="p"/>
                </m:rPr>
                <m:t>,</m:t>
              </m:r>
              <m:r>
                <m:t>0.270</m:t>
              </m:r>
              <m:r>
                <m:rPr>
                  <m:sty m:val="p"/>
                </m:rPr>
                <m:t>,</m:t>
              </m:r>
              <m:r>
                <m:rPr>
                  <m:sty m:val="p"/>
                </m:rPr>
                <m:t>−</m:t>
              </m:r>
              <m:r>
                <m:t>0.064</m:t>
              </m:r>
              <m:r>
                <m:rPr>
                  <m:sty m:val="p"/>
                </m:rPr>
                <m:t>,</m:t>
              </m:r>
              <m:r>
                <m:t>0.060</m:t>
              </m:r>
              <m:r>
                <m:rPr>
                  <m:sty m:val="p"/>
                </m:rPr>
                <m:t>,</m:t>
              </m:r>
              <m:r>
                <m:rPr>
                  <m:sty m:val="p"/>
                </m:rPr>
                <m:t>−</m:t>
              </m:r>
              <m:r>
                <m:t>0.093</m:t>
              </m:r>
              <m:r>
                <m:rPr>
                  <m:sty m:val="p"/>
                </m:rPr>
                <m:t>,</m:t>
              </m:r>
              <m:r>
                <m:t>0.000</m:t>
              </m:r>
              <m:r>
                <m:rPr>
                  <m:sty m:val="p"/>
                </m:rPr>
                <m:t>,</m:t>
              </m:r>
              <m:r>
                <m:t>0.058</m:t>
              </m:r>
              <m:r>
                <m:rPr>
                  <m:sty m:val="p"/>
                </m:rPr>
                <m:t>,</m:t>
              </m:r>
              <m:r>
                <m:rPr>
                  <m:sty m:val="p"/>
                </m:rPr>
                <m:t>−</m:t>
              </m:r>
              <m:r>
                <m:t>0.039</m:t>
              </m:r>
              <m:r>
                <m:rPr>
                  <m:sty m:val="p"/>
                </m:rPr>
                <m:t>,</m:t>
              </m:r>
              <m:r>
                <m:t>0.012</m:t>
              </m:r>
              <m:r>
                <m:rPr>
                  <m:sty m:val="p"/>
                </m:rPr>
                <m:t>]</m:t>
              </m:r>
            </m:oMath>
          </w:p>
        </w:tc>
      </w:tr>
      <w:tr>
        <w:tc>
          <w:tcPr/>
          <w:p>
            <w:pPr>
              <w:pStyle w:val="Compact"/>
            </w:pPr>
          </w:p>
        </w:tc>
        <w:tc>
          <w:tcPr/>
          <w:p>
            <w:pPr>
              <w:pStyle w:val="Compact"/>
            </w:pPr>
          </w:p>
        </w:tc>
        <w:tc>
          <w:tcPr/>
          <w:p>
            <w:pPr>
              <w:pStyle w:val="Compact"/>
              <w:jc w:val="left"/>
            </w:pPr>
            <m:oMath>
              <m:r>
                <m:t>B</m:t>
              </m:r>
              <m:r>
                <m:rPr>
                  <m:sty m:val="p"/>
                </m:rPr>
                <m:t>=</m:t>
              </m:r>
              <m:r>
                <m:rPr>
                  <m:sty m:val="p"/>
                </m:rPr>
                <m:t>[</m:t>
              </m:r>
              <m:r>
                <m:t>0.000</m:t>
              </m:r>
              <m:r>
                <m:rPr>
                  <m:sty m:val="p"/>
                </m:rPr>
                <m:t>,</m:t>
              </m:r>
              <m:r>
                <m:t>0.310</m:t>
              </m:r>
              <m:r>
                <m:rPr>
                  <m:sty m:val="p"/>
                </m:rPr>
                <m:t>,</m:t>
              </m:r>
              <m:r>
                <m:rPr>
                  <m:sty m:val="p"/>
                </m:rPr>
                <m:t>−</m:t>
              </m:r>
              <m:r>
                <m:t>0.411</m:t>
              </m:r>
              <m:r>
                <m:rPr>
                  <m:sty m:val="p"/>
                </m:rPr>
                <m:t>,</m:t>
              </m:r>
              <m:r>
                <m:t>0.085</m:t>
              </m:r>
              <m:r>
                <m:rPr>
                  <m:sty m:val="p"/>
                </m:rPr>
                <m:t>,</m:t>
              </m:r>
              <m:r>
                <m:t>0.018</m:t>
              </m:r>
              <m:r>
                <m:rPr>
                  <m:sty m:val="p"/>
                </m:rPr>
                <m:t>,</m:t>
              </m:r>
              <m:r>
                <m:t>0.115</m:t>
              </m:r>
              <m:r>
                <m:rPr>
                  <m:sty m:val="p"/>
                </m:rPr>
                <m:t>,</m:t>
              </m:r>
              <m:r>
                <m:rPr>
                  <m:sty m:val="p"/>
                </m:rPr>
                <m:t>−</m:t>
              </m:r>
              <m:r>
                <m:t>0.002</m:t>
              </m:r>
              <m:r>
                <m:rPr>
                  <m:sty m:val="p"/>
                </m:rPr>
                <m:t>,</m:t>
              </m:r>
              <m:r>
                <m:rPr>
                  <m:sty m:val="p"/>
                </m:rPr>
                <m:t>−</m:t>
              </m:r>
              <m:r>
                <m:t>0.174</m:t>
              </m:r>
              <m:r>
                <m:rPr>
                  <m:sty m:val="p"/>
                </m:rPr>
                <m:t>,</m:t>
              </m:r>
              <m:r>
                <m:t>0.054</m:t>
              </m:r>
              <m:r>
                <m:rPr>
                  <m:sty m:val="p"/>
                </m:rPr>
                <m:t>,</m:t>
              </m:r>
              <m:r>
                <m:t>0.016</m:t>
              </m:r>
              <m:r>
                <m:rPr>
                  <m:sty m:val="p"/>
                </m:rPr>
                <m:t>,</m:t>
              </m:r>
              <m:r>
                <m:t>0.035</m:t>
              </m:r>
              <m:r>
                <m:rPr>
                  <m:sty m:val="p"/>
                </m:rPr>
                <m:t>,</m:t>
              </m:r>
              <m:r>
                <m:rPr>
                  <m:sty m:val="p"/>
                </m:rPr>
                <m:t>−</m:t>
              </m:r>
              <m:r>
                <m:t>0.036</m:t>
              </m:r>
              <m:r>
                <m:rPr>
                  <m:sty m:val="p"/>
                </m:rPr>
                <m:t>,</m:t>
              </m:r>
              <m:r>
                <m:rPr>
                  <m:sty m:val="p"/>
                </m:rPr>
                <m:t>−</m:t>
              </m:r>
              <m:r>
                <m:t>0.024</m:t>
              </m:r>
              <m:r>
                <m:rPr>
                  <m:sty m:val="p"/>
                </m:rPr>
                <m:t>,</m:t>
              </m:r>
              <m:r>
                <m:t>0.021</m:t>
              </m:r>
              <m:r>
                <m:rPr>
                  <m:sty m:val="p"/>
                </m:rPr>
                <m:t>,</m:t>
              </m:r>
              <m:r>
                <m:rPr>
                  <m:sty m:val="p"/>
                </m:rPr>
                <m:t>−</m:t>
              </m:r>
              <m:r>
                <m:t>0.008</m:t>
              </m:r>
              <m:r>
                <m:rPr>
                  <m:sty m:val="p"/>
                </m:rPr>
                <m:t>]</m:t>
              </m:r>
            </m:oMath>
          </w:p>
        </w:tc>
      </w:tr>
      <w:tr>
        <w:tc>
          <w:tcPr/>
          <w:p>
            <w:pPr>
              <w:pStyle w:val="Compact"/>
              <w:jc w:val="left"/>
            </w:pPr>
            <w:r>
              <w:t xml:space="preserve">ARMAX-T102</w:t>
            </w:r>
          </w:p>
        </w:tc>
        <w:tc>
          <w:tcPr/>
          <w:p>
            <w:pPr>
              <w:pStyle w:val="Compact"/>
              <w:jc w:val="center"/>
            </w:pPr>
            <w:r>
              <w:t xml:space="preserve">–</w:t>
            </w:r>
          </w:p>
        </w:tc>
        <w:tc>
          <w:tcPr/>
          <w:p>
            <w:pPr>
              <w:pStyle w:val="Compact"/>
              <w:jc w:val="left"/>
            </w:pPr>
            <m:oMath>
              <m:r>
                <m:t>A</m:t>
              </m:r>
              <m:r>
                <m:rPr>
                  <m:sty m:val="p"/>
                </m:rPr>
                <m:t>=</m:t>
              </m:r>
              <m:r>
                <m:rPr>
                  <m:sty m:val="p"/>
                </m:rPr>
                <m:t>[</m:t>
              </m:r>
              <m:r>
                <m:t>1.000</m:t>
              </m:r>
              <m:r>
                <m:rPr>
                  <m:sty m:val="p"/>
                </m:rPr>
                <m:t>,</m:t>
              </m:r>
              <m:r>
                <m:rPr>
                  <m:sty m:val="p"/>
                </m:rPr>
                <m:t>−</m:t>
              </m:r>
              <m:r>
                <m:t>2.185</m:t>
              </m:r>
              <m:r>
                <m:rPr>
                  <m:sty m:val="p"/>
                </m:rPr>
                <m:t>,</m:t>
              </m:r>
              <m:r>
                <m:t>2.223</m:t>
              </m:r>
              <m:r>
                <m:rPr>
                  <m:sty m:val="p"/>
                </m:rPr>
                <m:t>,</m:t>
              </m:r>
              <m:r>
                <m:rPr>
                  <m:sty m:val="p"/>
                </m:rPr>
                <m:t>−</m:t>
              </m:r>
              <m:r>
                <m:t>1.556</m:t>
              </m:r>
              <m:r>
                <m:rPr>
                  <m:sty m:val="p"/>
                </m:rPr>
                <m:t>,</m:t>
              </m:r>
              <m:r>
                <m:t>0.797</m:t>
              </m:r>
              <m:r>
                <m:rPr>
                  <m:sty m:val="p"/>
                </m:rPr>
                <m:t>,</m:t>
              </m:r>
              <m:r>
                <m:rPr>
                  <m:sty m:val="p"/>
                </m:rPr>
                <m:t>−</m:t>
              </m:r>
              <m:r>
                <m:t>0.272</m:t>
              </m:r>
              <m:r>
                <m:rPr>
                  <m:sty m:val="p"/>
                </m:rPr>
                <m:t>,</m:t>
              </m:r>
              <m:r>
                <m:rPr>
                  <m:sty m:val="p"/>
                </m:rPr>
                <m:t>−</m:t>
              </m:r>
              <m:r>
                <m:t>0.152</m:t>
              </m:r>
              <m:r>
                <m:rPr>
                  <m:sty m:val="p"/>
                </m:rPr>
                <m:t>,</m:t>
              </m:r>
              <m:r>
                <m:t>0.339</m:t>
              </m:r>
              <m:r>
                <m:rPr>
                  <m:sty m:val="p"/>
                </m:rPr>
                <m:t>,</m:t>
              </m:r>
              <m:r>
                <m:rPr>
                  <m:sty m:val="p"/>
                </m:rPr>
                <m:t>−</m:t>
              </m:r>
              <m:r>
                <m:t>0.321</m:t>
              </m:r>
              <m:r>
                <m:rPr>
                  <m:sty m:val="p"/>
                </m:rPr>
                <m:t>,</m:t>
              </m:r>
              <m:r>
                <m:t>0.225</m:t>
              </m:r>
              <m:r>
                <m:rPr>
                  <m:sty m:val="p"/>
                </m:rPr>
                <m:t>,</m:t>
              </m:r>
              <m:r>
                <m:rPr>
                  <m:sty m:val="p"/>
                </m:rPr>
                <m:t>−</m:t>
              </m:r>
              <m:r>
                <m:t>0.154</m:t>
              </m:r>
              <m:r>
                <m:rPr>
                  <m:sty m:val="p"/>
                </m:rPr>
                <m:t>,</m:t>
              </m:r>
              <m:r>
                <m:t>0.061</m:t>
              </m:r>
              <m:r>
                <m:rPr>
                  <m:sty m:val="p"/>
                </m:rPr>
                <m:t>,</m:t>
              </m:r>
              <m:r>
                <m:t>0.018</m:t>
              </m:r>
              <m:r>
                <m:rPr>
                  <m:sty m:val="p"/>
                </m:rPr>
                <m:t>,</m:t>
              </m:r>
              <m:r>
                <m:rPr>
                  <m:sty m:val="p"/>
                </m:rPr>
                <m:t>−</m:t>
              </m:r>
              <m:r>
                <m:t>0.043</m:t>
              </m:r>
              <m:r>
                <m:rPr>
                  <m:sty m:val="p"/>
                </m:rPr>
                <m:t>,</m:t>
              </m:r>
              <m:r>
                <m:t>0.021</m:t>
              </m:r>
              <m:r>
                <m:rPr>
                  <m:sty m:val="p"/>
                </m:rPr>
                <m:t>]</m:t>
              </m:r>
            </m:oMath>
          </w:p>
        </w:tc>
      </w:tr>
      <w:tr>
        <w:tc>
          <w:tcPr/>
          <w:p>
            <w:pPr>
              <w:pStyle w:val="Compact"/>
            </w:pPr>
          </w:p>
        </w:tc>
        <w:tc>
          <w:tcPr/>
          <w:p>
            <w:pPr>
              <w:pStyle w:val="Compact"/>
            </w:pPr>
          </w:p>
        </w:tc>
        <w:tc>
          <w:tcPr/>
          <w:p>
            <w:pPr>
              <w:pStyle w:val="Compact"/>
              <w:jc w:val="left"/>
            </w:pPr>
            <m:oMath>
              <m:r>
                <m:t>B</m:t>
              </m:r>
              <m:r>
                <m:rPr>
                  <m:sty m:val="p"/>
                </m:rPr>
                <m:t>=</m:t>
              </m:r>
              <m:r>
                <m:rPr>
                  <m:sty m:val="p"/>
                </m:rPr>
                <m:t>[</m:t>
              </m:r>
              <m:r>
                <m:t>0.000</m:t>
              </m:r>
              <m:r>
                <m:rPr>
                  <m:sty m:val="p"/>
                </m:rPr>
                <m:t>,</m:t>
              </m:r>
              <m:r>
                <m:t>0.310</m:t>
              </m:r>
              <m:r>
                <m:rPr>
                  <m:sty m:val="p"/>
                </m:rPr>
                <m:t>,</m:t>
              </m:r>
              <m:r>
                <m:rPr>
                  <m:sty m:val="p"/>
                </m:rPr>
                <m:t>−</m:t>
              </m:r>
              <m:r>
                <m:t>0.544</m:t>
              </m:r>
              <m:r>
                <m:rPr>
                  <m:sty m:val="p"/>
                </m:rPr>
                <m:t>,</m:t>
              </m:r>
              <m:r>
                <m:t>0.440</m:t>
              </m:r>
              <m:r>
                <m:rPr>
                  <m:sty m:val="p"/>
                </m:rPr>
                <m:t>,</m:t>
              </m:r>
              <m:r>
                <m:rPr>
                  <m:sty m:val="p"/>
                </m:rPr>
                <m:t>−</m:t>
              </m:r>
              <m:r>
                <m:t>0.255</m:t>
              </m:r>
              <m:r>
                <m:rPr>
                  <m:sty m:val="p"/>
                </m:rPr>
                <m:t>,</m:t>
              </m:r>
              <m:r>
                <m:t>0.158</m:t>
              </m:r>
              <m:r>
                <m:rPr>
                  <m:sty m:val="p"/>
                </m:rPr>
                <m:t>,</m:t>
              </m:r>
              <m:r>
                <m:rPr>
                  <m:sty m:val="p"/>
                </m:rPr>
                <m:t>−</m:t>
              </m:r>
              <m:r>
                <m:t>0.041</m:t>
              </m:r>
              <m:r>
                <m:rPr>
                  <m:sty m:val="p"/>
                </m:rPr>
                <m:t>,</m:t>
              </m:r>
              <m:r>
                <m:rPr>
                  <m:sty m:val="p"/>
                </m:rPr>
                <m:t>−</m:t>
              </m:r>
              <m:r>
                <m:t>0.109</m:t>
              </m:r>
              <m:r>
                <m:rPr>
                  <m:sty m:val="p"/>
                </m:rPr>
                <m:t>,</m:t>
              </m:r>
              <m:r>
                <m:t>0.123</m:t>
              </m:r>
              <m:r>
                <m:rPr>
                  <m:sty m:val="p"/>
                </m:rPr>
                <m:t>,</m:t>
              </m:r>
              <m:r>
                <m:rPr>
                  <m:sty m:val="p"/>
                </m:rPr>
                <m:t>−</m:t>
              </m:r>
              <m:r>
                <m:t>0.098</m:t>
              </m:r>
              <m:r>
                <m:rPr>
                  <m:sty m:val="p"/>
                </m:rPr>
                <m:t>,</m:t>
              </m:r>
              <m:r>
                <m:t>0.058</m:t>
              </m:r>
              <m:r>
                <m:rPr>
                  <m:sty m:val="p"/>
                </m:rPr>
                <m:t>,</m:t>
              </m:r>
              <m:r>
                <m:rPr>
                  <m:sty m:val="p"/>
                </m:rPr>
                <m:t>−</m:t>
              </m:r>
              <m:r>
                <m:t>0.043</m:t>
              </m:r>
              <m:r>
                <m:rPr>
                  <m:sty m:val="p"/>
                </m:rPr>
                <m:t>,</m:t>
              </m:r>
              <m:r>
                <m:t>0.005</m:t>
              </m:r>
              <m:r>
                <m:rPr>
                  <m:sty m:val="p"/>
                </m:rPr>
                <m:t>,</m:t>
              </m:r>
              <m:r>
                <m:t>0.014</m:t>
              </m:r>
              <m:r>
                <m:rPr>
                  <m:sty m:val="p"/>
                </m:rPr>
                <m:t>,</m:t>
              </m:r>
              <m:r>
                <m:rPr>
                  <m:sty m:val="p"/>
                </m:rPr>
                <m:t>−</m:t>
              </m:r>
              <m:r>
                <m:t>0.015</m:t>
              </m:r>
              <m:r>
                <m:rPr>
                  <m:sty m:val="p"/>
                </m:rPr>
                <m:t>]</m:t>
              </m:r>
            </m:oMath>
          </w:p>
        </w:tc>
      </w:tr>
      <w:tr>
        <w:tc>
          <w:tcPr/>
          <w:p>
            <w:pPr>
              <w:pStyle w:val="Compact"/>
            </w:pPr>
          </w:p>
        </w:tc>
        <w:tc>
          <w:tcPr/>
          <w:p>
            <w:pPr>
              <w:pStyle w:val="Compact"/>
            </w:pPr>
          </w:p>
        </w:tc>
        <w:tc>
          <w:tcPr/>
          <w:p>
            <w:pPr>
              <w:pStyle w:val="Compact"/>
              <w:jc w:val="left"/>
            </w:pPr>
            <m:oMath>
              <m:r>
                <m:t>C</m:t>
              </m:r>
              <m:r>
                <m:rPr>
                  <m:sty m:val="p"/>
                </m:rPr>
                <m:t>=</m:t>
              </m:r>
              <m:r>
                <m:rPr>
                  <m:sty m:val="p"/>
                </m:rPr>
                <m:t>[</m:t>
              </m:r>
              <m:r>
                <m:t>1.000</m:t>
              </m:r>
              <m:r>
                <m:rPr>
                  <m:sty m:val="p"/>
                </m:rPr>
                <m:t>,</m:t>
              </m:r>
              <m:r>
                <m:rPr>
                  <m:sty m:val="p"/>
                </m:rPr>
                <m:t>−</m:t>
              </m:r>
              <m:r>
                <m:t>0.431</m:t>
              </m:r>
              <m:r>
                <m:rPr>
                  <m:sty m:val="p"/>
                </m:rPr>
                <m:t>,</m:t>
              </m:r>
              <m:r>
                <m:t>0.581</m:t>
              </m:r>
              <m:r>
                <m:rPr>
                  <m:sty m:val="p"/>
                </m:rPr>
                <m:t>]</m:t>
              </m:r>
            </m:oMath>
          </w:p>
        </w:tc>
      </w:tr>
    </w:tbl>
    <w:bookmarkEnd w:id="94"/>
    <w:bookmarkStart w:id="137" w:name="refs"/>
    <w:bookmarkStart w:id="96" w:name="ref-ref1"/>
    <w:p>
      <w:pPr>
        <w:pStyle w:val="Bibliography"/>
      </w:pPr>
      <w:r>
        <w:t xml:space="preserve">[1]</w:t>
      </w:r>
      <w:r>
        <w:t xml:space="preserve"> </w:t>
      </w:r>
      <w:r>
        <w:t xml:space="preserve">	</w:t>
      </w:r>
      <w:r>
        <w:t xml:space="preserve">Z. Zhang, S. Li, and Y. Yang,</w:t>
      </w:r>
      <w:r>
        <w:t xml:space="preserve"> </w:t>
      </w:r>
      <w:r>
        <w:t xml:space="preserve">“Explorative policy optimization for industrial-scale operation of complex process control systems,”</w:t>
      </w:r>
      <w:r>
        <w:t xml:space="preserve"> </w:t>
      </w:r>
      <w:r>
        <w:rPr>
          <w:i/>
          <w:iCs/>
        </w:rPr>
        <w:t xml:space="preserve">Journal of Process Control</w:t>
      </w:r>
      <w:r>
        <w:t xml:space="preserve">, vol. 152, Aug. 2025, doi:</w:t>
      </w:r>
      <w:r>
        <w:t xml:space="preserve"> </w:t>
      </w:r>
      <w:hyperlink r:id="rId95">
        <w:r>
          <w:rPr>
            <w:rStyle w:val="Hyperlink"/>
          </w:rPr>
          <w:t xml:space="preserve">10.1016/j.jprocont.2025.103471</w:t>
        </w:r>
      </w:hyperlink>
      <w:r>
        <w:t xml:space="preserve">.</w:t>
      </w:r>
    </w:p>
    <w:bookmarkEnd w:id="96"/>
    <w:bookmarkStart w:id="98" w:name="ref-ref2"/>
    <w:p>
      <w:pPr>
        <w:pStyle w:val="Bibliography"/>
      </w:pPr>
      <w:r>
        <w:t xml:space="preserve">[2]</w:t>
      </w:r>
      <w:r>
        <w:t xml:space="preserve"> </w:t>
      </w:r>
      <w:r>
        <w:t xml:space="preserve">	</w:t>
      </w:r>
      <w:r>
        <w:t xml:space="preserve">Y. Zou, X. Ma, Y. Yang, and S. Li,</w:t>
      </w:r>
      <w:r>
        <w:t xml:space="preserve"> </w:t>
      </w:r>
      <w:r>
        <w:t xml:space="preserve">“An overview of chemical process operation-optimization under complex operating conditions,”</w:t>
      </w:r>
      <w:r>
        <w:t xml:space="preserve"> </w:t>
      </w:r>
      <w:r>
        <w:rPr>
          <w:i/>
          <w:iCs/>
        </w:rPr>
        <w:t xml:space="preserve">Digital Chemical Engineering</w:t>
      </w:r>
      <w:r>
        <w:t xml:space="preserve">, Sep. 2025, doi:</w:t>
      </w:r>
      <w:r>
        <w:t xml:space="preserve"> </w:t>
      </w:r>
      <w:hyperlink r:id="rId97">
        <w:r>
          <w:rPr>
            <w:rStyle w:val="Hyperlink"/>
          </w:rPr>
          <w:t xml:space="preserve">10.1016/j.dche.2025.100249</w:t>
        </w:r>
      </w:hyperlink>
      <w:r>
        <w:t xml:space="preserve">.</w:t>
      </w:r>
    </w:p>
    <w:bookmarkEnd w:id="98"/>
    <w:bookmarkStart w:id="100" w:name="ref-ref3"/>
    <w:p>
      <w:pPr>
        <w:pStyle w:val="Bibliography"/>
      </w:pPr>
      <w:r>
        <w:t xml:space="preserve">[3]</w:t>
      </w:r>
      <w:r>
        <w:t xml:space="preserve"> </w:t>
      </w:r>
      <w:r>
        <w:t xml:space="preserve">	</w:t>
      </w:r>
      <w:r>
        <w:t xml:space="preserve">N. Hu,</w:t>
      </w:r>
      <w:r>
        <w:t xml:space="preserve"> </w:t>
      </w:r>
      <w:r>
        <w:t xml:space="preserve">“The limitations of traditional PID controllers and modern optimization methods,”</w:t>
      </w:r>
      <w:r>
        <w:t xml:space="preserve"> </w:t>
      </w:r>
      <w:r>
        <w:rPr>
          <w:i/>
          <w:iCs/>
        </w:rPr>
        <w:t xml:space="preserve">Applied and Computational Engineering</w:t>
      </w:r>
      <w:r>
        <w:t xml:space="preserve">, 2025, doi:</w:t>
      </w:r>
      <w:r>
        <w:t xml:space="preserve"> </w:t>
      </w:r>
      <w:hyperlink r:id="rId99">
        <w:r>
          <w:rPr>
            <w:rStyle w:val="Hyperlink"/>
          </w:rPr>
          <w:t xml:space="preserve">10.54254/2755-2721/147/2025.22912</w:t>
        </w:r>
      </w:hyperlink>
      <w:r>
        <w:t xml:space="preserve">.</w:t>
      </w:r>
    </w:p>
    <w:bookmarkEnd w:id="100"/>
    <w:bookmarkStart w:id="102" w:name="ref-ref4"/>
    <w:p>
      <w:pPr>
        <w:pStyle w:val="Bibliography"/>
      </w:pPr>
      <w:r>
        <w:t xml:space="preserve">[4]</w:t>
      </w:r>
      <w:r>
        <w:t xml:space="preserve"> </w:t>
      </w:r>
      <w:r>
        <w:t xml:space="preserve">	</w:t>
      </w:r>
      <w:r>
        <w:t xml:space="preserve">D. Mora-Mariano and A. Flores-Tlacuahuac,</w:t>
      </w:r>
      <w:r>
        <w:t xml:space="preserve"> </w:t>
      </w:r>
      <w:r>
        <w:t xml:space="preserve">“A machine learning approach for the surrogate modeling of uncertain distributed process engineering models,”</w:t>
      </w:r>
      <w:r>
        <w:t xml:space="preserve"> </w:t>
      </w:r>
      <w:r>
        <w:rPr>
          <w:i/>
          <w:iCs/>
        </w:rPr>
        <w:t xml:space="preserve">Chemical Engineering Research and Design</w:t>
      </w:r>
      <w:r>
        <w:t xml:space="preserve">, vol. 186, pp. 433–450, Oct. 2022, doi:</w:t>
      </w:r>
      <w:r>
        <w:t xml:space="preserve"> </w:t>
      </w:r>
      <w:hyperlink r:id="rId101">
        <w:r>
          <w:rPr>
            <w:rStyle w:val="Hyperlink"/>
          </w:rPr>
          <w:t xml:space="preserve">10.1016/j.cherd.2022.07.050</w:t>
        </w:r>
      </w:hyperlink>
      <w:r>
        <w:t xml:space="preserve">.</w:t>
      </w:r>
    </w:p>
    <w:bookmarkEnd w:id="102"/>
    <w:bookmarkStart w:id="103" w:name="ref-ref5"/>
    <w:p>
      <w:pPr>
        <w:pStyle w:val="Bibliography"/>
      </w:pPr>
      <w:r>
        <w:t xml:space="preserve">[5]</w:t>
      </w:r>
      <w:r>
        <w:t xml:space="preserve"> </w:t>
      </w:r>
      <w:r>
        <w:t xml:space="preserve">	</w:t>
      </w:r>
      <w:r>
        <w:t xml:space="preserve">T. Geyer,</w:t>
      </w:r>
      <w:r>
        <w:t xml:space="preserve"> </w:t>
      </w:r>
      <w:r>
        <w:rPr>
          <w:i/>
          <w:iCs/>
        </w:rPr>
        <w:t xml:space="preserve">Model predictive control of high power converters and industrial drives</w:t>
      </w:r>
      <w:r>
        <w:t xml:space="preserve">. John Wiley &amp; Sons, 2017.</w:t>
      </w:r>
    </w:p>
    <w:bookmarkEnd w:id="103"/>
    <w:bookmarkStart w:id="105" w:name="ref-ref6"/>
    <w:p>
      <w:pPr>
        <w:pStyle w:val="Bibliography"/>
      </w:pPr>
      <w:r>
        <w:t xml:space="preserve">[6]</w:t>
      </w:r>
      <w:r>
        <w:t xml:space="preserve"> </w:t>
      </w:r>
      <w:r>
        <w:t xml:space="preserve">	</w:t>
      </w:r>
      <w:r>
        <w:t xml:space="preserve">C. He, Y. Zhang, D. Gong, and X. Ji,</w:t>
      </w:r>
      <w:r>
        <w:t xml:space="preserve"> </w:t>
      </w:r>
      <w:r>
        <w:t xml:space="preserve">“A review of surrogate-assisted evolutionary algorithms for expensive optimization problems,”</w:t>
      </w:r>
      <w:r>
        <w:t xml:space="preserve"> </w:t>
      </w:r>
      <w:r>
        <w:rPr>
          <w:i/>
          <w:iCs/>
        </w:rPr>
        <w:t xml:space="preserve">Expert Systems with Applications</w:t>
      </w:r>
      <w:r>
        <w:t xml:space="preserve">, May 2023, doi:</w:t>
      </w:r>
      <w:r>
        <w:t xml:space="preserve"> </w:t>
      </w:r>
      <w:hyperlink r:id="rId104">
        <w:r>
          <w:rPr>
            <w:rStyle w:val="Hyperlink"/>
          </w:rPr>
          <w:t xml:space="preserve">10.1016/j.eswa.2022.119495</w:t>
        </w:r>
      </w:hyperlink>
      <w:r>
        <w:t xml:space="preserve">.</w:t>
      </w:r>
    </w:p>
    <w:bookmarkEnd w:id="105"/>
    <w:bookmarkStart w:id="107" w:name="ref-ref7"/>
    <w:p>
      <w:pPr>
        <w:pStyle w:val="Bibliography"/>
      </w:pPr>
      <w:r>
        <w:t xml:space="preserve">[7]</w:t>
      </w:r>
      <w:r>
        <w:t xml:space="preserve"> </w:t>
      </w:r>
      <w:r>
        <w:t xml:space="preserve">	</w:t>
      </w:r>
      <w:r>
        <w:t xml:space="preserve">D. Šturek and S. Lazarova-Molnar,</w:t>
      </w:r>
      <w:r>
        <w:t xml:space="preserve"> </w:t>
      </w:r>
      <w:r>
        <w:t xml:space="preserve">“Surrogate modeling: Review and opportunities for expert knowledge integration,”</w:t>
      </w:r>
      <w:r>
        <w:t xml:space="preserve"> </w:t>
      </w:r>
      <w:r>
        <w:t xml:space="preserve">in</w:t>
      </w:r>
      <w:r>
        <w:t xml:space="preserve"> </w:t>
      </w:r>
      <w:r>
        <w:rPr>
          <w:i/>
          <w:iCs/>
        </w:rPr>
        <w:t xml:space="preserve">Procedia computer science</w:t>
      </w:r>
      <w:r>
        <w:t xml:space="preserve">, 2025, pp. 826–833. doi:</w:t>
      </w:r>
      <w:r>
        <w:t xml:space="preserve"> </w:t>
      </w:r>
      <w:hyperlink r:id="rId106">
        <w:r>
          <w:rPr>
            <w:rStyle w:val="Hyperlink"/>
          </w:rPr>
          <w:t xml:space="preserve">10.1016/j.procs.2025.03.106</w:t>
        </w:r>
      </w:hyperlink>
      <w:r>
        <w:t xml:space="preserve">.</w:t>
      </w:r>
    </w:p>
    <w:bookmarkEnd w:id="107"/>
    <w:bookmarkStart w:id="109" w:name="ref-ref8"/>
    <w:p>
      <w:pPr>
        <w:pStyle w:val="Bibliography"/>
      </w:pPr>
      <w:r>
        <w:t xml:space="preserve">[8]</w:t>
      </w:r>
      <w:r>
        <w:t xml:space="preserve"> </w:t>
      </w:r>
      <w:r>
        <w:t xml:space="preserve">	</w:t>
      </w:r>
      <w:r>
        <w:t xml:space="preserve">Z. T. Wilson and N. V. Sahinidis,</w:t>
      </w:r>
      <w:r>
        <w:t xml:space="preserve"> </w:t>
      </w:r>
      <w:r>
        <w:t xml:space="preserve">“The ALAMO approach to machine learning,”</w:t>
      </w:r>
      <w:r>
        <w:t xml:space="preserve"> </w:t>
      </w:r>
      <w:r>
        <w:rPr>
          <w:i/>
          <w:iCs/>
        </w:rPr>
        <w:t xml:space="preserve">Computers &amp; Chemical Engineering</w:t>
      </w:r>
      <w:r>
        <w:t xml:space="preserve">, vol. 106, pp. 785–795, Nov. 2017, doi:</w:t>
      </w:r>
      <w:r>
        <w:t xml:space="preserve"> </w:t>
      </w:r>
      <w:hyperlink r:id="rId108">
        <w:r>
          <w:rPr>
            <w:rStyle w:val="Hyperlink"/>
          </w:rPr>
          <w:t xml:space="preserve">10.1016/j.compchemeng.2017.02.010</w:t>
        </w:r>
      </w:hyperlink>
      <w:r>
        <w:t xml:space="preserve">.</w:t>
      </w:r>
    </w:p>
    <w:bookmarkEnd w:id="109"/>
    <w:bookmarkStart w:id="111" w:name="ref-ref9"/>
    <w:p>
      <w:pPr>
        <w:pStyle w:val="Bibliography"/>
      </w:pPr>
      <w:r>
        <w:t xml:space="preserve">[9]</w:t>
      </w:r>
      <w:r>
        <w:t xml:space="preserve"> </w:t>
      </w:r>
      <w:r>
        <w:t xml:space="preserve">	</w:t>
      </w:r>
      <w:r>
        <w:t xml:space="preserve">K. McBride and K. Sundmacher,</w:t>
      </w:r>
      <w:r>
        <w:t xml:space="preserve"> </w:t>
      </w:r>
      <w:r>
        <w:t xml:space="preserve">“Overview of surrogate modeling in chemical process engineering,”</w:t>
      </w:r>
      <w:r>
        <w:t xml:space="preserve"> </w:t>
      </w:r>
      <w:r>
        <w:rPr>
          <w:i/>
          <w:iCs/>
        </w:rPr>
        <w:t xml:space="preserve">Chemie Ingenieur Technik</w:t>
      </w:r>
      <w:r>
        <w:t xml:space="preserve">, Mar. 2019, doi:</w:t>
      </w:r>
      <w:r>
        <w:t xml:space="preserve"> </w:t>
      </w:r>
      <w:hyperlink r:id="rId110">
        <w:r>
          <w:rPr>
            <w:rStyle w:val="Hyperlink"/>
          </w:rPr>
          <w:t xml:space="preserve">10.1002/cite.201800091</w:t>
        </w:r>
      </w:hyperlink>
      <w:r>
        <w:t xml:space="preserve">.</w:t>
      </w:r>
    </w:p>
    <w:bookmarkEnd w:id="111"/>
    <w:bookmarkStart w:id="112" w:name="ref-ref10"/>
    <w:p>
      <w:pPr>
        <w:pStyle w:val="Bibliography"/>
      </w:pPr>
      <w:r>
        <w:t xml:space="preserve">[10]</w:t>
      </w:r>
      <w:r>
        <w:t xml:space="preserve"> </w:t>
      </w:r>
      <w:r>
        <w:t xml:space="preserve">	</w:t>
      </w:r>
      <w:r>
        <w:t xml:space="preserve">J. E. Quintero, M. Botía, and J. M. Gómez,</w:t>
      </w:r>
      <w:r>
        <w:t xml:space="preserve"> </w:t>
      </w:r>
      <w:r>
        <w:t xml:space="preserve">“Subrogación de modelos para control y optimización de procesos.”</w:t>
      </w:r>
      <w:r>
        <w:t xml:space="preserve"> </w:t>
      </w:r>
    </w:p>
    <w:bookmarkEnd w:id="112"/>
    <w:bookmarkStart w:id="114" w:name="ref-ref11"/>
    <w:p>
      <w:pPr>
        <w:pStyle w:val="Bibliography"/>
      </w:pPr>
      <w:r>
        <w:t xml:space="preserve">[11]</w:t>
      </w:r>
      <w:r>
        <w:t xml:space="preserve"> </w:t>
      </w:r>
      <w:r>
        <w:t xml:space="preserve">	</w:t>
      </w:r>
      <w:r>
        <w:t xml:space="preserve">A. Perez and Y. Yang,</w:t>
      </w:r>
      <w:r>
        <w:t xml:space="preserve"> </w:t>
      </w:r>
      <w:r>
        <w:t xml:space="preserve">“Offset-free ARX-based adaptive model predictive control applied to a nonlinear process,”</w:t>
      </w:r>
      <w:r>
        <w:t xml:space="preserve"> </w:t>
      </w:r>
      <w:r>
        <w:rPr>
          <w:i/>
          <w:iCs/>
        </w:rPr>
        <w:t xml:space="preserve">ISA Transactions</w:t>
      </w:r>
      <w:r>
        <w:t xml:space="preserve">, vol. 123, pp. 251–262, Apr. 2022, doi:</w:t>
      </w:r>
      <w:r>
        <w:t xml:space="preserve"> </w:t>
      </w:r>
      <w:hyperlink r:id="rId113">
        <w:r>
          <w:rPr>
            <w:rStyle w:val="Hyperlink"/>
          </w:rPr>
          <w:t xml:space="preserve">10.1016/j.isatra.2021.05.030</w:t>
        </w:r>
      </w:hyperlink>
      <w:r>
        <w:t xml:space="preserve">.</w:t>
      </w:r>
    </w:p>
    <w:bookmarkEnd w:id="114"/>
    <w:bookmarkStart w:id="116" w:name="ref-ref16"/>
    <w:p>
      <w:pPr>
        <w:pStyle w:val="Bibliography"/>
      </w:pPr>
      <w:r>
        <w:t xml:space="preserve">[12]</w:t>
      </w:r>
      <w:r>
        <w:t xml:space="preserve"> </w:t>
      </w:r>
      <w:r>
        <w:t xml:space="preserve">	</w:t>
      </w:r>
      <w:r>
        <w:t xml:space="preserve">A. Wahid and I. Maulana,</w:t>
      </w:r>
      <w:r>
        <w:t xml:space="preserve"> </w:t>
      </w:r>
      <w:r>
        <w:t xml:space="preserve">“Optimation of depropanizer unit using turbo expander and its controller using model predictive control,”</w:t>
      </w:r>
      <w:r>
        <w:t xml:space="preserve"> </w:t>
      </w:r>
      <w:r>
        <w:t xml:space="preserve">in</w:t>
      </w:r>
      <w:r>
        <w:t xml:space="preserve"> </w:t>
      </w:r>
      <w:r>
        <w:rPr>
          <w:i/>
          <w:iCs/>
        </w:rPr>
        <w:t xml:space="preserve">E3S web of conferences</w:t>
      </w:r>
      <w:r>
        <w:t xml:space="preserve">, Nov. 2018. doi:</w:t>
      </w:r>
      <w:r>
        <w:t xml:space="preserve"> </w:t>
      </w:r>
      <w:hyperlink r:id="rId115">
        <w:r>
          <w:rPr>
            <w:rStyle w:val="Hyperlink"/>
          </w:rPr>
          <w:t xml:space="preserve">10.1051/e3sconf/20186703014</w:t>
        </w:r>
      </w:hyperlink>
      <w:r>
        <w:t xml:space="preserve">.</w:t>
      </w:r>
    </w:p>
    <w:bookmarkEnd w:id="116"/>
    <w:bookmarkStart w:id="118" w:name="ref-ref17"/>
    <w:p>
      <w:pPr>
        <w:pStyle w:val="Bibliography"/>
      </w:pPr>
      <w:r>
        <w:t xml:space="preserve">[13]</w:t>
      </w:r>
      <w:r>
        <w:t xml:space="preserve"> </w:t>
      </w:r>
      <w:r>
        <w:t xml:space="preserve">	</w:t>
      </w:r>
      <w:r>
        <w:t xml:space="preserve">MathWorks,</w:t>
      </w:r>
      <w:r>
        <w:t xml:space="preserve"> </w:t>
      </w:r>
      <w:r>
        <w:t xml:space="preserve">“Continuous-time process model with identifiable parameters.”</w:t>
      </w:r>
      <w:r>
        <w:t xml:space="preserve"> </w:t>
      </w:r>
      <w:r>
        <w:t xml:space="preserve">2026. Available:</w:t>
      </w:r>
      <w:r>
        <w:t xml:space="preserve"> </w:t>
      </w:r>
      <w:hyperlink r:id="rId117">
        <w:r>
          <w:rPr>
            <w:rStyle w:val="Hyperlink"/>
          </w:rPr>
          <w:t xml:space="preserve">https://la.mathworks.com/help/ident/ref/idproc.html</w:t>
        </w:r>
      </w:hyperlink>
    </w:p>
    <w:bookmarkEnd w:id="118"/>
    <w:bookmarkStart w:id="120" w:name="ref-ref18"/>
    <w:p>
      <w:pPr>
        <w:pStyle w:val="Bibliography"/>
      </w:pPr>
      <w:r>
        <w:t xml:space="preserve">[14]</w:t>
      </w:r>
      <w:r>
        <w:t xml:space="preserve"> </w:t>
      </w:r>
      <w:r>
        <w:t xml:space="preserve">	</w:t>
      </w:r>
      <w:r>
        <w:t xml:space="preserve">M. Adjisetya and A. Wahid,</w:t>
      </w:r>
      <w:r>
        <w:t xml:space="preserve"> </w:t>
      </w:r>
      <w:r>
        <w:t xml:space="preserve">“Multivariable model predictive control to control bio-H2 production from biomass,”</w:t>
      </w:r>
      <w:r>
        <w:t xml:space="preserve"> </w:t>
      </w:r>
      <w:r>
        <w:rPr>
          <w:i/>
          <w:iCs/>
        </w:rPr>
        <w:t xml:space="preserve">ChemEngineering</w:t>
      </w:r>
      <w:r>
        <w:t xml:space="preserve">, vol. 7, no. 1, Feb. 2023, doi:</w:t>
      </w:r>
      <w:r>
        <w:t xml:space="preserve"> </w:t>
      </w:r>
      <w:hyperlink r:id="rId119">
        <w:r>
          <w:rPr>
            <w:rStyle w:val="Hyperlink"/>
          </w:rPr>
          <w:t xml:space="preserve">10.3390/chemengineering7010007</w:t>
        </w:r>
      </w:hyperlink>
      <w:r>
        <w:t xml:space="preserve">.</w:t>
      </w:r>
    </w:p>
    <w:bookmarkEnd w:id="120"/>
    <w:bookmarkStart w:id="122" w:name="ref-ref19"/>
    <w:p>
      <w:pPr>
        <w:pStyle w:val="Bibliography"/>
      </w:pPr>
      <w:r>
        <w:t xml:space="preserve">[15]</w:t>
      </w:r>
      <w:r>
        <w:t xml:space="preserve"> </w:t>
      </w:r>
      <w:r>
        <w:t xml:space="preserve">	</w:t>
      </w:r>
      <w:r>
        <w:t xml:space="preserve">V. C. Setiawan, I. U. A. Alifah, R. P. Anugraha, Juwari, and Renanto,</w:t>
      </w:r>
      <w:r>
        <w:t xml:space="preserve"> </w:t>
      </w:r>
      <w:r>
        <w:t xml:space="preserve">“Comparison of model predictive controller and neural network controller on nonconventional distillation system,”</w:t>
      </w:r>
      <w:r>
        <w:t xml:space="preserve"> </w:t>
      </w:r>
      <w:r>
        <w:rPr>
          <w:i/>
          <w:iCs/>
        </w:rPr>
        <w:t xml:space="preserve">IOP Conference Series: Materials Science and Engineering</w:t>
      </w:r>
      <w:r>
        <w:t xml:space="preserve">, vol. 1053, no. 1, p. 012108, Feb. 2021, doi:</w:t>
      </w:r>
      <w:r>
        <w:t xml:space="preserve"> </w:t>
      </w:r>
      <w:hyperlink r:id="rId121">
        <w:r>
          <w:rPr>
            <w:rStyle w:val="Hyperlink"/>
          </w:rPr>
          <w:t xml:space="preserve">10.1088/1757-899x/1053/1/012108</w:t>
        </w:r>
      </w:hyperlink>
      <w:r>
        <w:t xml:space="preserve">.</w:t>
      </w:r>
    </w:p>
    <w:bookmarkEnd w:id="122"/>
    <w:bookmarkStart w:id="124" w:name="ref-ref20"/>
    <w:p>
      <w:pPr>
        <w:pStyle w:val="Bibliography"/>
      </w:pPr>
      <w:r>
        <w:t xml:space="preserve">[16]</w:t>
      </w:r>
      <w:r>
        <w:t xml:space="preserve"> </w:t>
      </w:r>
      <w:r>
        <w:t xml:space="preserve">	</w:t>
      </w:r>
      <w:r>
        <w:t xml:space="preserve">MathWorks,</w:t>
      </w:r>
      <w:r>
        <w:t xml:space="preserve"> </w:t>
      </w:r>
      <w:r>
        <w:t xml:space="preserve">“Transfer function model with identifiable parameters.”</w:t>
      </w:r>
      <w:r>
        <w:t xml:space="preserve"> </w:t>
      </w:r>
      <w:r>
        <w:t xml:space="preserve">2026. Available:</w:t>
      </w:r>
      <w:r>
        <w:t xml:space="preserve"> </w:t>
      </w:r>
      <w:hyperlink r:id="rId123">
        <w:r>
          <w:rPr>
            <w:rStyle w:val="Hyperlink"/>
          </w:rPr>
          <w:t xml:space="preserve">https://la.mathworks.com/help/ident/ref/idtf.html</w:t>
        </w:r>
      </w:hyperlink>
    </w:p>
    <w:bookmarkEnd w:id="124"/>
    <w:bookmarkStart w:id="126" w:name="ref-ref21"/>
    <w:p>
      <w:pPr>
        <w:pStyle w:val="Bibliography"/>
      </w:pPr>
      <w:r>
        <w:t xml:space="preserve">[17]</w:t>
      </w:r>
      <w:r>
        <w:t xml:space="preserve"> </w:t>
      </w:r>
      <w:r>
        <w:t xml:space="preserve">	</w:t>
      </w:r>
      <w:r>
        <w:t xml:space="preserve">O. A. A. Al-khamis and B. Gumus,</w:t>
      </w:r>
      <w:r>
        <w:t xml:space="preserve"> </w:t>
      </w:r>
      <w:r>
        <w:t xml:space="preserve">“Comparison and performance analysis of model predictive control developed by transfer function based model and state space based model,”</w:t>
      </w:r>
      <w:r>
        <w:t xml:space="preserve"> </w:t>
      </w:r>
      <w:r>
        <w:rPr>
          <w:i/>
          <w:iCs/>
        </w:rPr>
        <w:t xml:space="preserve">Journal of Electrical Engineering and Technology</w:t>
      </w:r>
      <w:r>
        <w:t xml:space="preserve">, vol. 18, no. 1, pp. 111–121, Jan. 2023, doi:</w:t>
      </w:r>
      <w:r>
        <w:t xml:space="preserve"> </w:t>
      </w:r>
      <w:hyperlink r:id="rId125">
        <w:r>
          <w:rPr>
            <w:rStyle w:val="Hyperlink"/>
          </w:rPr>
          <w:t xml:space="preserve">10.1007/s42835-022-01179-z</w:t>
        </w:r>
      </w:hyperlink>
      <w:r>
        <w:t xml:space="preserve">.</w:t>
      </w:r>
    </w:p>
    <w:bookmarkEnd w:id="126"/>
    <w:bookmarkStart w:id="128" w:name="ref-ref22"/>
    <w:p>
      <w:pPr>
        <w:pStyle w:val="Bibliography"/>
      </w:pPr>
      <w:r>
        <w:t xml:space="preserve">[18]</w:t>
      </w:r>
      <w:r>
        <w:t xml:space="preserve"> </w:t>
      </w:r>
      <w:r>
        <w:t xml:space="preserve">	</w:t>
      </w:r>
      <w:r>
        <w:t xml:space="preserve">J. Zhou and Y. Zhu,</w:t>
      </w:r>
      <w:r>
        <w:t xml:space="preserve"> </w:t>
      </w:r>
      <w:r>
        <w:t xml:space="preserve">“Fault isolation based on transfer-function models using an MPC algorithm,”</w:t>
      </w:r>
      <w:r>
        <w:t xml:space="preserve"> </w:t>
      </w:r>
      <w:r>
        <w:rPr>
          <w:i/>
          <w:iCs/>
        </w:rPr>
        <w:t xml:space="preserve">Computers &amp; Chemical Engineering</w:t>
      </w:r>
      <w:r>
        <w:t xml:space="preserve">, vol. 159, Mar. 2022, doi:</w:t>
      </w:r>
      <w:r>
        <w:t xml:space="preserve"> </w:t>
      </w:r>
      <w:hyperlink r:id="rId127">
        <w:r>
          <w:rPr>
            <w:rStyle w:val="Hyperlink"/>
          </w:rPr>
          <w:t xml:space="preserve">10.1016/j.compchemeng.2022.107668</w:t>
        </w:r>
      </w:hyperlink>
      <w:r>
        <w:t xml:space="preserve">.</w:t>
      </w:r>
    </w:p>
    <w:bookmarkEnd w:id="128"/>
    <w:bookmarkStart w:id="130" w:name="ref-tyreus1992"/>
    <w:p>
      <w:pPr>
        <w:pStyle w:val="Bibliography"/>
      </w:pPr>
      <w:r>
        <w:t xml:space="preserve">[19]</w:t>
      </w:r>
      <w:r>
        <w:t xml:space="preserve"> </w:t>
      </w:r>
      <w:r>
        <w:t xml:space="preserve">	</w:t>
      </w:r>
      <w:r>
        <w:t xml:space="preserve">B. D. Tyreus and W. L. Luyben,</w:t>
      </w:r>
      <w:r>
        <w:t xml:space="preserve"> </w:t>
      </w:r>
      <w:r>
        <w:t xml:space="preserve">“Tuning PI controllers for integrator/dead time processes,”</w:t>
      </w:r>
      <w:r>
        <w:t xml:space="preserve"> </w:t>
      </w:r>
      <w:r>
        <w:rPr>
          <w:i/>
          <w:iCs/>
        </w:rPr>
        <w:t xml:space="preserve">Industrial &amp; Engineering Chemistry Research</w:t>
      </w:r>
      <w:r>
        <w:t xml:space="preserve">, vol. 31, no. 11, pp. 2625–2628, 1992, doi:</w:t>
      </w:r>
      <w:r>
        <w:t xml:space="preserve"> </w:t>
      </w:r>
      <w:hyperlink r:id="rId129">
        <w:r>
          <w:rPr>
            <w:rStyle w:val="Hyperlink"/>
          </w:rPr>
          <w:t xml:space="preserve">10.1021/ie00011a029</w:t>
        </w:r>
      </w:hyperlink>
      <w:r>
        <w:t xml:space="preserve">.</w:t>
      </w:r>
    </w:p>
    <w:bookmarkEnd w:id="130"/>
    <w:bookmarkStart w:id="131" w:name="ref-ljung1999"/>
    <w:p>
      <w:pPr>
        <w:pStyle w:val="Bibliography"/>
      </w:pPr>
      <w:r>
        <w:t xml:space="preserve">[20]</w:t>
      </w:r>
      <w:r>
        <w:t xml:space="preserve"> </w:t>
      </w:r>
      <w:r>
        <w:t xml:space="preserve">	</w:t>
      </w:r>
      <w:r>
        <w:t xml:space="preserve">L. Ljung,</w:t>
      </w:r>
      <w:r>
        <w:t xml:space="preserve"> </w:t>
      </w:r>
      <w:r>
        <w:rPr>
          <w:i/>
          <w:iCs/>
        </w:rPr>
        <w:t xml:space="preserve">System identification: Theory for the user</w:t>
      </w:r>
      <w:r>
        <w:t xml:space="preserve">, 2nd ed. Upper Saddle River, NJ: Prentice Hall, 1999.</w:t>
      </w:r>
    </w:p>
    <w:bookmarkEnd w:id="131"/>
    <w:bookmarkStart w:id="132" w:name="ref-soderstrom1989"/>
    <w:p>
      <w:pPr>
        <w:pStyle w:val="Bibliography"/>
      </w:pPr>
      <w:r>
        <w:t xml:space="preserve">[21]</w:t>
      </w:r>
      <w:r>
        <w:t xml:space="preserve"> </w:t>
      </w:r>
      <w:r>
        <w:t xml:space="preserve">	</w:t>
      </w:r>
      <w:r>
        <w:t xml:space="preserve">T. Söderström and P. Stoica,</w:t>
      </w:r>
      <w:r>
        <w:t xml:space="preserve"> </w:t>
      </w:r>
      <w:r>
        <w:rPr>
          <w:i/>
          <w:iCs/>
        </w:rPr>
        <w:t xml:space="preserve">System identification</w:t>
      </w:r>
      <w:r>
        <w:t xml:space="preserve">. New York: Prentice Hall, 1989.</w:t>
      </w:r>
    </w:p>
    <w:bookmarkEnd w:id="132"/>
    <w:bookmarkStart w:id="134" w:name="ref-ref24"/>
    <w:p>
      <w:pPr>
        <w:pStyle w:val="Bibliography"/>
      </w:pPr>
      <w:r>
        <w:t xml:space="preserve">[22]</w:t>
      </w:r>
      <w:r>
        <w:t xml:space="preserve"> </w:t>
      </w:r>
      <w:r>
        <w:t xml:space="preserve">	</w:t>
      </w:r>
      <w:r>
        <w:t xml:space="preserve">D. Masti and A. Bemporad,</w:t>
      </w:r>
      <w:r>
        <w:t xml:space="preserve"> </w:t>
      </w:r>
      <w:r>
        <w:t xml:space="preserve">“Learning nonlinear state–space models using autoencoders,”</w:t>
      </w:r>
      <w:r>
        <w:t xml:space="preserve"> </w:t>
      </w:r>
      <w:r>
        <w:rPr>
          <w:i/>
          <w:iCs/>
        </w:rPr>
        <w:t xml:space="preserve">Automatica</w:t>
      </w:r>
      <w:r>
        <w:t xml:space="preserve">, vol. 129, Jul. 2021, doi:</w:t>
      </w:r>
      <w:r>
        <w:t xml:space="preserve"> </w:t>
      </w:r>
      <w:hyperlink r:id="rId133">
        <w:r>
          <w:rPr>
            <w:rStyle w:val="Hyperlink"/>
          </w:rPr>
          <w:t xml:space="preserve">10.1016/j.automatica.2021.109666</w:t>
        </w:r>
      </w:hyperlink>
      <w:r>
        <w:t xml:space="preserve">.</w:t>
      </w:r>
    </w:p>
    <w:bookmarkEnd w:id="134"/>
    <w:bookmarkStart w:id="136" w:name="ref-ref25"/>
    <w:p>
      <w:pPr>
        <w:pStyle w:val="Bibliography"/>
      </w:pPr>
      <w:r>
        <w:t xml:space="preserve">[23]</w:t>
      </w:r>
      <w:r>
        <w:t xml:space="preserve"> </w:t>
      </w:r>
      <w:r>
        <w:t xml:space="preserve">	</w:t>
      </w:r>
      <w:r>
        <w:t xml:space="preserve">R. Zhang, J. Lu, H. Qu, and F. Gao,</w:t>
      </w:r>
      <w:r>
        <w:t xml:space="preserve"> </w:t>
      </w:r>
      <w:r>
        <w:t xml:space="preserve">“State space model predictive fault-tolerant control for batch processes with partial actuator failure,”</w:t>
      </w:r>
      <w:r>
        <w:t xml:space="preserve"> </w:t>
      </w:r>
      <w:r>
        <w:rPr>
          <w:i/>
          <w:iCs/>
        </w:rPr>
        <w:t xml:space="preserve">Journal of Process Control</w:t>
      </w:r>
      <w:r>
        <w:t xml:space="preserve">, vol. 24, no. 5, pp. 613–620, 2014, doi:</w:t>
      </w:r>
      <w:r>
        <w:t xml:space="preserve"> </w:t>
      </w:r>
      <w:hyperlink r:id="rId135">
        <w:r>
          <w:rPr>
            <w:rStyle w:val="Hyperlink"/>
          </w:rPr>
          <w:t xml:space="preserve">10.1016/j.jprocont.2014.03.004</w:t>
        </w:r>
      </w:hyperlink>
      <w:r>
        <w:t xml:space="preserve">.</w:t>
      </w:r>
    </w:p>
    <w:bookmarkEnd w:id="136"/>
    <w:bookmarkEnd w:id="137"/>
    <w:bookmarkEnd w:id="138"/>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21" Target="media/rId21.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80" Target="media/rId80.jpg" /><Relationship Type="http://schemas.openxmlformats.org/officeDocument/2006/relationships/image" Id="rId88" Target="media/rId88.png" /><Relationship Type="http://schemas.openxmlformats.org/officeDocument/2006/relationships/image" Id="rId84" Target="media/rId84.png" /><Relationship Type="http://schemas.openxmlformats.org/officeDocument/2006/relationships/image" Id="rId34" Target="media/rId34.png" /><Relationship Type="http://schemas.openxmlformats.org/officeDocument/2006/relationships/hyperlink" Id="rId110" Target="https://doi.org/10.1002/cite.201800091" TargetMode="External" /><Relationship Type="http://schemas.openxmlformats.org/officeDocument/2006/relationships/hyperlink" Id="rId125" Target="https://doi.org/10.1007/s42835-022-01179-z" TargetMode="External" /><Relationship Type="http://schemas.openxmlformats.org/officeDocument/2006/relationships/hyperlink" Id="rId133" Target="https://doi.org/10.1016/j.automatica.2021.109666" TargetMode="External" /><Relationship Type="http://schemas.openxmlformats.org/officeDocument/2006/relationships/hyperlink" Id="rId101" Target="https://doi.org/10.1016/j.cherd.2022.07.050" TargetMode="External" /><Relationship Type="http://schemas.openxmlformats.org/officeDocument/2006/relationships/hyperlink" Id="rId108" Target="https://doi.org/10.1016/j.compchemeng.2017.02.010" TargetMode="External" /><Relationship Type="http://schemas.openxmlformats.org/officeDocument/2006/relationships/hyperlink" Id="rId127" Target="https://doi.org/10.1016/j.compchemeng.2022.107668" TargetMode="External" /><Relationship Type="http://schemas.openxmlformats.org/officeDocument/2006/relationships/hyperlink" Id="rId97" Target="https://doi.org/10.1016/j.dche.2025.100249" TargetMode="External" /><Relationship Type="http://schemas.openxmlformats.org/officeDocument/2006/relationships/hyperlink" Id="rId104" Target="https://doi.org/10.1016/j.eswa.2022.119495" TargetMode="External" /><Relationship Type="http://schemas.openxmlformats.org/officeDocument/2006/relationships/hyperlink" Id="rId113" Target="https://doi.org/10.1016/j.isatra.2021.05.030" TargetMode="External" /><Relationship Type="http://schemas.openxmlformats.org/officeDocument/2006/relationships/hyperlink" Id="rId135" Target="https://doi.org/10.1016/j.jprocont.2014.03.004" TargetMode="External" /><Relationship Type="http://schemas.openxmlformats.org/officeDocument/2006/relationships/hyperlink" Id="rId95" Target="https://doi.org/10.1016/j.jprocont.2025.103471" TargetMode="External" /><Relationship Type="http://schemas.openxmlformats.org/officeDocument/2006/relationships/hyperlink" Id="rId106" Target="https://doi.org/10.1016/j.procs.2025.03.106" TargetMode="External" /><Relationship Type="http://schemas.openxmlformats.org/officeDocument/2006/relationships/hyperlink" Id="rId129" Target="https://doi.org/10.1021/ie00011a029" TargetMode="External" /><Relationship Type="http://schemas.openxmlformats.org/officeDocument/2006/relationships/hyperlink" Id="rId115" Target="https://doi.org/10.1051/e3sconf/20186703014" TargetMode="External" /><Relationship Type="http://schemas.openxmlformats.org/officeDocument/2006/relationships/hyperlink" Id="rId121" Target="https://doi.org/10.1088/1757-899x/1053/1/012108" TargetMode="External" /><Relationship Type="http://schemas.openxmlformats.org/officeDocument/2006/relationships/hyperlink" Id="rId119" Target="https://doi.org/10.3390/chemengineering7010007" TargetMode="External" /><Relationship Type="http://schemas.openxmlformats.org/officeDocument/2006/relationships/hyperlink" Id="rId99" Target="https://doi.org/10.54254/2755-2721/147/2025.22912" TargetMode="External" /><Relationship Type="http://schemas.openxmlformats.org/officeDocument/2006/relationships/hyperlink" Id="rId117" Target="https://la.mathworks.com/help/ident/ref/idproc.html" TargetMode="External" /><Relationship Type="http://schemas.openxmlformats.org/officeDocument/2006/relationships/hyperlink" Id="rId123" Target="https://la.mathworks.com/help/ident/ref/idtf.html"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002/cite.201800091" TargetMode="External" /><Relationship Type="http://schemas.openxmlformats.org/officeDocument/2006/relationships/hyperlink" Id="rId125" Target="https://doi.org/10.1007/s42835-022-01179-z" TargetMode="External" /><Relationship Type="http://schemas.openxmlformats.org/officeDocument/2006/relationships/hyperlink" Id="rId133" Target="https://doi.org/10.1016/j.automatica.2021.109666" TargetMode="External" /><Relationship Type="http://schemas.openxmlformats.org/officeDocument/2006/relationships/hyperlink" Id="rId101" Target="https://doi.org/10.1016/j.cherd.2022.07.050" TargetMode="External" /><Relationship Type="http://schemas.openxmlformats.org/officeDocument/2006/relationships/hyperlink" Id="rId108" Target="https://doi.org/10.1016/j.compchemeng.2017.02.010" TargetMode="External" /><Relationship Type="http://schemas.openxmlformats.org/officeDocument/2006/relationships/hyperlink" Id="rId127" Target="https://doi.org/10.1016/j.compchemeng.2022.107668" TargetMode="External" /><Relationship Type="http://schemas.openxmlformats.org/officeDocument/2006/relationships/hyperlink" Id="rId97" Target="https://doi.org/10.1016/j.dche.2025.100249" TargetMode="External" /><Relationship Type="http://schemas.openxmlformats.org/officeDocument/2006/relationships/hyperlink" Id="rId104" Target="https://doi.org/10.1016/j.eswa.2022.119495" TargetMode="External" /><Relationship Type="http://schemas.openxmlformats.org/officeDocument/2006/relationships/hyperlink" Id="rId113" Target="https://doi.org/10.1016/j.isatra.2021.05.030" TargetMode="External" /><Relationship Type="http://schemas.openxmlformats.org/officeDocument/2006/relationships/hyperlink" Id="rId135" Target="https://doi.org/10.1016/j.jprocont.2014.03.004" TargetMode="External" /><Relationship Type="http://schemas.openxmlformats.org/officeDocument/2006/relationships/hyperlink" Id="rId95" Target="https://doi.org/10.1016/j.jprocont.2025.103471" TargetMode="External" /><Relationship Type="http://schemas.openxmlformats.org/officeDocument/2006/relationships/hyperlink" Id="rId106" Target="https://doi.org/10.1016/j.procs.2025.03.106" TargetMode="External" /><Relationship Type="http://schemas.openxmlformats.org/officeDocument/2006/relationships/hyperlink" Id="rId129" Target="https://doi.org/10.1021/ie00011a029" TargetMode="External" /><Relationship Type="http://schemas.openxmlformats.org/officeDocument/2006/relationships/hyperlink" Id="rId115" Target="https://doi.org/10.1051/e3sconf/20186703014" TargetMode="External" /><Relationship Type="http://schemas.openxmlformats.org/officeDocument/2006/relationships/hyperlink" Id="rId121" Target="https://doi.org/10.1088/1757-899x/1053/1/012108" TargetMode="External" /><Relationship Type="http://schemas.openxmlformats.org/officeDocument/2006/relationships/hyperlink" Id="rId119" Target="https://doi.org/10.3390/chemengineering7010007" TargetMode="External" /><Relationship Type="http://schemas.openxmlformats.org/officeDocument/2006/relationships/hyperlink" Id="rId99" Target="https://doi.org/10.54254/2755-2721/147/2025.22912" TargetMode="External" /><Relationship Type="http://schemas.openxmlformats.org/officeDocument/2006/relationships/hyperlink" Id="rId117" Target="https://la.mathworks.com/help/ident/ref/idproc.html" TargetMode="External" /><Relationship Type="http://schemas.openxmlformats.org/officeDocument/2006/relationships/hyperlink" Id="rId123" Target="https://la.mathworks.com/help/ident/ref/idtf.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2026-05-11T20:10:36Z</dcterms:created>
  <dcterms:modified xsi:type="dcterms:W3CDTF">2026-05-11T20:10:36Z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references.bib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ieee.csl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