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C2D4A" w14:textId="3C810D31" w:rsidR="00220606" w:rsidRDefault="00220606" w:rsidP="00220606">
      <w:pPr>
        <w:pStyle w:val="Heading1"/>
      </w:pPr>
      <w:r>
        <w:t>Description of Cooperation and Coordination Subcategory</w:t>
      </w:r>
    </w:p>
    <w:p w14:paraId="49F228A7" w14:textId="6E0B5015" w:rsidR="00220606" w:rsidRDefault="00220606" w:rsidP="00220606">
      <w:pPr>
        <w:pStyle w:val="ListParagraph"/>
        <w:numPr>
          <w:ilvl w:val="0"/>
          <w:numId w:val="2"/>
        </w:numPr>
      </w:pPr>
      <w:r>
        <w:t>Cooperation and Coordination is calculated as follows:</w:t>
      </w:r>
    </w:p>
    <w:p w14:paraId="6A0E61E9" w14:textId="77777777" w:rsidR="00220606" w:rsidRDefault="00220606" w:rsidP="00220606">
      <w:pPr>
        <w:ind w:left="360"/>
      </w:pPr>
    </w:p>
    <w:tbl>
      <w:tblPr>
        <w:tblStyle w:val="TableGrid"/>
        <w:tblW w:w="0" w:type="auto"/>
        <w:tblInd w:w="360" w:type="dxa"/>
        <w:tblLook w:val="04A0" w:firstRow="1" w:lastRow="0" w:firstColumn="1" w:lastColumn="0" w:noHBand="0" w:noVBand="1"/>
      </w:tblPr>
      <w:tblGrid>
        <w:gridCol w:w="1484"/>
        <w:gridCol w:w="1485"/>
        <w:gridCol w:w="1550"/>
        <w:gridCol w:w="1456"/>
        <w:gridCol w:w="1485"/>
        <w:gridCol w:w="1530"/>
      </w:tblGrid>
      <w:tr w:rsidR="00220606" w14:paraId="59162E91" w14:textId="77777777" w:rsidTr="00FD4A11">
        <w:tc>
          <w:tcPr>
            <w:tcW w:w="10430" w:type="dxa"/>
            <w:gridSpan w:val="6"/>
          </w:tcPr>
          <w:p w14:paraId="44CF2047" w14:textId="77777777" w:rsidR="00220606" w:rsidRPr="00B17EF2" w:rsidRDefault="00220606" w:rsidP="00FD4A11">
            <w:pPr>
              <w:jc w:val="center"/>
              <w:rPr>
                <w:b/>
                <w:bCs/>
              </w:rPr>
            </w:pPr>
            <w:r w:rsidRPr="00B17EF2">
              <w:rPr>
                <w:b/>
                <w:bCs/>
                <w:sz w:val="28"/>
                <w:szCs w:val="28"/>
              </w:rPr>
              <w:t>10. Cooperation and Coordination Overall Scenario</w:t>
            </w:r>
            <w:r>
              <w:rPr>
                <w:b/>
                <w:bCs/>
                <w:sz w:val="28"/>
                <w:szCs w:val="28"/>
              </w:rPr>
              <w:t xml:space="preserve"> (6 points)</w:t>
            </w:r>
          </w:p>
        </w:tc>
      </w:tr>
      <w:tr w:rsidR="00220606" w14:paraId="508CCF59" w14:textId="77777777" w:rsidTr="00FD4A11">
        <w:tc>
          <w:tcPr>
            <w:tcW w:w="3476" w:type="dxa"/>
            <w:gridSpan w:val="2"/>
          </w:tcPr>
          <w:p w14:paraId="4305444C" w14:textId="77777777" w:rsidR="00220606" w:rsidRPr="00B17EF2" w:rsidRDefault="00220606" w:rsidP="00FD4A11">
            <w:pPr>
              <w:jc w:val="center"/>
              <w:rPr>
                <w:sz w:val="28"/>
                <w:szCs w:val="28"/>
              </w:rPr>
            </w:pPr>
            <w:r w:rsidRPr="00B17EF2">
              <w:rPr>
                <w:sz w:val="28"/>
                <w:szCs w:val="28"/>
              </w:rPr>
              <w:t>10.1Indicators</w:t>
            </w:r>
          </w:p>
        </w:tc>
        <w:tc>
          <w:tcPr>
            <w:tcW w:w="1738" w:type="dxa"/>
          </w:tcPr>
          <w:p w14:paraId="3C19E65C" w14:textId="77777777" w:rsidR="00220606" w:rsidRPr="00B17EF2" w:rsidRDefault="00220606" w:rsidP="00FD4A11">
            <w:pPr>
              <w:jc w:val="center"/>
              <w:rPr>
                <w:sz w:val="28"/>
                <w:szCs w:val="28"/>
              </w:rPr>
            </w:pPr>
            <w:r w:rsidRPr="00B17EF2">
              <w:rPr>
                <w:sz w:val="28"/>
                <w:szCs w:val="28"/>
              </w:rPr>
              <w:t>10.2 Process Scenario</w:t>
            </w:r>
          </w:p>
        </w:tc>
        <w:tc>
          <w:tcPr>
            <w:tcW w:w="5216" w:type="dxa"/>
            <w:gridSpan w:val="3"/>
          </w:tcPr>
          <w:p w14:paraId="48A72D97" w14:textId="77777777" w:rsidR="00220606" w:rsidRPr="00B17EF2" w:rsidRDefault="00220606" w:rsidP="00FD4A11">
            <w:pPr>
              <w:jc w:val="center"/>
              <w:rPr>
                <w:sz w:val="28"/>
                <w:szCs w:val="28"/>
              </w:rPr>
            </w:pPr>
            <w:r w:rsidRPr="00B17EF2">
              <w:rPr>
                <w:sz w:val="28"/>
                <w:szCs w:val="28"/>
              </w:rPr>
              <w:t>10.3 Quantitative Scenario</w:t>
            </w:r>
          </w:p>
        </w:tc>
      </w:tr>
      <w:tr w:rsidR="00220606" w14:paraId="47B667C8" w14:textId="77777777" w:rsidTr="00FD4A11">
        <w:tc>
          <w:tcPr>
            <w:tcW w:w="1738" w:type="dxa"/>
          </w:tcPr>
          <w:p w14:paraId="44FB6CD6" w14:textId="77777777" w:rsidR="00220606" w:rsidRDefault="00220606" w:rsidP="00FD4A11">
            <w:r>
              <w:t>10.1.1 co</w:t>
            </w:r>
            <w:r w:rsidRPr="00B17EF2">
              <w:t xml:space="preserve">operation and </w:t>
            </w:r>
            <w:r>
              <w:t>c</w:t>
            </w:r>
            <w:r w:rsidRPr="00B17EF2">
              <w:t>oordination among federal, province &amp; local governments</w:t>
            </w:r>
          </w:p>
        </w:tc>
        <w:tc>
          <w:tcPr>
            <w:tcW w:w="1738" w:type="dxa"/>
          </w:tcPr>
          <w:p w14:paraId="7C8B2FF8" w14:textId="77777777" w:rsidR="00220606" w:rsidRDefault="00220606" w:rsidP="00FD4A11">
            <w:r>
              <w:t xml:space="preserve">10.1.2 </w:t>
            </w:r>
            <w:r w:rsidRPr="00B17EF2">
              <w:t xml:space="preserve">Inter </w:t>
            </w:r>
            <w:r>
              <w:t>local government</w:t>
            </w:r>
            <w:r w:rsidRPr="00B17EF2">
              <w:t xml:space="preserve">s </w:t>
            </w:r>
            <w:r>
              <w:t>co</w:t>
            </w:r>
            <w:r w:rsidRPr="00B17EF2">
              <w:t xml:space="preserve">operation and </w:t>
            </w:r>
            <w:r>
              <w:t>c</w:t>
            </w:r>
            <w:r w:rsidRPr="00B17EF2">
              <w:t>oordination</w:t>
            </w:r>
          </w:p>
        </w:tc>
        <w:tc>
          <w:tcPr>
            <w:tcW w:w="1738" w:type="dxa"/>
          </w:tcPr>
          <w:p w14:paraId="02BC4252" w14:textId="77777777" w:rsidR="00220606" w:rsidRDefault="00220606" w:rsidP="00FD4A11">
            <w:r>
              <w:t xml:space="preserve">10.2.1 </w:t>
            </w:r>
            <w:r w:rsidRPr="00B17EF2">
              <w:t>Formation and operation of inter-</w:t>
            </w:r>
            <w:r>
              <w:t>local governments</w:t>
            </w:r>
            <w:r w:rsidRPr="00B17EF2">
              <w:t xml:space="preserve"> committee (more than two </w:t>
            </w:r>
            <w:r>
              <w:t>local government</w:t>
            </w:r>
            <w:r w:rsidRPr="00B17EF2">
              <w:t>s) to address common interests.</w:t>
            </w:r>
          </w:p>
        </w:tc>
        <w:tc>
          <w:tcPr>
            <w:tcW w:w="1738" w:type="dxa"/>
          </w:tcPr>
          <w:p w14:paraId="0B48F59F" w14:textId="77777777" w:rsidR="00220606" w:rsidRDefault="00220606" w:rsidP="00FD4A11">
            <w:r>
              <w:t xml:space="preserve">10.3.1 </w:t>
            </w:r>
            <w:r w:rsidRPr="00B17EF2">
              <w:t>Inter-government coordination and facilitation</w:t>
            </w:r>
          </w:p>
        </w:tc>
        <w:tc>
          <w:tcPr>
            <w:tcW w:w="1739" w:type="dxa"/>
          </w:tcPr>
          <w:p w14:paraId="0903803A" w14:textId="77777777" w:rsidR="00220606" w:rsidRDefault="00220606" w:rsidP="00FD4A11">
            <w:r>
              <w:t xml:space="preserve">10.3.2 </w:t>
            </w:r>
            <w:r w:rsidRPr="00B17EF2">
              <w:t xml:space="preserve">Inter </w:t>
            </w:r>
            <w:r>
              <w:t>local government</w:t>
            </w:r>
            <w:r w:rsidRPr="00B17EF2">
              <w:t>s partnership</w:t>
            </w:r>
          </w:p>
        </w:tc>
        <w:tc>
          <w:tcPr>
            <w:tcW w:w="1739" w:type="dxa"/>
          </w:tcPr>
          <w:p w14:paraId="665AE2A9" w14:textId="77777777" w:rsidR="00220606" w:rsidRDefault="00220606" w:rsidP="00FD4A11">
            <w:r>
              <w:t xml:space="preserve">10.3.3 </w:t>
            </w:r>
            <w:r w:rsidRPr="00B17EF2">
              <w:t>Coordination with D</w:t>
            </w:r>
            <w:r>
              <w:t>istrict Development Committee</w:t>
            </w:r>
            <w:r w:rsidRPr="00B17EF2">
              <w:t xml:space="preserve"> </w:t>
            </w:r>
          </w:p>
        </w:tc>
      </w:tr>
    </w:tbl>
    <w:p w14:paraId="3BB8364E" w14:textId="77777777" w:rsidR="00220606" w:rsidRDefault="00220606" w:rsidP="00220606">
      <w:pPr>
        <w:ind w:left="360"/>
      </w:pPr>
    </w:p>
    <w:p w14:paraId="25080F3A" w14:textId="77777777" w:rsidR="00220606" w:rsidRDefault="00220606" w:rsidP="00220606">
      <w:pPr>
        <w:pStyle w:val="ListParagraph"/>
        <w:numPr>
          <w:ilvl w:val="0"/>
          <w:numId w:val="1"/>
        </w:numPr>
      </w:pPr>
      <w:r>
        <w:t>6 out of 6 Cooperation and Coordination score can be achieved if the following conditions are met:</w:t>
      </w:r>
    </w:p>
    <w:p w14:paraId="413CE316" w14:textId="77777777" w:rsidR="00220606" w:rsidRDefault="00220606" w:rsidP="00220606">
      <w:pPr>
        <w:pStyle w:val="ListParagraph"/>
        <w:numPr>
          <w:ilvl w:val="1"/>
          <w:numId w:val="1"/>
        </w:numPr>
      </w:pPr>
      <w:r w:rsidRPr="00911CA6">
        <w:rPr>
          <w:b/>
          <w:bCs/>
        </w:rPr>
        <w:t>10.1.1:</w:t>
      </w:r>
      <w:r>
        <w:t xml:space="preserve"> The local government does necessary coordination of policies and action with the federal and provincial government before setting its annual policies and programs and regularly provides tax revenue share to the provincial government.</w:t>
      </w:r>
    </w:p>
    <w:p w14:paraId="57E0939D" w14:textId="77777777" w:rsidR="00220606" w:rsidRPr="00911CA6" w:rsidRDefault="00220606" w:rsidP="00220606">
      <w:pPr>
        <w:pStyle w:val="ListParagraph"/>
        <w:numPr>
          <w:ilvl w:val="1"/>
          <w:numId w:val="1"/>
        </w:numPr>
        <w:rPr>
          <w:b/>
          <w:bCs/>
        </w:rPr>
      </w:pPr>
      <w:r w:rsidRPr="00911CA6">
        <w:rPr>
          <w:b/>
          <w:bCs/>
        </w:rPr>
        <w:t xml:space="preserve">10.1.2: </w:t>
      </w:r>
      <w:r>
        <w:t>The local government has policies and structures in place to collaborate and coordinate with other local governments in issues of common concerns and annually has at least one program to address common concerns with joint investment.</w:t>
      </w:r>
    </w:p>
    <w:p w14:paraId="5D8BD8F5" w14:textId="77777777" w:rsidR="00220606" w:rsidRPr="00D2268E" w:rsidRDefault="00220606" w:rsidP="00220606">
      <w:pPr>
        <w:pStyle w:val="ListParagraph"/>
        <w:numPr>
          <w:ilvl w:val="1"/>
          <w:numId w:val="1"/>
        </w:numPr>
        <w:rPr>
          <w:b/>
          <w:bCs/>
        </w:rPr>
      </w:pPr>
      <w:r>
        <w:rPr>
          <w:b/>
          <w:bCs/>
        </w:rPr>
        <w:t xml:space="preserve">10.2.1: </w:t>
      </w:r>
      <w:r>
        <w:t>Joint committees are formed and are actively working among local governments on matters of common interests and concerns.</w:t>
      </w:r>
    </w:p>
    <w:p w14:paraId="590F108F" w14:textId="77777777" w:rsidR="00220606" w:rsidRPr="00D2268E" w:rsidRDefault="00220606" w:rsidP="00220606">
      <w:pPr>
        <w:pStyle w:val="ListParagraph"/>
        <w:numPr>
          <w:ilvl w:val="1"/>
          <w:numId w:val="1"/>
        </w:numPr>
        <w:rPr>
          <w:b/>
          <w:bCs/>
        </w:rPr>
      </w:pPr>
      <w:r w:rsidRPr="00D2268E">
        <w:rPr>
          <w:b/>
          <w:bCs/>
        </w:rPr>
        <w:t xml:space="preserve">10.3.1: </w:t>
      </w:r>
      <w:r>
        <w:t>The local government is well informed about implementation and facilitation of federal and provincial level projects and has set up an active institution for it.</w:t>
      </w:r>
    </w:p>
    <w:p w14:paraId="31FB2AD2" w14:textId="77777777" w:rsidR="00220606" w:rsidRPr="00D2268E" w:rsidRDefault="00220606" w:rsidP="00220606">
      <w:pPr>
        <w:pStyle w:val="ListParagraph"/>
        <w:numPr>
          <w:ilvl w:val="1"/>
          <w:numId w:val="1"/>
        </w:numPr>
        <w:rPr>
          <w:b/>
          <w:bCs/>
        </w:rPr>
      </w:pPr>
      <w:r>
        <w:rPr>
          <w:b/>
          <w:bCs/>
        </w:rPr>
        <w:lastRenderedPageBreak/>
        <w:t xml:space="preserve">10.3.2: </w:t>
      </w:r>
      <w:r>
        <w:t>The local government has collaborated with other local governments to run one or more program to minimize costs, maximize the use of resources or provide effective service delivery.</w:t>
      </w:r>
    </w:p>
    <w:p w14:paraId="7DE7FB74" w14:textId="0BA69136" w:rsidR="008B762F" w:rsidRDefault="00220606" w:rsidP="00220606">
      <w:r>
        <w:rPr>
          <w:b/>
          <w:bCs/>
        </w:rPr>
        <w:t xml:space="preserve">10.3.3: </w:t>
      </w:r>
      <w:r>
        <w:t>In regards of development and construction activities, the local government has discussed the feedback, suggestion and monitoring reports of District Development Committee in its executive body and has taken necessary decision.</w:t>
      </w:r>
    </w:p>
    <w:sectPr w:rsidR="008B7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426BA"/>
    <w:multiLevelType w:val="hybridMultilevel"/>
    <w:tmpl w:val="8D009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E5092"/>
    <w:multiLevelType w:val="hybridMultilevel"/>
    <w:tmpl w:val="6C96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486354">
    <w:abstractNumId w:val="0"/>
  </w:num>
  <w:num w:numId="2" w16cid:durableId="5403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2F"/>
    <w:rsid w:val="00220606"/>
    <w:rsid w:val="008B762F"/>
    <w:rsid w:val="00FC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4774E6"/>
  <w15:chartTrackingRefBased/>
  <w15:docId w15:val="{58772108-22DF-D745-9E53-59D59263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06"/>
  </w:style>
  <w:style w:type="paragraph" w:styleId="Heading1">
    <w:name w:val="heading 1"/>
    <w:basedOn w:val="Normal"/>
    <w:next w:val="Normal"/>
    <w:link w:val="Heading1Char"/>
    <w:uiPriority w:val="9"/>
    <w:qFormat/>
    <w:rsid w:val="008B76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6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6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6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6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6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6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6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6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6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6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6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6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6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6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6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6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62F"/>
    <w:rPr>
      <w:rFonts w:eastAsiaTheme="majorEastAsia" w:cstheme="majorBidi"/>
      <w:color w:val="272727" w:themeColor="text1" w:themeTint="D8"/>
    </w:rPr>
  </w:style>
  <w:style w:type="paragraph" w:styleId="Title">
    <w:name w:val="Title"/>
    <w:basedOn w:val="Normal"/>
    <w:next w:val="Normal"/>
    <w:link w:val="TitleChar"/>
    <w:uiPriority w:val="10"/>
    <w:qFormat/>
    <w:rsid w:val="008B76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6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6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62F"/>
    <w:pPr>
      <w:spacing w:before="160"/>
      <w:jc w:val="center"/>
    </w:pPr>
    <w:rPr>
      <w:i/>
      <w:iCs/>
      <w:color w:val="404040" w:themeColor="text1" w:themeTint="BF"/>
    </w:rPr>
  </w:style>
  <w:style w:type="character" w:customStyle="1" w:styleId="QuoteChar">
    <w:name w:val="Quote Char"/>
    <w:basedOn w:val="DefaultParagraphFont"/>
    <w:link w:val="Quote"/>
    <w:uiPriority w:val="29"/>
    <w:rsid w:val="008B762F"/>
    <w:rPr>
      <w:i/>
      <w:iCs/>
      <w:color w:val="404040" w:themeColor="text1" w:themeTint="BF"/>
    </w:rPr>
  </w:style>
  <w:style w:type="paragraph" w:styleId="ListParagraph">
    <w:name w:val="List Paragraph"/>
    <w:basedOn w:val="Normal"/>
    <w:uiPriority w:val="34"/>
    <w:qFormat/>
    <w:rsid w:val="008B762F"/>
    <w:pPr>
      <w:ind w:left="720"/>
      <w:contextualSpacing/>
    </w:pPr>
  </w:style>
  <w:style w:type="character" w:styleId="IntenseEmphasis">
    <w:name w:val="Intense Emphasis"/>
    <w:basedOn w:val="DefaultParagraphFont"/>
    <w:uiPriority w:val="21"/>
    <w:qFormat/>
    <w:rsid w:val="008B762F"/>
    <w:rPr>
      <w:i/>
      <w:iCs/>
      <w:color w:val="0F4761" w:themeColor="accent1" w:themeShade="BF"/>
    </w:rPr>
  </w:style>
  <w:style w:type="paragraph" w:styleId="IntenseQuote">
    <w:name w:val="Intense Quote"/>
    <w:basedOn w:val="Normal"/>
    <w:next w:val="Normal"/>
    <w:link w:val="IntenseQuoteChar"/>
    <w:uiPriority w:val="30"/>
    <w:qFormat/>
    <w:rsid w:val="008B76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62F"/>
    <w:rPr>
      <w:i/>
      <w:iCs/>
      <w:color w:val="0F4761" w:themeColor="accent1" w:themeShade="BF"/>
    </w:rPr>
  </w:style>
  <w:style w:type="character" w:styleId="IntenseReference">
    <w:name w:val="Intense Reference"/>
    <w:basedOn w:val="DefaultParagraphFont"/>
    <w:uiPriority w:val="32"/>
    <w:qFormat/>
    <w:rsid w:val="008B762F"/>
    <w:rPr>
      <w:b/>
      <w:bCs/>
      <w:smallCaps/>
      <w:color w:val="0F4761" w:themeColor="accent1" w:themeShade="BF"/>
      <w:spacing w:val="5"/>
    </w:rPr>
  </w:style>
  <w:style w:type="table" w:styleId="TableGrid">
    <w:name w:val="Table Grid"/>
    <w:basedOn w:val="TableNormal"/>
    <w:uiPriority w:val="39"/>
    <w:rsid w:val="00220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Panta</dc:creator>
  <cp:keywords/>
  <dc:description/>
  <cp:lastModifiedBy>Aashish Panta</cp:lastModifiedBy>
  <cp:revision>2</cp:revision>
  <dcterms:created xsi:type="dcterms:W3CDTF">2024-07-17T19:35:00Z</dcterms:created>
  <dcterms:modified xsi:type="dcterms:W3CDTF">2024-07-17T19:37:00Z</dcterms:modified>
</cp:coreProperties>
</file>