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1C8E6" w14:textId="77777777" w:rsidR="005D6D1B" w:rsidRDefault="00000000">
      <w:pPr>
        <w:spacing w:before="1700"/>
        <w:jc w:val="center"/>
      </w:pPr>
      <w:r>
        <w:rPr>
          <w:b/>
          <w:bCs/>
          <w:color w:val="1F3864"/>
          <w:sz w:val="56"/>
          <w:szCs w:val="56"/>
        </w:rPr>
        <w:t>HR ANALYTICS</w:t>
      </w:r>
    </w:p>
    <w:p w14:paraId="38D4DE6C" w14:textId="77777777" w:rsidR="005D6D1B" w:rsidRDefault="00000000">
      <w:pPr>
        <w:spacing w:after="40"/>
        <w:jc w:val="center"/>
      </w:pPr>
      <w:r>
        <w:rPr>
          <w:color w:val="2E5496"/>
          <w:sz w:val="28"/>
          <w:szCs w:val="28"/>
        </w:rPr>
        <w:t>Employee Workforce Report</w:t>
      </w:r>
    </w:p>
    <w:p w14:paraId="596597EB" w14:textId="77777777" w:rsidR="005D6D1B" w:rsidRDefault="00000000">
      <w:pPr>
        <w:spacing w:after="400"/>
        <w:jc w:val="center"/>
      </w:pPr>
      <w:r>
        <w:rPr>
          <w:i/>
          <w:iCs/>
          <w:color w:val="595959"/>
        </w:rPr>
        <w:t>311 employees, 2006 to 2019</w:t>
      </w:r>
    </w:p>
    <w:p w14:paraId="2982058A" w14:textId="0E519E06" w:rsidR="005D6D1B" w:rsidRDefault="00000000">
      <w:pPr>
        <w:jc w:val="center"/>
      </w:pPr>
      <w:r>
        <w:rPr>
          <w:color w:val="595959"/>
          <w:sz w:val="20"/>
          <w:szCs w:val="20"/>
        </w:rPr>
        <w:t xml:space="preserve">Prepared by </w:t>
      </w:r>
      <w:r w:rsidR="00556E47">
        <w:rPr>
          <w:color w:val="595959"/>
          <w:sz w:val="20"/>
          <w:szCs w:val="20"/>
        </w:rPr>
        <w:t>Idowu Blessing Apara</w:t>
      </w:r>
    </w:p>
    <w:p w14:paraId="7C1B3993" w14:textId="77777777" w:rsidR="005D6D1B" w:rsidRDefault="00000000">
      <w:r>
        <w:br w:type="page"/>
      </w:r>
    </w:p>
    <w:p w14:paraId="3B7CB051" w14:textId="77777777" w:rsidR="005D6D1B" w:rsidRDefault="00000000">
      <w:pPr>
        <w:pStyle w:val="Heading1"/>
      </w:pPr>
      <w:r>
        <w:lastRenderedPageBreak/>
        <w:t>Project Overview</w:t>
      </w:r>
    </w:p>
    <w:p w14:paraId="3984ED44" w14:textId="77777777" w:rsidR="005D6D1B" w:rsidRDefault="00000000">
      <w:pPr>
        <w:spacing w:after="100" w:line="276" w:lineRule="auto"/>
      </w:pPr>
      <w:r>
        <w:t>The dataset contains 311 employees and 39 columns of HR records covering 2006 to 2019.</w:t>
      </w:r>
    </w:p>
    <w:p w14:paraId="3B8F1B60" w14:textId="77777777" w:rsidR="005D6D1B" w:rsidRDefault="00000000">
      <w:pPr>
        <w:pStyle w:val="ListParagraph"/>
        <w:numPr>
          <w:ilvl w:val="0"/>
          <w:numId w:val="2"/>
        </w:numPr>
        <w:spacing w:after="60"/>
      </w:pPr>
      <w:r>
        <w:t>Employee details: names, IDs, dates of birth, hire and termination dates, department, manager, and position.</w:t>
      </w:r>
    </w:p>
    <w:p w14:paraId="7C1A0B43" w14:textId="77777777" w:rsidR="005D6D1B" w:rsidRDefault="00000000">
      <w:pPr>
        <w:pStyle w:val="ListParagraph"/>
        <w:numPr>
          <w:ilvl w:val="0"/>
          <w:numId w:val="2"/>
        </w:numPr>
        <w:spacing w:after="60"/>
      </w:pPr>
      <w:r>
        <w:t>Pay and performance: salary, performance score, engagement survey, satisfaction score, and absences.</w:t>
      </w:r>
    </w:p>
    <w:p w14:paraId="0E2EFDEE" w14:textId="77777777" w:rsidR="005D6D1B" w:rsidRDefault="00000000">
      <w:pPr>
        <w:pStyle w:val="ListParagraph"/>
        <w:numPr>
          <w:ilvl w:val="0"/>
          <w:numId w:val="2"/>
        </w:numPr>
        <w:spacing w:after="60"/>
      </w:pPr>
      <w:r>
        <w:t>Sourcing and demographics: recruitment source, marital status, and related fields.</w:t>
      </w:r>
    </w:p>
    <w:p w14:paraId="3BD05F37" w14:textId="77777777" w:rsidR="005D6D1B" w:rsidRDefault="00000000">
      <w:pPr>
        <w:pStyle w:val="ListParagraph"/>
        <w:numPr>
          <w:ilvl w:val="0"/>
          <w:numId w:val="2"/>
        </w:numPr>
        <w:spacing w:after="60"/>
      </w:pPr>
      <w:r>
        <w:t>No hires, terminations, or performance reviews exist after 2019.</w:t>
      </w:r>
    </w:p>
    <w:p w14:paraId="43E18CF5" w14:textId="77777777" w:rsidR="005D6D1B" w:rsidRDefault="00000000">
      <w:pPr>
        <w:spacing w:after="100" w:line="276" w:lineRule="auto"/>
      </w:pPr>
      <w:r>
        <w:t>The raw file had quality issues, so the work ran in three steps: clean the data, build an interactive dashboard, then answer eight business questions with a clear action for each. The headline result is a turnover rate of 33.4 percent, and it is not spread evenly. It concentrates in the Production department, in employees under 30, and in the years 2015 and 2016.</w:t>
      </w:r>
    </w:p>
    <w:p w14:paraId="3EE973E3" w14:textId="77777777" w:rsidR="005D6D1B" w:rsidRDefault="00000000">
      <w:pPr>
        <w:pStyle w:val="Heading1"/>
      </w:pPr>
      <w:r>
        <w:t>Data Cleaning Process</w:t>
      </w:r>
    </w:p>
    <w:p w14:paraId="1D0F9FFD" w14:textId="77777777" w:rsidR="005D6D1B" w:rsidRDefault="00000000">
      <w:pPr>
        <w:pStyle w:val="ListParagraph"/>
        <w:numPr>
          <w:ilvl w:val="0"/>
          <w:numId w:val="2"/>
        </w:numPr>
        <w:spacing w:after="60"/>
      </w:pPr>
      <w:r>
        <w:t>Recalculated Age and Tenure to a fixed 31 December 2019 cutoff instead of today’s date.</w:t>
      </w:r>
    </w:p>
    <w:p w14:paraId="7B795C30" w14:textId="77777777" w:rsidR="005D6D1B" w:rsidRDefault="00000000">
      <w:pPr>
        <w:pStyle w:val="ListParagraph"/>
        <w:numPr>
          <w:ilvl w:val="0"/>
          <w:numId w:val="2"/>
        </w:numPr>
        <w:spacing w:after="60"/>
      </w:pPr>
      <w:r>
        <w:t>Filled 8 blank Manager IDs using a name lookup (all reported to Webster Butler, ID 39).</w:t>
      </w:r>
    </w:p>
    <w:p w14:paraId="79D28EE0" w14:textId="39814677" w:rsidR="005D6D1B" w:rsidRDefault="00556E47">
      <w:pPr>
        <w:pStyle w:val="ListParagraph"/>
        <w:numPr>
          <w:ilvl w:val="0"/>
          <w:numId w:val="2"/>
        </w:numPr>
        <w:spacing w:after="60"/>
      </w:pPr>
      <w:proofErr w:type="spellStart"/>
      <w:r>
        <w:t>Standardised</w:t>
      </w:r>
      <w:proofErr w:type="spellEnd"/>
      <w:r w:rsidR="00000000">
        <w:t xml:space="preserve"> text with TRIM and PROPER on five columns, keeping acronyms like IT and DBA intact.</w:t>
      </w:r>
    </w:p>
    <w:p w14:paraId="1DC027E1" w14:textId="77777777" w:rsidR="005D6D1B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Reconciled </w:t>
      </w:r>
      <w:proofErr w:type="spellStart"/>
      <w:r>
        <w:t>EmploymentStatus</w:t>
      </w:r>
      <w:proofErr w:type="spellEnd"/>
      <w:r>
        <w:t xml:space="preserve"> with the </w:t>
      </w:r>
      <w:proofErr w:type="spellStart"/>
      <w:r>
        <w:t>Termd</w:t>
      </w:r>
      <w:proofErr w:type="spellEnd"/>
      <w:r>
        <w:t xml:space="preserve"> flag and cleared </w:t>
      </w:r>
      <w:proofErr w:type="spellStart"/>
      <w:r>
        <w:t>TermReason</w:t>
      </w:r>
      <w:proofErr w:type="spellEnd"/>
      <w:r>
        <w:t xml:space="preserve"> for active staff.</w:t>
      </w:r>
    </w:p>
    <w:p w14:paraId="6FC6A9FE" w14:textId="77777777" w:rsidR="005D6D1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Added </w:t>
      </w:r>
      <w:proofErr w:type="spellStart"/>
      <w:r>
        <w:t>Term_Year</w:t>
      </w:r>
      <w:proofErr w:type="spellEnd"/>
      <w:r>
        <w:t xml:space="preserve">, </w:t>
      </w:r>
      <w:proofErr w:type="spellStart"/>
      <w:r>
        <w:t>Age_Group</w:t>
      </w:r>
      <w:proofErr w:type="spellEnd"/>
      <w:r>
        <w:t xml:space="preserve"> and Exceeds, then converted every formula to a static value.</w:t>
      </w:r>
    </w:p>
    <w:p w14:paraId="33746B83" w14:textId="77777777" w:rsidR="005D6D1B" w:rsidRDefault="00000000">
      <w:pPr>
        <w:pStyle w:val="Heading1"/>
      </w:pPr>
      <w:r>
        <w:t>Dashboard Overview and KPIs</w:t>
      </w:r>
    </w:p>
    <w:p w14:paraId="144D4C58" w14:textId="77777777" w:rsidR="005D6D1B" w:rsidRDefault="00000000">
      <w:pPr>
        <w:spacing w:after="100" w:line="276" w:lineRule="auto"/>
      </w:pPr>
      <w:r>
        <w:t>Eight KPIs summarize the workforce at a glance.</w:t>
      </w:r>
    </w:p>
    <w:tbl>
      <w:tblPr>
        <w:tblW w:w="4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</w:tblGrid>
      <w:tr w:rsidR="005D6D1B" w14:paraId="6EF509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697F1" w14:textId="77777777" w:rsidR="005D6D1B" w:rsidRDefault="00000000">
            <w:r>
              <w:rPr>
                <w:b/>
                <w:bCs/>
                <w:color w:val="1F3864"/>
              </w:rPr>
              <w:t>Total Employees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FFFCD" w14:textId="77777777" w:rsidR="005D6D1B" w:rsidRDefault="00000000">
            <w:pPr>
              <w:jc w:val="center"/>
            </w:pPr>
            <w:r>
              <w:rPr>
                <w:b/>
                <w:bCs/>
                <w:color w:val="2E5496"/>
              </w:rPr>
              <w:t>311</w:t>
            </w:r>
          </w:p>
        </w:tc>
      </w:tr>
      <w:tr w:rsidR="005D6D1B" w14:paraId="440F70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21B00" w14:textId="77777777" w:rsidR="005D6D1B" w:rsidRDefault="00000000">
            <w:r>
              <w:rPr>
                <w:b/>
                <w:bCs/>
                <w:color w:val="1F3864"/>
              </w:rPr>
              <w:t>Active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2BC53" w14:textId="77777777" w:rsidR="005D6D1B" w:rsidRDefault="00000000">
            <w:pPr>
              <w:jc w:val="center"/>
            </w:pPr>
            <w:r>
              <w:rPr>
                <w:b/>
                <w:bCs/>
                <w:color w:val="2E5496"/>
              </w:rPr>
              <w:t>207</w:t>
            </w:r>
          </w:p>
        </w:tc>
      </w:tr>
      <w:tr w:rsidR="005D6D1B" w14:paraId="5E7963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E6442" w14:textId="77777777" w:rsidR="005D6D1B" w:rsidRDefault="00000000">
            <w:r>
              <w:rPr>
                <w:b/>
                <w:bCs/>
                <w:color w:val="1F3864"/>
              </w:rPr>
              <w:t>Terminated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8F485" w14:textId="77777777" w:rsidR="005D6D1B" w:rsidRDefault="00000000">
            <w:pPr>
              <w:jc w:val="center"/>
            </w:pPr>
            <w:r>
              <w:rPr>
                <w:b/>
                <w:bCs/>
                <w:color w:val="2E5496"/>
              </w:rPr>
              <w:t>104</w:t>
            </w:r>
          </w:p>
        </w:tc>
      </w:tr>
      <w:tr w:rsidR="005D6D1B" w14:paraId="043E00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E1BB8" w14:textId="77777777" w:rsidR="005D6D1B" w:rsidRDefault="00000000">
            <w:r>
              <w:rPr>
                <w:b/>
                <w:bCs/>
                <w:color w:val="1F3864"/>
              </w:rPr>
              <w:t>Turnover Rate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A5D66" w14:textId="77777777" w:rsidR="005D6D1B" w:rsidRDefault="00000000">
            <w:pPr>
              <w:jc w:val="center"/>
            </w:pPr>
            <w:r>
              <w:rPr>
                <w:b/>
                <w:bCs/>
                <w:color w:val="2E5496"/>
              </w:rPr>
              <w:t>33.4%</w:t>
            </w:r>
          </w:p>
        </w:tc>
      </w:tr>
      <w:tr w:rsidR="005D6D1B" w14:paraId="5E2FBF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79F05" w14:textId="77777777" w:rsidR="005D6D1B" w:rsidRDefault="00000000">
            <w:r>
              <w:rPr>
                <w:b/>
                <w:bCs/>
                <w:color w:val="1F3864"/>
              </w:rPr>
              <w:t>Average Age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C6307" w14:textId="77777777" w:rsidR="005D6D1B" w:rsidRDefault="00000000">
            <w:pPr>
              <w:jc w:val="center"/>
            </w:pPr>
            <w:r>
              <w:rPr>
                <w:b/>
                <w:bCs/>
                <w:color w:val="2E5496"/>
              </w:rPr>
              <w:t>38.5 yrs</w:t>
            </w:r>
          </w:p>
        </w:tc>
      </w:tr>
      <w:tr w:rsidR="005D6D1B" w14:paraId="07CB0E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A7D7C" w14:textId="77777777" w:rsidR="005D6D1B" w:rsidRDefault="00000000">
            <w:r>
              <w:rPr>
                <w:b/>
                <w:bCs/>
                <w:color w:val="1F3864"/>
              </w:rPr>
              <w:t>Average Tenure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CEC1E" w14:textId="77777777" w:rsidR="005D6D1B" w:rsidRDefault="00000000">
            <w:pPr>
              <w:jc w:val="center"/>
            </w:pPr>
            <w:r>
              <w:rPr>
                <w:b/>
                <w:bCs/>
                <w:color w:val="2E5496"/>
              </w:rPr>
              <w:t>4.84 yrs</w:t>
            </w:r>
          </w:p>
        </w:tc>
      </w:tr>
      <w:tr w:rsidR="005D6D1B" w14:paraId="7A3009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D5396" w14:textId="77777777" w:rsidR="005D6D1B" w:rsidRDefault="00000000">
            <w:r>
              <w:rPr>
                <w:b/>
                <w:bCs/>
                <w:color w:val="1F3864"/>
              </w:rPr>
              <w:t>Average Salary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C61C9" w14:textId="77777777" w:rsidR="005D6D1B" w:rsidRDefault="00000000">
            <w:pPr>
              <w:jc w:val="center"/>
            </w:pPr>
            <w:r>
              <w:rPr>
                <w:b/>
                <w:bCs/>
                <w:color w:val="2E5496"/>
              </w:rPr>
              <w:t>$69,021</w:t>
            </w:r>
          </w:p>
        </w:tc>
      </w:tr>
      <w:tr w:rsidR="005D6D1B" w14:paraId="7DA551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0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F16E6" w14:textId="77777777" w:rsidR="005D6D1B" w:rsidRDefault="00000000">
            <w:r>
              <w:rPr>
                <w:b/>
                <w:bCs/>
                <w:color w:val="1F3864"/>
              </w:rPr>
              <w:t>Average Engagement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E371E" w14:textId="77777777" w:rsidR="005D6D1B" w:rsidRDefault="00000000">
            <w:pPr>
              <w:jc w:val="center"/>
            </w:pPr>
            <w:r>
              <w:rPr>
                <w:b/>
                <w:bCs/>
                <w:color w:val="2E5496"/>
              </w:rPr>
              <w:t>4.11</w:t>
            </w:r>
          </w:p>
        </w:tc>
      </w:tr>
    </w:tbl>
    <w:p w14:paraId="4A2B6F99" w14:textId="77777777" w:rsidR="005D6D1B" w:rsidRDefault="00000000">
      <w:r>
        <w:br w:type="page"/>
      </w:r>
    </w:p>
    <w:p w14:paraId="7F652EF3" w14:textId="77777777" w:rsidR="005D6D1B" w:rsidRDefault="00000000">
      <w:pPr>
        <w:pStyle w:val="Heading1"/>
      </w:pPr>
      <w:r>
        <w:lastRenderedPageBreak/>
        <w:t>Q1. Turnover rate and turnover by department</w:t>
      </w:r>
    </w:p>
    <w:p w14:paraId="67C70F78" w14:textId="77777777" w:rsidR="005D6D1B" w:rsidRDefault="00000000">
      <w:pPr>
        <w:spacing w:after="100" w:line="276" w:lineRule="auto"/>
      </w:pPr>
      <w:r>
        <w:rPr>
          <w:b/>
          <w:bCs/>
          <w:color w:val="1F3864"/>
        </w:rPr>
        <w:t xml:space="preserve">Answer.  </w:t>
      </w:r>
      <w:r>
        <w:t>Overall turnover is 33.4 percent, 104 of 311 employees. Production is highest at 39.7 percent. Sales is lowest among staffed teams at 16.1 percent.</w:t>
      </w:r>
    </w:p>
    <w:p w14:paraId="5AA95DB6" w14:textId="77777777" w:rsidR="005D6D1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BB97958" wp14:editId="7570F91C">
            <wp:extent cx="4095750" cy="224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F745" w14:textId="77777777" w:rsidR="005D6D1B" w:rsidRDefault="00000000">
      <w:pPr>
        <w:spacing w:after="100" w:line="276" w:lineRule="auto"/>
      </w:pPr>
      <w:r>
        <w:rPr>
          <w:b/>
          <w:bCs/>
          <w:color w:val="2E5496"/>
        </w:rPr>
        <w:t xml:space="preserve">Insight.  </w:t>
      </w:r>
      <w:r>
        <w:t>Production has both the most people and the highest exit rate, so it drives most of the company’s departures. Software Engineering is next at 36.4 percent.</w:t>
      </w:r>
    </w:p>
    <w:p w14:paraId="0B26D7FA" w14:textId="77777777" w:rsidR="005D6D1B" w:rsidRDefault="00000000">
      <w:pPr>
        <w:spacing w:after="100" w:line="276" w:lineRule="auto"/>
      </w:pPr>
      <w:r>
        <w:rPr>
          <w:b/>
          <w:bCs/>
          <w:color w:val="4472C4"/>
        </w:rPr>
        <w:t xml:space="preserve">Recommendation.  </w:t>
      </w:r>
      <w:r>
        <w:t>Start retention work in Production. Run stay-interviews, review supervisor quality, and check workload and shift design.</w:t>
      </w:r>
    </w:p>
    <w:p w14:paraId="6C38575A" w14:textId="77777777" w:rsidR="005D6D1B" w:rsidRDefault="00000000">
      <w:r>
        <w:br w:type="page"/>
      </w:r>
    </w:p>
    <w:p w14:paraId="487C071D" w14:textId="77777777" w:rsidR="005D6D1B" w:rsidRDefault="00000000">
      <w:pPr>
        <w:pStyle w:val="Heading1"/>
      </w:pPr>
      <w:r>
        <w:lastRenderedPageBreak/>
        <w:t>Q2. Year with the most terminations, 2010 to 2018</w:t>
      </w:r>
    </w:p>
    <w:p w14:paraId="5929C145" w14:textId="77777777" w:rsidR="005D6D1B" w:rsidRDefault="00000000">
      <w:pPr>
        <w:spacing w:after="100" w:line="276" w:lineRule="auto"/>
      </w:pPr>
      <w:r>
        <w:rPr>
          <w:b/>
          <w:bCs/>
          <w:color w:val="1F3864"/>
        </w:rPr>
        <w:t xml:space="preserve">Answer.  </w:t>
      </w:r>
      <w:r>
        <w:t>2015 had the most terminations at 23, with 2016 close behind at 22.</w:t>
      </w:r>
    </w:p>
    <w:p w14:paraId="31E856D3" w14:textId="77777777" w:rsidR="005D6D1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A11A6B4" wp14:editId="623500DC">
            <wp:extent cx="4095750" cy="2247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9F90" w14:textId="77777777" w:rsidR="005D6D1B" w:rsidRDefault="00000000">
      <w:pPr>
        <w:spacing w:after="100" w:line="276" w:lineRule="auto"/>
      </w:pPr>
      <w:r>
        <w:rPr>
          <w:b/>
          <w:bCs/>
          <w:color w:val="2E5496"/>
        </w:rPr>
        <w:t xml:space="preserve">Insight.  </w:t>
      </w:r>
      <w:r>
        <w:t>Exits climbed from 2012 and spiked across 2015 and 2016. A jump like that usually points to a specific cause, not steady churn.</w:t>
      </w:r>
    </w:p>
    <w:p w14:paraId="71913904" w14:textId="77777777" w:rsidR="005D6D1B" w:rsidRDefault="00000000">
      <w:pPr>
        <w:spacing w:after="100" w:line="276" w:lineRule="auto"/>
      </w:pPr>
      <w:r>
        <w:rPr>
          <w:b/>
          <w:bCs/>
          <w:color w:val="4472C4"/>
        </w:rPr>
        <w:t xml:space="preserve">Recommendation.  </w:t>
      </w:r>
      <w:r>
        <w:t>Review what changed in 2015, such as leadership, pay, or a large earlier hiring group. Log an exit reason for every leaver going forward.</w:t>
      </w:r>
    </w:p>
    <w:p w14:paraId="6B454942" w14:textId="77777777" w:rsidR="005D6D1B" w:rsidRDefault="00000000">
      <w:r>
        <w:br w:type="page"/>
      </w:r>
    </w:p>
    <w:p w14:paraId="5C185E17" w14:textId="77777777" w:rsidR="005D6D1B" w:rsidRDefault="00000000">
      <w:pPr>
        <w:pStyle w:val="Heading1"/>
      </w:pPr>
      <w:r>
        <w:lastRenderedPageBreak/>
        <w:t>Q3. Average tenure of leavers, Production vs IT</w:t>
      </w:r>
    </w:p>
    <w:p w14:paraId="2DDE6E99" w14:textId="77777777" w:rsidR="005D6D1B" w:rsidRDefault="00000000">
      <w:pPr>
        <w:spacing w:after="100" w:line="276" w:lineRule="auto"/>
      </w:pPr>
      <w:r>
        <w:rPr>
          <w:b/>
          <w:bCs/>
          <w:color w:val="1F3864"/>
        </w:rPr>
        <w:t xml:space="preserve">Answer.  </w:t>
      </w:r>
      <w:r>
        <w:t>Leavers stay about 3 years on average. IT/IS staff leave at 1.3 years, while Production leavers stay 3.3 years. Production does not leave sooner.</w:t>
      </w:r>
    </w:p>
    <w:p w14:paraId="4945C00B" w14:textId="77777777" w:rsidR="005D6D1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66EDDFA" wp14:editId="0646826F">
            <wp:extent cx="3810000" cy="2314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4562" w14:textId="77777777" w:rsidR="005D6D1B" w:rsidRDefault="00000000">
      <w:pPr>
        <w:spacing w:after="100" w:line="276" w:lineRule="auto"/>
      </w:pPr>
      <w:r>
        <w:rPr>
          <w:b/>
          <w:bCs/>
          <w:color w:val="2E5496"/>
        </w:rPr>
        <w:t xml:space="preserve">Insight.  </w:t>
      </w:r>
      <w:r>
        <w:t>IT/IS loses people fast, which points to fit and onboarding. Production loses people in volume, but only after a fair run.</w:t>
      </w:r>
    </w:p>
    <w:p w14:paraId="5DA37CD8" w14:textId="77777777" w:rsidR="005D6D1B" w:rsidRDefault="00000000">
      <w:pPr>
        <w:spacing w:after="100" w:line="276" w:lineRule="auto"/>
      </w:pPr>
      <w:r>
        <w:rPr>
          <w:b/>
          <w:bCs/>
          <w:color w:val="4472C4"/>
        </w:rPr>
        <w:t xml:space="preserve">Recommendation.  </w:t>
      </w:r>
      <w:r>
        <w:t>Improve the first year in IT/IS with proper onboarding and a 90-day checkpoint. Keep the Production focus on volume, not speed.</w:t>
      </w:r>
    </w:p>
    <w:p w14:paraId="63F945CE" w14:textId="77777777" w:rsidR="005D6D1B" w:rsidRDefault="00000000">
      <w:r>
        <w:br w:type="page"/>
      </w:r>
    </w:p>
    <w:p w14:paraId="6CF7D9C8" w14:textId="77777777" w:rsidR="005D6D1B" w:rsidRDefault="00000000">
      <w:pPr>
        <w:pStyle w:val="Heading1"/>
      </w:pPr>
      <w:r>
        <w:lastRenderedPageBreak/>
        <w:t>Q4. Best recruitment source</w:t>
      </w:r>
    </w:p>
    <w:p w14:paraId="7B6AC7B6" w14:textId="77777777" w:rsidR="005D6D1B" w:rsidRDefault="00000000">
      <w:pPr>
        <w:spacing w:after="100" w:line="276" w:lineRule="auto"/>
      </w:pPr>
      <w:r>
        <w:rPr>
          <w:b/>
          <w:bCs/>
          <w:color w:val="1F3864"/>
        </w:rPr>
        <w:t xml:space="preserve">Answer.  </w:t>
      </w:r>
      <w:proofErr w:type="gramStart"/>
      <w:r>
        <w:t>Indeed</w:t>
      </w:r>
      <w:proofErr w:type="gramEnd"/>
      <w:r>
        <w:t xml:space="preserve"> brings the most hires at 87. The Diversity Job Fair brings the best quality, with about 1 in 5 hires rated Exceeds.</w:t>
      </w:r>
    </w:p>
    <w:p w14:paraId="4A7C8D46" w14:textId="77777777" w:rsidR="005D6D1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A06A228" wp14:editId="4B87BD76">
            <wp:extent cx="4286250" cy="2276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8F85" w14:textId="77777777" w:rsidR="005D6D1B" w:rsidRDefault="00000000">
      <w:pPr>
        <w:spacing w:after="100" w:line="276" w:lineRule="auto"/>
      </w:pPr>
      <w:r>
        <w:rPr>
          <w:b/>
          <w:bCs/>
          <w:color w:val="2E5496"/>
        </w:rPr>
        <w:t xml:space="preserve">Insight.  </w:t>
      </w:r>
      <w:r>
        <w:t>Volume and quality come from different channels. Ranking sources by headcount alone hides the ones producing the strongest hires.</w:t>
      </w:r>
    </w:p>
    <w:p w14:paraId="0C42BA09" w14:textId="77777777" w:rsidR="005D6D1B" w:rsidRDefault="00000000">
      <w:pPr>
        <w:spacing w:after="100" w:line="276" w:lineRule="auto"/>
      </w:pPr>
      <w:r>
        <w:rPr>
          <w:b/>
          <w:bCs/>
          <w:color w:val="4472C4"/>
        </w:rPr>
        <w:t xml:space="preserve">Recommendation.  </w:t>
      </w:r>
      <w:r>
        <w:t>Keep Indeed and LinkedIn for reach. Grow referrals and the Diversity Job Fair for quality, and track performance per hire by source.</w:t>
      </w:r>
    </w:p>
    <w:p w14:paraId="76E7A124" w14:textId="77777777" w:rsidR="005D6D1B" w:rsidRDefault="00000000">
      <w:r>
        <w:br w:type="page"/>
      </w:r>
    </w:p>
    <w:p w14:paraId="2F1DD2EC" w14:textId="77777777" w:rsidR="005D6D1B" w:rsidRDefault="00000000">
      <w:pPr>
        <w:pStyle w:val="Heading1"/>
      </w:pPr>
      <w:r>
        <w:lastRenderedPageBreak/>
        <w:t xml:space="preserve">Q5. Gender </w:t>
      </w:r>
      <w:proofErr w:type="gramStart"/>
      <w:r>
        <w:t>pay</w:t>
      </w:r>
      <w:proofErr w:type="gramEnd"/>
      <w:r>
        <w:t xml:space="preserve"> gap</w:t>
      </w:r>
    </w:p>
    <w:p w14:paraId="2631707E" w14:textId="77777777" w:rsidR="005D6D1B" w:rsidRDefault="00000000">
      <w:pPr>
        <w:spacing w:after="100" w:line="276" w:lineRule="auto"/>
      </w:pPr>
      <w:r>
        <w:rPr>
          <w:b/>
          <w:bCs/>
          <w:color w:val="1F3864"/>
        </w:rPr>
        <w:t xml:space="preserve">Answer.  </w:t>
      </w:r>
      <w:r>
        <w:t>Men average $70,629 and women average $67,787. The gap is $2,842, or 4.2 percent.</w:t>
      </w:r>
    </w:p>
    <w:p w14:paraId="51B5538F" w14:textId="77777777" w:rsidR="005D6D1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17C250B" wp14:editId="02A5F449">
            <wp:extent cx="3143250" cy="2219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8139" w14:textId="77777777" w:rsidR="005D6D1B" w:rsidRDefault="00000000">
      <w:pPr>
        <w:spacing w:after="100" w:line="276" w:lineRule="auto"/>
      </w:pPr>
      <w:r>
        <w:rPr>
          <w:b/>
          <w:bCs/>
          <w:color w:val="2E5496"/>
        </w:rPr>
        <w:t xml:space="preserve">Insight.  </w:t>
      </w:r>
      <w:r>
        <w:t>The gap is small, and a raw average hides role, seniority, and tenure. It could shrink or grow once you compare like for like.</w:t>
      </w:r>
    </w:p>
    <w:p w14:paraId="02912D3F" w14:textId="77777777" w:rsidR="005D6D1B" w:rsidRDefault="00000000">
      <w:pPr>
        <w:spacing w:after="100" w:line="276" w:lineRule="auto"/>
      </w:pPr>
      <w:r>
        <w:rPr>
          <w:b/>
          <w:bCs/>
          <w:color w:val="4472C4"/>
        </w:rPr>
        <w:t xml:space="preserve">Recommendation.  </w:t>
      </w:r>
      <w:r>
        <w:t>Run a pay review that holds position, tenure, and performance constant, then track the adjusted number each year.</w:t>
      </w:r>
    </w:p>
    <w:p w14:paraId="16816C95" w14:textId="77777777" w:rsidR="005D6D1B" w:rsidRDefault="00000000">
      <w:r>
        <w:br w:type="page"/>
      </w:r>
    </w:p>
    <w:p w14:paraId="7E2F476D" w14:textId="77777777" w:rsidR="005D6D1B" w:rsidRDefault="00000000">
      <w:pPr>
        <w:pStyle w:val="Heading1"/>
      </w:pPr>
      <w:r>
        <w:lastRenderedPageBreak/>
        <w:t>Q6. Age group with the highest turnover</w:t>
      </w:r>
    </w:p>
    <w:p w14:paraId="76D41363" w14:textId="77777777" w:rsidR="005D6D1B" w:rsidRDefault="00000000">
      <w:pPr>
        <w:spacing w:after="100" w:line="276" w:lineRule="auto"/>
      </w:pPr>
      <w:r>
        <w:rPr>
          <w:b/>
          <w:bCs/>
          <w:color w:val="1F3864"/>
        </w:rPr>
        <w:t xml:space="preserve">Answer.  </w:t>
      </w:r>
      <w:r>
        <w:t>Under 30 has the highest turnover at 77.5 percent, more than double any other age group.</w:t>
      </w:r>
    </w:p>
    <w:p w14:paraId="40F8A14B" w14:textId="77777777" w:rsidR="005D6D1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3994D77" wp14:editId="1B3DA9DF">
            <wp:extent cx="3429000" cy="2228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9C7B" w14:textId="77777777" w:rsidR="005D6D1B" w:rsidRDefault="00000000">
      <w:pPr>
        <w:spacing w:after="100" w:line="276" w:lineRule="auto"/>
      </w:pPr>
      <w:r>
        <w:rPr>
          <w:b/>
          <w:bCs/>
          <w:color w:val="2E5496"/>
        </w:rPr>
        <w:t xml:space="preserve">Insight.  </w:t>
      </w:r>
      <w:r>
        <w:t>Early-career churn is the sharpest signal in the data. It is costly, and it hits the Production and IT/IS teams hardest because they skew young.</w:t>
      </w:r>
    </w:p>
    <w:p w14:paraId="388FD32E" w14:textId="77777777" w:rsidR="005D6D1B" w:rsidRDefault="00000000">
      <w:pPr>
        <w:spacing w:after="100" w:line="276" w:lineRule="auto"/>
      </w:pPr>
      <w:r>
        <w:rPr>
          <w:b/>
          <w:bCs/>
          <w:color w:val="4472C4"/>
        </w:rPr>
        <w:t xml:space="preserve">Recommendation.  </w:t>
      </w:r>
      <w:r>
        <w:t>Build an early-career track: a mentor from week one, a clear 12-month path, and check-ins at 30, 90, and 180 days.</w:t>
      </w:r>
    </w:p>
    <w:p w14:paraId="00A563E8" w14:textId="77777777" w:rsidR="005D6D1B" w:rsidRDefault="00000000">
      <w:r>
        <w:br w:type="page"/>
      </w:r>
    </w:p>
    <w:p w14:paraId="63F666BD" w14:textId="77777777" w:rsidR="005D6D1B" w:rsidRDefault="00000000">
      <w:pPr>
        <w:pStyle w:val="Heading1"/>
      </w:pPr>
      <w:r>
        <w:lastRenderedPageBreak/>
        <w:t>Q7. Engagement and satisfaction by department</w:t>
      </w:r>
    </w:p>
    <w:p w14:paraId="7ED047FC" w14:textId="77777777" w:rsidR="005D6D1B" w:rsidRDefault="00000000">
      <w:pPr>
        <w:spacing w:after="100" w:line="276" w:lineRule="auto"/>
      </w:pPr>
      <w:r>
        <w:rPr>
          <w:b/>
          <w:bCs/>
          <w:color w:val="1F3864"/>
        </w:rPr>
        <w:t xml:space="preserve">Answer.  </w:t>
      </w:r>
      <w:r>
        <w:t>Admin Offices has the highest engagement at 4.39. Software Engineering has the highest satisfaction at 4.09. Sales is lowest on engagement at 3.82.</w:t>
      </w:r>
    </w:p>
    <w:p w14:paraId="1766865C" w14:textId="77777777" w:rsidR="005D6D1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7AAA01D" wp14:editId="57CD32AE">
            <wp:extent cx="4286250" cy="2276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3BFB" w14:textId="77777777" w:rsidR="005D6D1B" w:rsidRDefault="00000000">
      <w:pPr>
        <w:spacing w:after="100" w:line="276" w:lineRule="auto"/>
      </w:pPr>
      <w:r>
        <w:rPr>
          <w:b/>
          <w:bCs/>
          <w:color w:val="2E5496"/>
        </w:rPr>
        <w:t xml:space="preserve">Insight.  </w:t>
      </w:r>
      <w:r>
        <w:t>Engagement and satisfaction do not always move together. Sales is the team to watch, since weak engagement often shows up in exits a year later.</w:t>
      </w:r>
    </w:p>
    <w:p w14:paraId="6F32EDBD" w14:textId="77777777" w:rsidR="005D6D1B" w:rsidRDefault="00000000">
      <w:pPr>
        <w:spacing w:after="100" w:line="276" w:lineRule="auto"/>
      </w:pPr>
      <w:r>
        <w:rPr>
          <w:b/>
          <w:bCs/>
          <w:color w:val="4472C4"/>
        </w:rPr>
        <w:t xml:space="preserve">Recommendation.  </w:t>
      </w:r>
      <w:r>
        <w:t>Run an engagement check in Sales now, and copy what Admin and Software Engineering do well.</w:t>
      </w:r>
    </w:p>
    <w:p w14:paraId="0FD75889" w14:textId="77777777" w:rsidR="005D6D1B" w:rsidRDefault="00000000">
      <w:r>
        <w:br w:type="page"/>
      </w:r>
    </w:p>
    <w:p w14:paraId="536C3066" w14:textId="77777777" w:rsidR="005D6D1B" w:rsidRDefault="00000000">
      <w:pPr>
        <w:pStyle w:val="Heading1"/>
      </w:pPr>
      <w:r>
        <w:lastRenderedPageBreak/>
        <w:t>Q8. Do high performers stay longer</w:t>
      </w:r>
    </w:p>
    <w:p w14:paraId="78898E78" w14:textId="77777777" w:rsidR="005D6D1B" w:rsidRDefault="00000000">
      <w:pPr>
        <w:spacing w:after="100" w:line="276" w:lineRule="auto"/>
      </w:pPr>
      <w:r>
        <w:rPr>
          <w:b/>
          <w:bCs/>
          <w:color w:val="1F3864"/>
        </w:rPr>
        <w:t xml:space="preserve">Answer.  </w:t>
      </w:r>
      <w:r>
        <w:t>Yes. Employees rated Exceeds stay 5.7 years. Those on a PIP stay 4.4 years.</w:t>
      </w:r>
    </w:p>
    <w:p w14:paraId="502B947E" w14:textId="77777777" w:rsidR="005D6D1B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61E1540" wp14:editId="7B22227F">
            <wp:extent cx="4095750" cy="2247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8C34" w14:textId="77777777" w:rsidR="005D6D1B" w:rsidRDefault="00000000">
      <w:pPr>
        <w:spacing w:after="100" w:line="276" w:lineRule="auto"/>
      </w:pPr>
      <w:r>
        <w:rPr>
          <w:b/>
          <w:bCs/>
          <w:color w:val="2E5496"/>
        </w:rPr>
        <w:t xml:space="preserve">Insight.  </w:t>
      </w:r>
      <w:r>
        <w:t>Performance and loyalty go together, so losing a top performer costs the most. A PIP is often the last step before someone leaves.</w:t>
      </w:r>
    </w:p>
    <w:p w14:paraId="37CB65FB" w14:textId="77777777" w:rsidR="005D6D1B" w:rsidRDefault="00000000">
      <w:pPr>
        <w:spacing w:after="100" w:line="276" w:lineRule="auto"/>
      </w:pPr>
      <w:r>
        <w:rPr>
          <w:b/>
          <w:bCs/>
          <w:color w:val="4472C4"/>
        </w:rPr>
        <w:t xml:space="preserve">Recommendation.  </w:t>
      </w:r>
      <w:r>
        <w:t>Protect top performers with recognition, pay, and growth. Treat a PIP as a real turnaround with support, not a formality.</w:t>
      </w:r>
    </w:p>
    <w:p w14:paraId="111425C7" w14:textId="77777777" w:rsidR="005D6D1B" w:rsidRDefault="00000000">
      <w:r>
        <w:br w:type="page"/>
      </w:r>
    </w:p>
    <w:p w14:paraId="4CFA03BB" w14:textId="77777777" w:rsidR="005D6D1B" w:rsidRDefault="00000000">
      <w:pPr>
        <w:pStyle w:val="Heading1"/>
      </w:pPr>
      <w:r>
        <w:lastRenderedPageBreak/>
        <w:t>Key Recommendations</w:t>
      </w:r>
    </w:p>
    <w:p w14:paraId="2E6DFEDE" w14:textId="77777777" w:rsidR="005D6D1B" w:rsidRDefault="00000000">
      <w:pPr>
        <w:pStyle w:val="ListParagraph"/>
        <w:numPr>
          <w:ilvl w:val="0"/>
          <w:numId w:val="2"/>
        </w:numPr>
        <w:spacing w:after="60"/>
      </w:pPr>
      <w:r>
        <w:t>Fix Production first. It has the highest turnover in the largest team, so it moves the company number most.</w:t>
      </w:r>
    </w:p>
    <w:p w14:paraId="4CD74DA2" w14:textId="77777777" w:rsidR="005D6D1B" w:rsidRDefault="00000000">
      <w:pPr>
        <w:pStyle w:val="ListParagraph"/>
        <w:numPr>
          <w:ilvl w:val="0"/>
          <w:numId w:val="2"/>
        </w:numPr>
        <w:spacing w:after="60"/>
      </w:pPr>
      <w:r>
        <w:t>Catch under-30s early with onboarding, mentoring, and regular check-ins.</w:t>
      </w:r>
    </w:p>
    <w:p w14:paraId="7ACA2886" w14:textId="77777777" w:rsidR="005D6D1B" w:rsidRDefault="00000000">
      <w:pPr>
        <w:pStyle w:val="ListParagraph"/>
        <w:numPr>
          <w:ilvl w:val="0"/>
          <w:numId w:val="2"/>
        </w:numPr>
        <w:spacing w:after="60"/>
      </w:pPr>
      <w:r>
        <w:t>Repair IT/IS early exits by improving the first-year experience.</w:t>
      </w:r>
    </w:p>
    <w:p w14:paraId="5DFF4C32" w14:textId="4496EE5E" w:rsidR="005D6D1B" w:rsidRDefault="00000000" w:rsidP="00556E47">
      <w:pPr>
        <w:pStyle w:val="ListParagraph"/>
        <w:numPr>
          <w:ilvl w:val="0"/>
          <w:numId w:val="2"/>
        </w:numPr>
        <w:spacing w:after="60"/>
      </w:pPr>
      <w:r>
        <w:t>Recruit for quality by growing referrals and the Diversity Job Fair.</w:t>
      </w:r>
    </w:p>
    <w:p w14:paraId="261B0C35" w14:textId="77777777" w:rsidR="005D6D1B" w:rsidRDefault="00000000">
      <w:pPr>
        <w:pStyle w:val="Heading1"/>
      </w:pPr>
      <w:r>
        <w:t>Conclusion</w:t>
      </w:r>
    </w:p>
    <w:p w14:paraId="76B01243" w14:textId="042D068B" w:rsidR="005D6D1B" w:rsidRDefault="00000000">
      <w:pPr>
        <w:spacing w:after="100" w:line="276" w:lineRule="auto"/>
      </w:pPr>
      <w:r>
        <w:t>Turnover is high at 33.4 percent, but it is concentrated and therefore fixable. Three moves carry most of the value: stabilize Production, keep young employees longer, and protect top performers.</w:t>
      </w:r>
    </w:p>
    <w:sectPr w:rsidR="005D6D1B">
      <w:headerReference w:type="default" r:id="rId15"/>
      <w:footerReference w:type="default" r:id="rId16"/>
      <w:pgSz w:w="12240" w:h="15840"/>
      <w:pgMar w:top="1080" w:right="1180" w:bottom="1080" w:left="11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0956E" w14:textId="77777777" w:rsidR="00494C06" w:rsidRDefault="00494C06">
      <w:r>
        <w:separator/>
      </w:r>
    </w:p>
  </w:endnote>
  <w:endnote w:type="continuationSeparator" w:id="0">
    <w:p w14:paraId="55B15BC9" w14:textId="77777777" w:rsidR="00494C06" w:rsidRDefault="00494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84A56" w14:textId="77777777" w:rsidR="005D6D1B" w:rsidRDefault="00000000">
    <w:pPr>
      <w:jc w:val="center"/>
    </w:pPr>
    <w:r>
      <w:rPr>
        <w:color w:val="A6A6A6"/>
        <w:sz w:val="16"/>
        <w:szCs w:val="16"/>
      </w:rPr>
      <w:t xml:space="preserve">Page </w:t>
    </w:r>
    <w:r>
      <w:rPr>
        <w:color w:val="A6A6A6"/>
        <w:sz w:val="16"/>
        <w:szCs w:val="16"/>
      </w:rPr>
      <w:fldChar w:fldCharType="begin"/>
    </w:r>
    <w:r>
      <w:rPr>
        <w:color w:val="A6A6A6"/>
        <w:sz w:val="16"/>
        <w:szCs w:val="16"/>
      </w:rPr>
      <w:instrText>PAGE</w:instrText>
    </w:r>
    <w:r>
      <w:rPr>
        <w:color w:val="A6A6A6"/>
        <w:sz w:val="16"/>
        <w:szCs w:val="16"/>
      </w:rPr>
      <w:fldChar w:fldCharType="separate"/>
    </w:r>
    <w:r w:rsidR="00556E47">
      <w:rPr>
        <w:noProof/>
        <w:color w:val="A6A6A6"/>
        <w:sz w:val="16"/>
        <w:szCs w:val="16"/>
      </w:rPr>
      <w:t>1</w:t>
    </w:r>
    <w:r>
      <w:rPr>
        <w:color w:val="A6A6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ADEC1" w14:textId="77777777" w:rsidR="00494C06" w:rsidRDefault="00494C06">
      <w:r>
        <w:separator/>
      </w:r>
    </w:p>
  </w:footnote>
  <w:footnote w:type="continuationSeparator" w:id="0">
    <w:p w14:paraId="78644141" w14:textId="77777777" w:rsidR="00494C06" w:rsidRDefault="00494C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D5D6A" w14:textId="77777777" w:rsidR="005D6D1B" w:rsidRDefault="00000000">
    <w:pPr>
      <w:jc w:val="right"/>
    </w:pPr>
    <w:r>
      <w:rPr>
        <w:color w:val="A6A6A6"/>
        <w:sz w:val="16"/>
        <w:szCs w:val="16"/>
      </w:rPr>
      <w:t>HR Analytics, Employee Workforce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C18D4"/>
    <w:multiLevelType w:val="hybridMultilevel"/>
    <w:tmpl w:val="83C45DEE"/>
    <w:lvl w:ilvl="0" w:tplc="CD5AAB2C">
      <w:start w:val="1"/>
      <w:numFmt w:val="bullet"/>
      <w:lvlText w:val="•"/>
      <w:lvlJc w:val="left"/>
      <w:pPr>
        <w:ind w:left="360" w:hanging="240"/>
      </w:pPr>
      <w:rPr>
        <w:color w:val="4472C4"/>
      </w:rPr>
    </w:lvl>
    <w:lvl w:ilvl="1" w:tplc="5D502916">
      <w:numFmt w:val="decimal"/>
      <w:lvlText w:val=""/>
      <w:lvlJc w:val="left"/>
    </w:lvl>
    <w:lvl w:ilvl="2" w:tplc="AE662160">
      <w:numFmt w:val="decimal"/>
      <w:lvlText w:val=""/>
      <w:lvlJc w:val="left"/>
    </w:lvl>
    <w:lvl w:ilvl="3" w:tplc="E42854BC">
      <w:numFmt w:val="decimal"/>
      <w:lvlText w:val=""/>
      <w:lvlJc w:val="left"/>
    </w:lvl>
    <w:lvl w:ilvl="4" w:tplc="15A26B0A">
      <w:numFmt w:val="decimal"/>
      <w:lvlText w:val=""/>
      <w:lvlJc w:val="left"/>
    </w:lvl>
    <w:lvl w:ilvl="5" w:tplc="E24AE186">
      <w:numFmt w:val="decimal"/>
      <w:lvlText w:val=""/>
      <w:lvlJc w:val="left"/>
    </w:lvl>
    <w:lvl w:ilvl="6" w:tplc="600E9044">
      <w:numFmt w:val="decimal"/>
      <w:lvlText w:val=""/>
      <w:lvlJc w:val="left"/>
    </w:lvl>
    <w:lvl w:ilvl="7" w:tplc="22D6C580">
      <w:numFmt w:val="decimal"/>
      <w:lvlText w:val=""/>
      <w:lvlJc w:val="left"/>
    </w:lvl>
    <w:lvl w:ilvl="8" w:tplc="388835AC">
      <w:numFmt w:val="decimal"/>
      <w:lvlText w:val=""/>
      <w:lvlJc w:val="left"/>
    </w:lvl>
  </w:abstractNum>
  <w:abstractNum w:abstractNumId="1" w15:restartNumberingAfterBreak="0">
    <w:nsid w:val="6B9511FB"/>
    <w:multiLevelType w:val="hybridMultilevel"/>
    <w:tmpl w:val="185AB84E"/>
    <w:lvl w:ilvl="0" w:tplc="18583A22">
      <w:start w:val="1"/>
      <w:numFmt w:val="bullet"/>
      <w:lvlText w:val="●"/>
      <w:lvlJc w:val="left"/>
      <w:pPr>
        <w:ind w:left="720" w:hanging="360"/>
      </w:pPr>
    </w:lvl>
    <w:lvl w:ilvl="1" w:tplc="98428856">
      <w:start w:val="1"/>
      <w:numFmt w:val="bullet"/>
      <w:lvlText w:val="○"/>
      <w:lvlJc w:val="left"/>
      <w:pPr>
        <w:ind w:left="1440" w:hanging="360"/>
      </w:pPr>
    </w:lvl>
    <w:lvl w:ilvl="2" w:tplc="C324BC9A">
      <w:start w:val="1"/>
      <w:numFmt w:val="bullet"/>
      <w:lvlText w:val="■"/>
      <w:lvlJc w:val="left"/>
      <w:pPr>
        <w:ind w:left="2160" w:hanging="360"/>
      </w:pPr>
    </w:lvl>
    <w:lvl w:ilvl="3" w:tplc="114277C6">
      <w:start w:val="1"/>
      <w:numFmt w:val="bullet"/>
      <w:lvlText w:val="●"/>
      <w:lvlJc w:val="left"/>
      <w:pPr>
        <w:ind w:left="2880" w:hanging="360"/>
      </w:pPr>
    </w:lvl>
    <w:lvl w:ilvl="4" w:tplc="4AB20494">
      <w:start w:val="1"/>
      <w:numFmt w:val="bullet"/>
      <w:lvlText w:val="○"/>
      <w:lvlJc w:val="left"/>
      <w:pPr>
        <w:ind w:left="3600" w:hanging="360"/>
      </w:pPr>
    </w:lvl>
    <w:lvl w:ilvl="5" w:tplc="E9DE8B64">
      <w:start w:val="1"/>
      <w:numFmt w:val="bullet"/>
      <w:lvlText w:val="■"/>
      <w:lvlJc w:val="left"/>
      <w:pPr>
        <w:ind w:left="4320" w:hanging="360"/>
      </w:pPr>
    </w:lvl>
    <w:lvl w:ilvl="6" w:tplc="EAD22544">
      <w:start w:val="1"/>
      <w:numFmt w:val="bullet"/>
      <w:lvlText w:val="●"/>
      <w:lvlJc w:val="left"/>
      <w:pPr>
        <w:ind w:left="5040" w:hanging="360"/>
      </w:pPr>
    </w:lvl>
    <w:lvl w:ilvl="7" w:tplc="F0824480">
      <w:start w:val="1"/>
      <w:numFmt w:val="bullet"/>
      <w:lvlText w:val="●"/>
      <w:lvlJc w:val="left"/>
      <w:pPr>
        <w:ind w:left="5760" w:hanging="360"/>
      </w:pPr>
    </w:lvl>
    <w:lvl w:ilvl="8" w:tplc="54CCA092">
      <w:start w:val="1"/>
      <w:numFmt w:val="bullet"/>
      <w:lvlText w:val="●"/>
      <w:lvlJc w:val="left"/>
      <w:pPr>
        <w:ind w:left="6480" w:hanging="360"/>
      </w:pPr>
    </w:lvl>
  </w:abstractNum>
  <w:num w:numId="1" w16cid:durableId="1767117167">
    <w:abstractNumId w:val="1"/>
    <w:lvlOverride w:ilvl="0">
      <w:startOverride w:val="1"/>
    </w:lvlOverride>
  </w:num>
  <w:num w:numId="2" w16cid:durableId="18324766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1B"/>
    <w:rsid w:val="00494C06"/>
    <w:rsid w:val="004E442A"/>
    <w:rsid w:val="00556E47"/>
    <w:rsid w:val="005D6D1B"/>
    <w:rsid w:val="0076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CBEF0"/>
  <w15:docId w15:val="{C6EC5F22-4E16-497D-A195-7AD7DD686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4472C4"/>
      </w:pBdr>
      <w:spacing w:before="28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857</Words>
  <Characters>4890</Characters>
  <Application>Microsoft Office Word</Application>
  <DocSecurity>0</DocSecurity>
  <Lines>40</Lines>
  <Paragraphs>11</Paragraphs>
  <ScaleCrop>false</ScaleCrop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BLESSING APARA</cp:lastModifiedBy>
  <cp:revision>2</cp:revision>
  <dcterms:created xsi:type="dcterms:W3CDTF">2026-07-15T22:53:00Z</dcterms:created>
  <dcterms:modified xsi:type="dcterms:W3CDTF">2026-07-15T22:53:00Z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bd77e73b-3462-4f3c-b6f3-1d7b1f3e0a5f</vt:lpwstr>
  </property>
</Properties>
</file>