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3FB3F" w14:textId="77777777" w:rsidR="004769A6" w:rsidRPr="004769A6" w:rsidRDefault="004769A6" w:rsidP="004769A6">
      <w:pPr>
        <w:jc w:val="center"/>
        <w:rPr>
          <w:b/>
          <w:bCs/>
          <w:sz w:val="28"/>
          <w:szCs w:val="28"/>
        </w:rPr>
      </w:pPr>
      <w:r w:rsidRPr="004769A6">
        <w:rPr>
          <w:rFonts w:ascii="Segoe UI Emoji" w:hAnsi="Segoe UI Emoji" w:cs="Segoe UI Emoji"/>
          <w:b/>
          <w:bCs/>
          <w:sz w:val="28"/>
          <w:szCs w:val="28"/>
        </w:rPr>
        <w:t>📊</w:t>
      </w:r>
      <w:r w:rsidRPr="004769A6">
        <w:rPr>
          <w:b/>
          <w:bCs/>
          <w:sz w:val="28"/>
          <w:szCs w:val="28"/>
        </w:rPr>
        <w:t xml:space="preserve"> Executive Summary – Healthy Futures Project</w:t>
      </w:r>
    </w:p>
    <w:p w14:paraId="547A7A49" w14:textId="77777777" w:rsidR="004769A6" w:rsidRPr="004769A6" w:rsidRDefault="004769A6" w:rsidP="004769A6">
      <w:r w:rsidRPr="004769A6">
        <w:t>Our analysis of child health data across regions has highlighted several important insights:</w:t>
      </w:r>
    </w:p>
    <w:p w14:paraId="79B2354E" w14:textId="77777777" w:rsidR="004769A6" w:rsidRPr="004769A6" w:rsidRDefault="004769A6" w:rsidP="004769A6">
      <w:pPr>
        <w:numPr>
          <w:ilvl w:val="0"/>
          <w:numId w:val="1"/>
        </w:numPr>
      </w:pPr>
      <w:r w:rsidRPr="004769A6">
        <w:rPr>
          <w:b/>
          <w:bCs/>
        </w:rPr>
        <w:t>Health Status by Age Group</w:t>
      </w:r>
    </w:p>
    <w:p w14:paraId="44B3FC07" w14:textId="77777777" w:rsidR="004769A6" w:rsidRPr="004769A6" w:rsidRDefault="004769A6" w:rsidP="004769A6">
      <w:pPr>
        <w:numPr>
          <w:ilvl w:val="1"/>
          <w:numId w:val="1"/>
        </w:numPr>
      </w:pPr>
      <w:r w:rsidRPr="004769A6">
        <w:t xml:space="preserve">Younger children (24–36 months) showed higher rates of </w:t>
      </w:r>
      <w:r w:rsidRPr="004769A6">
        <w:rPr>
          <w:b/>
          <w:bCs/>
        </w:rPr>
        <w:t>Healthy Weight</w:t>
      </w:r>
      <w:r w:rsidRPr="004769A6">
        <w:t xml:space="preserve">, while older children (49+ months) had increasing rates of </w:t>
      </w:r>
      <w:r w:rsidRPr="004769A6">
        <w:rPr>
          <w:b/>
          <w:bCs/>
        </w:rPr>
        <w:t>Overweight</w:t>
      </w:r>
      <w:r w:rsidRPr="004769A6">
        <w:t xml:space="preserve"> and </w:t>
      </w:r>
      <w:r w:rsidRPr="004769A6">
        <w:rPr>
          <w:b/>
          <w:bCs/>
        </w:rPr>
        <w:t>Obesity</w:t>
      </w:r>
      <w:r w:rsidRPr="004769A6">
        <w:t>.</w:t>
      </w:r>
    </w:p>
    <w:p w14:paraId="47D87AC6" w14:textId="77777777" w:rsidR="004769A6" w:rsidRPr="004769A6" w:rsidRDefault="004769A6" w:rsidP="004769A6">
      <w:pPr>
        <w:numPr>
          <w:ilvl w:val="0"/>
          <w:numId w:val="1"/>
        </w:numPr>
      </w:pPr>
      <w:r w:rsidRPr="004769A6">
        <w:rPr>
          <w:b/>
          <w:bCs/>
        </w:rPr>
        <w:t>Nutrient Intake vs. BMI</w:t>
      </w:r>
    </w:p>
    <w:p w14:paraId="56EADCCA" w14:textId="77777777" w:rsidR="004769A6" w:rsidRPr="004769A6" w:rsidRDefault="004769A6" w:rsidP="004769A6">
      <w:pPr>
        <w:numPr>
          <w:ilvl w:val="1"/>
          <w:numId w:val="1"/>
        </w:numPr>
      </w:pPr>
      <w:r w:rsidRPr="004769A6">
        <w:t xml:space="preserve">Children with </w:t>
      </w:r>
      <w:r w:rsidRPr="004769A6">
        <w:rPr>
          <w:b/>
          <w:bCs/>
        </w:rPr>
        <w:t>higher fruit and vegetable intake</w:t>
      </w:r>
      <w:r w:rsidRPr="004769A6">
        <w:t xml:space="preserve"> had consistently </w:t>
      </w:r>
      <w:r w:rsidRPr="004769A6">
        <w:rPr>
          <w:b/>
          <w:bCs/>
        </w:rPr>
        <w:t>lower BMIs</w:t>
      </w:r>
      <w:r w:rsidRPr="004769A6">
        <w:t>, suggesting positive dietary habits directly contribute to healthy growth.</w:t>
      </w:r>
    </w:p>
    <w:p w14:paraId="0B250994" w14:textId="77777777" w:rsidR="004769A6" w:rsidRPr="004769A6" w:rsidRDefault="004769A6" w:rsidP="004769A6">
      <w:pPr>
        <w:numPr>
          <w:ilvl w:val="1"/>
          <w:numId w:val="1"/>
        </w:numPr>
      </w:pPr>
      <w:r w:rsidRPr="004769A6">
        <w:t xml:space="preserve">A slicer analysis revealed that </w:t>
      </w:r>
      <w:r w:rsidRPr="004769A6">
        <w:rPr>
          <w:b/>
          <w:bCs/>
        </w:rPr>
        <w:t>Region C</w:t>
      </w:r>
      <w:r w:rsidRPr="004769A6">
        <w:t xml:space="preserve"> reported the </w:t>
      </w:r>
      <w:r w:rsidRPr="004769A6">
        <w:rPr>
          <w:b/>
          <w:bCs/>
        </w:rPr>
        <w:t>highest average BMI</w:t>
      </w:r>
      <w:r w:rsidRPr="004769A6">
        <w:t>, despite similar veggie intake, indicating other lifestyle factors at play.</w:t>
      </w:r>
    </w:p>
    <w:p w14:paraId="26ED1E3A" w14:textId="77777777" w:rsidR="004769A6" w:rsidRPr="004769A6" w:rsidRDefault="004769A6" w:rsidP="004769A6">
      <w:pPr>
        <w:numPr>
          <w:ilvl w:val="0"/>
          <w:numId w:val="1"/>
        </w:numPr>
      </w:pPr>
      <w:r w:rsidRPr="004769A6">
        <w:rPr>
          <w:b/>
          <w:bCs/>
        </w:rPr>
        <w:t>Sugar Consumption &amp; Screen Time</w:t>
      </w:r>
    </w:p>
    <w:p w14:paraId="71AD5808" w14:textId="77777777" w:rsidR="004769A6" w:rsidRPr="004769A6" w:rsidRDefault="004769A6" w:rsidP="004769A6">
      <w:pPr>
        <w:numPr>
          <w:ilvl w:val="1"/>
          <w:numId w:val="1"/>
        </w:numPr>
      </w:pPr>
      <w:r w:rsidRPr="004769A6">
        <w:t xml:space="preserve">Across all regions, </w:t>
      </w:r>
      <w:r w:rsidRPr="004769A6">
        <w:rPr>
          <w:b/>
          <w:bCs/>
        </w:rPr>
        <w:t>Obese children consumed 2x more sugary drinks</w:t>
      </w:r>
      <w:r w:rsidRPr="004769A6">
        <w:t xml:space="preserve"> and had </w:t>
      </w:r>
      <w:r w:rsidRPr="004769A6">
        <w:rPr>
          <w:b/>
          <w:bCs/>
        </w:rPr>
        <w:t>longer screen time</w:t>
      </w:r>
      <w:r w:rsidRPr="004769A6">
        <w:t xml:space="preserve"> than their healthy peers.</w:t>
      </w:r>
    </w:p>
    <w:p w14:paraId="22171741" w14:textId="77777777" w:rsidR="004769A6" w:rsidRPr="004769A6" w:rsidRDefault="004769A6" w:rsidP="004769A6">
      <w:pPr>
        <w:numPr>
          <w:ilvl w:val="1"/>
          <w:numId w:val="1"/>
        </w:numPr>
      </w:pPr>
      <w:r w:rsidRPr="004769A6">
        <w:t xml:space="preserve">This correlation was strongest in </w:t>
      </w:r>
      <w:r w:rsidRPr="004769A6">
        <w:rPr>
          <w:b/>
          <w:bCs/>
        </w:rPr>
        <w:t>Region B</w:t>
      </w:r>
      <w:r w:rsidRPr="004769A6">
        <w:t>, where excessive screen time and sugar intake align with higher obesity levels.</w:t>
      </w:r>
    </w:p>
    <w:p w14:paraId="6AE3E543" w14:textId="77777777" w:rsidR="004769A6" w:rsidRPr="004769A6" w:rsidRDefault="004769A6" w:rsidP="004769A6">
      <w:pPr>
        <w:numPr>
          <w:ilvl w:val="0"/>
          <w:numId w:val="1"/>
        </w:numPr>
      </w:pPr>
      <w:r w:rsidRPr="004769A6">
        <w:rPr>
          <w:b/>
          <w:bCs/>
        </w:rPr>
        <w:t>Regional Differences</w:t>
      </w:r>
    </w:p>
    <w:p w14:paraId="43DF3493" w14:textId="77777777" w:rsidR="004769A6" w:rsidRPr="004769A6" w:rsidRDefault="004769A6" w:rsidP="004769A6">
      <w:pPr>
        <w:numPr>
          <w:ilvl w:val="1"/>
          <w:numId w:val="1"/>
        </w:numPr>
      </w:pPr>
      <w:r w:rsidRPr="004769A6">
        <w:rPr>
          <w:b/>
          <w:bCs/>
        </w:rPr>
        <w:t>Region A</w:t>
      </w:r>
      <w:r w:rsidRPr="004769A6">
        <w:t xml:space="preserve"> had the highest average fruit servings and the lowest average BMI.</w:t>
      </w:r>
    </w:p>
    <w:p w14:paraId="64F0C158" w14:textId="77777777" w:rsidR="004769A6" w:rsidRPr="004769A6" w:rsidRDefault="004769A6" w:rsidP="004769A6">
      <w:pPr>
        <w:numPr>
          <w:ilvl w:val="1"/>
          <w:numId w:val="1"/>
        </w:numPr>
      </w:pPr>
      <w:r w:rsidRPr="004769A6">
        <w:rPr>
          <w:b/>
          <w:bCs/>
        </w:rPr>
        <w:t>Region C</w:t>
      </w:r>
      <w:r w:rsidRPr="004769A6">
        <w:t xml:space="preserve"> had the lowest fruit intake and highest BMI, suggesting urgent nutritional intervention is needed.</w:t>
      </w:r>
    </w:p>
    <w:p w14:paraId="5C2E9CEE" w14:textId="77777777" w:rsidR="004769A6" w:rsidRDefault="004769A6"/>
    <w:sectPr w:rsidR="004769A6" w:rsidSect="004769A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4F24E9"/>
    <w:multiLevelType w:val="multilevel"/>
    <w:tmpl w:val="54C8E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67372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9A6"/>
    <w:rsid w:val="00166196"/>
    <w:rsid w:val="00476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8D644"/>
  <w15:chartTrackingRefBased/>
  <w15:docId w15:val="{B66E62D3-06FB-4C26-9502-DC5384431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69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69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69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69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69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69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69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69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69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69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69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69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69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69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69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69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69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69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69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69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69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69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69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69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69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69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69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69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69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167</Words>
  <Characters>958</Characters>
  <Application>Microsoft Office Word</Application>
  <DocSecurity>0</DocSecurity>
  <Lines>7</Lines>
  <Paragraphs>2</Paragraphs>
  <ScaleCrop>false</ScaleCrop>
  <Company/>
  <LinksUpToDate>false</LinksUpToDate>
  <CharactersWithSpaces>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kranthi 99</dc:creator>
  <cp:keywords/>
  <dc:description/>
  <cp:lastModifiedBy>kranthi 99</cp:lastModifiedBy>
  <cp:revision>2</cp:revision>
  <dcterms:created xsi:type="dcterms:W3CDTF">2025-09-13T18:30:00Z</dcterms:created>
  <dcterms:modified xsi:type="dcterms:W3CDTF">2025-09-13T18:30:00Z</dcterms:modified>
</cp:coreProperties>
</file>