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 - Aparna Bharti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Batch   - Data Engineering batch-1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Day 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 Cleaning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Create table company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8363" cy="29813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Insert values</w:t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</w:rPr>
        <w:drawing>
          <wp:inline distB="114300" distT="114300" distL="114300" distR="114300">
            <wp:extent cx="5986463" cy="32099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Step1 :Deleting Duplicate data</w:t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GROUP BY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HAVING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clauses to identify duplicate names. This query is going to count the number of times each name exists in the database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GROUP BY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. Then it uses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HAVING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clause to filter the results for only those names that exist more than once.</w:t>
      </w:r>
    </w:p>
    <w:p w:rsidR="00000000" w:rsidDel="00000000" w:rsidP="00000000" w:rsidRDefault="00000000" w:rsidRPr="00000000" w14:paraId="00000015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</w:rPr>
        <w:drawing>
          <wp:inline distB="114300" distT="114300" distL="114300" distR="114300">
            <wp:extent cx="5943600" cy="2737743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17952" l="0" r="0" t="11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 use a combination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ROW_NUMBER()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DELETE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</w:rPr>
        <w:drawing>
          <wp:inline distB="114300" distT="114300" distL="114300" distR="114300">
            <wp:extent cx="6043613" cy="18383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48239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  <w:rtl w:val="0"/>
        </w:rPr>
        <w:t xml:space="preserve">Step 2:Removing NULL values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</w:rPr>
        <w:drawing>
          <wp:inline distB="114300" distT="114300" distL="114300" distR="114300">
            <wp:extent cx="5967413" cy="15906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19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  <w:rtl w:val="0"/>
        </w:rPr>
        <w:t xml:space="preserve">Step 3:Put meaningful label  for NULL values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</w:rPr>
        <w:drawing>
          <wp:inline distB="114300" distT="114300" distL="114300" distR="114300">
            <wp:extent cx="6024563" cy="14859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  <w:rtl w:val="0"/>
        </w:rPr>
        <w:t xml:space="preserve">Step 4 :Fix the capitalise value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</w:rPr>
        <w:drawing>
          <wp:inline distB="114300" distT="114300" distL="114300" distR="114300">
            <wp:extent cx="5734050" cy="123643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  <w:rtl w:val="0"/>
        </w:rPr>
        <w:t xml:space="preserve">Step 5:Correct logical error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155cc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26"/>
          <w:szCs w:val="26"/>
        </w:rPr>
        <w:drawing>
          <wp:inline distB="114300" distT="114300" distL="114300" distR="114300">
            <wp:extent cx="5172075" cy="21907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Transformation queries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731200" cy="1435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734050" cy="133736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731200" cy="1270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162550" cy="1276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715000" cy="12001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731200" cy="1231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334000" cy="30384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4762500" cy="154305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Ranking Functions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Rank()</w:t>
      </w:r>
    </w:p>
    <w:p w:rsidR="00000000" w:rsidDel="00000000" w:rsidP="00000000" w:rsidRDefault="00000000" w:rsidRPr="00000000" w14:paraId="0000003F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610225" cy="27241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Row_number()</w:t>
      </w:r>
    </w:p>
    <w:p w:rsidR="00000000" w:rsidDel="00000000" w:rsidP="00000000" w:rsidRDefault="00000000" w:rsidRPr="00000000" w14:paraId="00000043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248275" cy="2119313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378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Dense_rank()</w:t>
      </w:r>
    </w:p>
    <w:p w:rsidR="00000000" w:rsidDel="00000000" w:rsidP="00000000" w:rsidRDefault="00000000" w:rsidRPr="00000000" w14:paraId="00000046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324475" cy="27717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stored procedure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a prepared SQL code that you can save, so the code can be reused over and over again</w:t>
      </w:r>
      <w:r w:rsidDel="00000000" w:rsidR="00000000" w:rsidRPr="00000000">
        <w:rPr>
          <w:sz w:val="26"/>
          <w:szCs w:val="26"/>
          <w:rtl w:val="0"/>
        </w:rPr>
        <w:t xml:space="preserve">. So if you have an SQL query that you write over and over again, save it as a stored procedure, and then just call it to execute it.</w:t>
      </w:r>
    </w:p>
    <w:p w:rsidR="00000000" w:rsidDel="00000000" w:rsidP="00000000" w:rsidRDefault="00000000" w:rsidRPr="00000000" w14:paraId="0000004B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7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0.png"/><Relationship Id="rId11" Type="http://schemas.openxmlformats.org/officeDocument/2006/relationships/image" Target="media/image1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8.png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