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Luxis — beslispunten voor Lisanne</w:t>
      </w:r>
    </w:p>
    <w:p>
      <w:r>
        <w:rPr>
          <w:b w:val="0"/>
        </w:rPr>
        <w:t>Opgesteld 7 juli 2026. Alles hieronder is gecontroleerd tegen BaseNet én Luxis. Er is nog niets gewijzigd of verstuurd — Luxis verstuurt sowieso nooit iets automatisch: elke brief blijft een concept dat jij eerst goedkeurt.</w:t>
      </w:r>
    </w:p>
    <w:p>
      <w:pPr>
        <w:pStyle w:val="Heading1"/>
      </w:pPr>
      <w:r>
        <w:t>1. Mogen deze 8 dossiers dicht?</w:t>
      </w:r>
    </w:p>
    <w:p>
      <w:r>
        <w:rPr>
          <w:b w:val="0"/>
        </w:rPr>
        <w:t>Deze stonden in BaseNet nog op 'lopend', maar zijn (vrijwel) volledig betaald. De restbedragen ontstaan doordat de wet betalingen eerst toerekent aan kosten en rente; de hoofdsom zelf is betaald.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Dossier</w:t>
            </w:r>
          </w:p>
        </w:tc>
        <w:tc>
          <w:tcPr>
            <w:tcW w:type="dxa" w:w="2880"/>
          </w:tcPr>
          <w:p>
            <w:r>
              <w:t>Nog open volgens Luxis</w:t>
            </w:r>
          </w:p>
        </w:tc>
        <w:tc>
          <w:tcPr>
            <w:tcW w:type="dxa" w:w="2880"/>
          </w:tcPr>
          <w:p>
            <w:r>
              <w:t>Voorstel</w:t>
            </w:r>
          </w:p>
        </w:tc>
      </w:tr>
      <w:tr>
        <w:tc>
          <w:tcPr>
            <w:tcW w:type="dxa" w:w="2880"/>
          </w:tcPr>
          <w:p>
            <w:r>
              <w:t>IN100547</w:t>
            </w:r>
          </w:p>
        </w:tc>
        <w:tc>
          <w:tcPr>
            <w:tcW w:type="dxa" w:w="2880"/>
          </w:tcPr>
          <w:p>
            <w:r>
              <w:t>€ 0,00</w:t>
            </w:r>
          </w:p>
        </w:tc>
        <w:tc>
          <w:tcPr>
            <w:tcW w:type="dxa" w:w="2880"/>
          </w:tcPr>
          <w:p>
            <w:r>
              <w:t>sluiten</w:t>
            </w:r>
          </w:p>
        </w:tc>
      </w:tr>
      <w:tr>
        <w:tc>
          <w:tcPr>
            <w:tcW w:type="dxa" w:w="2880"/>
          </w:tcPr>
          <w:p>
            <w:r>
              <w:t>IN100210</w:t>
            </w:r>
          </w:p>
        </w:tc>
        <w:tc>
          <w:tcPr>
            <w:tcW w:type="dxa" w:w="2880"/>
          </w:tcPr>
          <w:p>
            <w:r>
              <w:t>€ 1,03</w:t>
            </w:r>
          </w:p>
        </w:tc>
        <w:tc>
          <w:tcPr>
            <w:tcW w:type="dxa" w:w="2880"/>
          </w:tcPr>
          <w:p>
            <w:r>
              <w:t>sluiten</w:t>
            </w:r>
          </w:p>
        </w:tc>
      </w:tr>
      <w:tr>
        <w:tc>
          <w:tcPr>
            <w:tcW w:type="dxa" w:w="2880"/>
          </w:tcPr>
          <w:p>
            <w:r>
              <w:t>IN100456</w:t>
            </w:r>
          </w:p>
        </w:tc>
        <w:tc>
          <w:tcPr>
            <w:tcW w:type="dxa" w:w="2880"/>
          </w:tcPr>
          <w:p>
            <w:r>
              <w:t>€ 8,31</w:t>
            </w:r>
          </w:p>
        </w:tc>
        <w:tc>
          <w:tcPr>
            <w:tcW w:type="dxa" w:w="2880"/>
          </w:tcPr>
          <w:p>
            <w:r>
              <w:t>sluiten</w:t>
            </w:r>
          </w:p>
        </w:tc>
      </w:tr>
      <w:tr>
        <w:tc>
          <w:tcPr>
            <w:tcW w:type="dxa" w:w="2880"/>
          </w:tcPr>
          <w:p>
            <w:r>
              <w:t>IN100334</w:t>
            </w:r>
          </w:p>
        </w:tc>
        <w:tc>
          <w:tcPr>
            <w:tcW w:type="dxa" w:w="2880"/>
          </w:tcPr>
          <w:p>
            <w:r>
              <w:t>volledig betaald; ± € 215 te véél ontvangen</w:t>
            </w:r>
          </w:p>
        </w:tc>
        <w:tc>
          <w:tcPr>
            <w:tcW w:type="dxa" w:w="2880"/>
          </w:tcPr>
          <w:p>
            <w:r>
              <w:t>sluiten — wil je het teveel terugstorten?</w:t>
            </w:r>
          </w:p>
        </w:tc>
      </w:tr>
      <w:tr>
        <w:tc>
          <w:tcPr>
            <w:tcW w:type="dxa" w:w="2880"/>
          </w:tcPr>
          <w:p>
            <w:r>
              <w:t>IN100457</w:t>
            </w:r>
          </w:p>
        </w:tc>
        <w:tc>
          <w:tcPr>
            <w:tcW w:type="dxa" w:w="2880"/>
          </w:tcPr>
          <w:p>
            <w:r>
              <w:t>€ 100,47</w:t>
            </w:r>
          </w:p>
        </w:tc>
        <w:tc>
          <w:tcPr>
            <w:tcW w:type="dxa" w:w="2880"/>
          </w:tcPr>
          <w:p>
            <w:r>
              <w:t>jouw keuze: nog innen of laten gaan?</w:t>
            </w:r>
          </w:p>
        </w:tc>
      </w:tr>
      <w:tr>
        <w:tc>
          <w:tcPr>
            <w:tcW w:type="dxa" w:w="2880"/>
          </w:tcPr>
          <w:p>
            <w:r>
              <w:t>IN100256</w:t>
            </w:r>
          </w:p>
        </w:tc>
        <w:tc>
          <w:tcPr>
            <w:tcW w:type="dxa" w:w="2880"/>
          </w:tcPr>
          <w:p>
            <w:r>
              <w:t>€ 288,32</w:t>
            </w:r>
          </w:p>
        </w:tc>
        <w:tc>
          <w:tcPr>
            <w:tcW w:type="dxa" w:w="2880"/>
          </w:tcPr>
          <w:p>
            <w:r>
              <w:t>jouw keuze</w:t>
            </w:r>
          </w:p>
        </w:tc>
      </w:tr>
      <w:tr>
        <w:tc>
          <w:tcPr>
            <w:tcW w:type="dxa" w:w="2880"/>
          </w:tcPr>
          <w:p>
            <w:r>
              <w:t>IN100197</w:t>
            </w:r>
          </w:p>
        </w:tc>
        <w:tc>
          <w:tcPr>
            <w:tcW w:type="dxa" w:w="2880"/>
          </w:tcPr>
          <w:p>
            <w:r>
              <w:t>€ 456,36</w:t>
            </w:r>
          </w:p>
        </w:tc>
        <w:tc>
          <w:tcPr>
            <w:tcW w:type="dxa" w:w="2880"/>
          </w:tcPr>
          <w:p>
            <w:r>
              <w:t>jouw keuze</w:t>
            </w:r>
          </w:p>
        </w:tc>
      </w:tr>
      <w:tr>
        <w:tc>
          <w:tcPr>
            <w:tcW w:type="dxa" w:w="2880"/>
          </w:tcPr>
          <w:p>
            <w:r>
              <w:t>IN100166</w:t>
            </w:r>
          </w:p>
        </w:tc>
        <w:tc>
          <w:tcPr>
            <w:tcW w:type="dxa" w:w="2880"/>
          </w:tcPr>
          <w:p>
            <w:r>
              <w:t>€ 587,86</w:t>
            </w:r>
          </w:p>
        </w:tc>
        <w:tc>
          <w:tcPr>
            <w:tcW w:type="dxa" w:w="2880"/>
          </w:tcPr>
          <w:p>
            <w:r>
              <w:t>jouw keuze</w:t>
            </w:r>
          </w:p>
        </w:tc>
      </w:tr>
    </w:tbl>
    <w:p>
      <w:pPr>
        <w:pStyle w:val="Heading1"/>
      </w:pPr>
      <w:r>
        <w:t>2. Met welke opdrachtgever beginnen we de heropening?</w:t>
      </w:r>
    </w:p>
    <w:p>
      <w:r>
        <w:rPr>
          <w:b w:val="0"/>
        </w:rPr>
        <w:t>Er staan 372 lopende dossiers klaar (ruim € 1,8 miljoen aan hoofdsommen). Voorstel: klein beginnen met LegalWork B.V. (15 dossiers) — daarvan kunnen er 9 direct een eerste sommatie krijgen, dus daar zie je het systeem meteen echt werken. Daarna schalen we op. Een andere keuze is uiteraard prima.</w:t>
      </w:r>
    </w:p>
    <w:p>
      <w:pPr>
        <w:pStyle w:val="Heading1"/>
      </w:pPr>
      <w:r>
        <w:t>3. Tekst van de 14-dagenbrief vaststellen</w:t>
      </w:r>
    </w:p>
    <w:p>
      <w:r>
        <w:rPr>
          <w:b w:val="0"/>
        </w:rPr>
        <w:t>34 consumentendossiers starten met de wettelijk verplichte 14-dagenbrief. Daarvoor moet de brieftekst worden vastgesteld (dit is het openstaande punt over de tegenstrijdige instructies). Wij leggen je een concepttekst voor die aan de wettelijke eisen voldoet (termijn gaat in de dag ná bezorging; exact bedrag aan incassokosten genoemd). Jij hoeft alleen de tekst goed of aangepast terug te geven.</w:t>
      </w:r>
    </w:p>
    <w:p>
      <w:pPr>
        <w:pStyle w:val="Heading1"/>
      </w:pPr>
      <w:r>
        <w:t>4. Elf dossiers met een gestopte betalingsregeling</w:t>
      </w:r>
    </w:p>
    <w:p>
      <w:r>
        <w:rPr>
          <w:b w:val="0"/>
        </w:rPr>
        <w:t>Bij deze dossiers liep ooit een regeling, maar de termijnen zijn gestopt of afgelopen (laatste betaaltermijnen tussen medio 2025 en april 2026). Per dossier is de vraag: nieuwe regeling proberen, of terug het sommatie-traject in?</w:t>
      </w:r>
    </w:p>
    <w:p>
      <w:r>
        <w:rPr>
          <w:b w:val="0"/>
        </w:rPr>
        <w:t>IN100189, IN100229, IN100296, IN100313, IN100350, IN100408, IN100438, IN100469, IN100490, IN100500, IN100553</w:t>
      </w:r>
    </w:p>
    <w:p>
      <w:pPr>
        <w:pStyle w:val="Heading1"/>
      </w:pPr>
      <w:r>
        <w:t>5. Drie vragen over de derdengeldenrekening</w:t>
      </w:r>
    </w:p>
    <w:p>
      <w:r>
        <w:rPr>
          <w:b w:val="0"/>
        </w:rPr>
        <w:t>Nodig voordat er echt geld door Luxis heen gaat:</w:t>
      </w:r>
    </w:p>
    <w:p>
      <w:pPr>
        <w:pStyle w:val="ListNumber"/>
      </w:pPr>
      <w:r>
        <w:t>Wie is de tweede stichtingsbestuurder, en wie wordt de “tweede-paar-ogen”-goedkeurder in Luxis?</w:t>
      </w:r>
    </w:p>
    <w:p>
      <w:pPr>
        <w:pStyle w:val="ListNumber"/>
      </w:pPr>
      <w:r>
        <w:t>Staat er een verrekenclausule in de opdrachtbevestiging (mag Kesting derdengelden verrekenen met openstaande facturen)?</w:t>
      </w:r>
    </w:p>
    <w:p>
      <w:pPr>
        <w:pStyle w:val="ListNumber"/>
      </w:pPr>
      <w:r>
        <w:t>Betalen debiteuren rechtstreeks op de stichting-derdengeldenrekening?</w:t>
      </w:r>
    </w:p>
    <w:p>
      <w:pPr>
        <w:pStyle w:val="Heading1"/>
      </w:pPr>
      <w:r>
        <w:t>Ter informatie — geen actie nodig</w:t>
      </w:r>
    </w:p>
    <w:p>
      <w:pPr>
        <w:pStyle w:val="ListBullet"/>
      </w:pPr>
      <w:r>
        <w:t>De 13 lopende betalingsregelingen worden al dagelijks bewaakt; eerstvolgende termijnen: 9, 12, 13, 15, 18 en 19 juli.</w:t>
      </w:r>
    </w:p>
    <w:p>
      <w:pPr>
        <w:pStyle w:val="ListBullet"/>
      </w:pPr>
      <w:r>
        <w:t>88 dossiers zijn betwist (debiteur is het oneens) — die komen in de bak “verweer beantwoorden”; daar gaat geen automatische post uit.</w:t>
      </w:r>
    </w:p>
    <w:p>
      <w:pPr>
        <w:pStyle w:val="ListBullet"/>
      </w:pPr>
      <w:r>
        <w:t>Creditfacturen worden correct met de vordering verrekend, inclusief rente-effect — nagerekend en akkoord.</w:t>
      </w:r>
    </w:p>
    <w:p>
      <w:pPr>
        <w:pStyle w:val="ListBullet"/>
      </w:pPr>
      <w:r>
        <w:t>Alle saldi zijn gecontroleerd: de betalingen in Luxis kloppen tot op de cent met de bankgegevens uit BaseNet.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