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  <w:t>Tel: {{ kantoor.telefoon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4"/>
        </w:rPr>
        <w:t>AANGETEKEND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wederpartij.naam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vandaag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Betreft: TWEEDE SOMMATIE — Laatste gelegenheid</w:t>
      </w:r>
    </w:p>
    <w:p>
      <w:pPr>
        <w:spacing w:after="80"/>
      </w:pPr>
      <w:r>
        <w:rPr>
          <w:rFonts w:ascii="Calibri" w:hAnsi="Calibri"/>
          <w:b w:val="0"/>
          <w:sz w:val="22"/>
        </w:rPr>
        <w:t>Ons kenmerk: {{ zaak.zaaknummer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zaak.referentie_regel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Geachte heer/mevrouw,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Ondanks onze eerdere sommatie heeft u nog steeds niet voldaan aan de vordering(en) van onze cliënt {{ client.naam }}. Dit is uw laatste gelegenheid om vrijwillig te betalen.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Specificatie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BIK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openstaand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Wij sommeren u — voor de laatste maal — het bedrag van {{ totaal_openstaand }} uiterlijk {{ termijn_14_dagen }} te voldoen op IBAN {{ kantoor.iban }} t.n.v. {{ kantoor.naam }}, onder vermelding van zaaknummer {{ zaak.zaaknummer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Bij gebreke van tijdige betaling zullen wij zonder nadere aankondiging tot dagvaarding overgaan. De kosten hiervan (griffierecht, deurwaarderskosten, proceskosten) komen volledig voor uw rekening.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Hoogachtend,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kantoor.naam }}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