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MC311:</w:t>
      </w:r>
      <w:r>
        <w:t xml:space="preserve"> </w:t>
      </w:r>
      <w:r>
        <w:t xml:space="preserve">A</w:t>
      </w:r>
      <w:r>
        <w:t xml:space="preserve"> </w:t>
      </w:r>
      <w:r>
        <w:t xml:space="preserve">Multi-City</w:t>
      </w:r>
      <w:r>
        <w:t xml:space="preserve"> </w:t>
      </w:r>
      <w:r>
        <w:t xml:space="preserve">Free-Text</w:t>
      </w:r>
      <w:r>
        <w:t xml:space="preserve"> </w:t>
      </w:r>
      <w:r>
        <w:t xml:space="preserve">Benchmark</w:t>
      </w:r>
      <w:r>
        <w:t xml:space="preserve"> </w:t>
      </w:r>
      <w:r>
        <w:t xml:space="preserve">for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311</w:t>
      </w:r>
      <w:r>
        <w:t xml:space="preserve"> </w:t>
      </w:r>
      <w:r>
        <w:t xml:space="preserve">Classification</w:t>
      </w:r>
    </w:p>
    <w:bookmarkStart w:id="90" w:name="X90e4dd8225390731b72929ba27f3cf8718ade98"/>
    <w:p>
      <w:pPr>
        <w:pStyle w:val="Heading1"/>
      </w:pPr>
      <w:r>
        <w:t xml:space="preserve">MC311: A Multi-City Free-Text Benchmark for Cross-Jurisdiction Service-Request Classification</w:t>
      </w:r>
    </w:p>
    <w:p>
      <w:pPr>
        <w:pStyle w:val="FirstParagraph"/>
        <w:jc w:val="bot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  <w:jc w:val="both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  <w:jc w:val="both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  <w:jc w:val="both"/>
      </w:pPr>
      <w:r>
        <w:t xml:space="preserve">Municipal 311 systems record millions of citizen service requests as free text, yet public research uses</w:t>
      </w:r>
      <w:r>
        <w:t xml:space="preserve"> </w:t>
      </w:r>
      <w:r>
        <w:t xml:space="preserve">single-city datasets with private splits and incomparable metrics, and no canonical multi-city free-text</w:t>
      </w:r>
      <w:r>
        <w:t xml:space="preserve"> </w:t>
      </w:r>
      <w:r>
        <w:t xml:space="preserve">311 benchmark exists. We build MC311, to our knowledge the first public 311 free-text benchmark spanning more</w:t>
      </w:r>
      <w:r>
        <w:t xml:space="preserve"> </w:t>
      </w:r>
      <w:r>
        <w:t xml:space="preserve">than two US cities, drawing about 156,000 citizen narratives from seven cities, and map each city's native</w:t>
      </w:r>
      <w:r>
        <w:t xml:space="preserve"> </w:t>
      </w:r>
      <w:r>
        <w:t xml:space="preserve">service taxonomy (545 native categories, 527 distinct labels) into a shared 14-class civic ontology so that</w:t>
      </w:r>
      <w:r>
        <w:t xml:space="preserve"> </w:t>
      </w:r>
      <w:r>
        <w:t xml:space="preserve">models can be evaluated across jurisdictions. Every model, in-city or cross-city, is scored on the same frozen test set of 3,502 requests,</w:t>
      </w:r>
      <w:r>
        <w:t xml:space="preserve"> </w:t>
      </w:r>
      <w:r>
        <w:t xml:space="preserve">so all results are directly comparable. Crossing a city boundary costs roughly a third of pooled macro-F1: a</w:t>
      </w:r>
      <w:r>
        <w:t xml:space="preserve"> </w:t>
      </w:r>
      <w:r>
        <w:t xml:space="preserve">fine-tuned DistilBERT drops from 0.827 in-city to 0.558 across cities (95% CI [0.54, 0.58]), and a TF-IDF</w:t>
      </w:r>
      <w:r>
        <w:t xml:space="preserve"> </w:t>
      </w:r>
      <w:r>
        <w:t xml:space="preserve">classifier from 0.785 to 0.523. A large language model prompted zero-shot with the taxonomy reaches 0.654</w:t>
      </w:r>
      <w:r>
        <w:t xml:space="preserve"> </w:t>
      </w:r>
      <w:r>
        <w:t xml:space="preserve">across cities, significantly above both trained models in the pooled metric (paired bootstrap; 95% CIs on the</w:t>
      </w:r>
      <w:r>
        <w:t xml:space="preserve"> </w:t>
      </w:r>
      <w:r>
        <w:t xml:space="preserve">differences exclude zero), though its lead is heterogeneous across cities, and it remains below in-domain</w:t>
      </w:r>
      <w:r>
        <w:t xml:space="preserve"> </w:t>
      </w:r>
      <w:r>
        <w:t xml:space="preserve">performance. We then ask what the gap measures. An LLM judge (gpt-4o-mini), blind to model and to the city</w:t>
      </w:r>
      <w:r>
        <w:t xml:space="preserve"> </w:t>
      </w:r>
      <w:r>
        <w:t xml:space="preserve">label, finds that 14.3% of city labels are not entailed by the text, and that a third of requests admit more</w:t>
      </w:r>
      <w:r>
        <w:t xml:space="preserve"> </w:t>
      </w:r>
      <w:r>
        <w:t xml:space="preserve">than one valid label. Under a defensibility-adjusted metric that credits any judge-acceptable label, cross-city</w:t>
      </w:r>
      <w:r>
        <w:t xml:space="preserve"> </w:t>
      </w:r>
      <w:r>
        <w:t xml:space="preserve">strict accuracy rises for every model (for the LLM, from 0.797 to 0.981; accuracy, not macro-F1), which</w:t>
      </w:r>
      <w:r>
        <w:t xml:space="preserve"> </w:t>
      </w:r>
      <w:r>
        <w:t xml:space="preserve">indicates that many cross-jurisdiction "errors" are defensible alternatives rather than model failures. MC311's</w:t>
      </w:r>
      <w:r>
        <w:t xml:space="preserve"> </w:t>
      </w:r>
      <w:r>
        <w:t xml:space="preserve">central contribution is to make visible what a strict single-label evaluation hides: requests that admit</w:t>
      </w:r>
      <w:r>
        <w:t xml:space="preserve"> </w:t>
      </w:r>
      <w:r>
        <w:t xml:space="preserve">multiple defensible labels, and city labels not inferable from the free text; human validation of these</w:t>
      </w:r>
      <w:r>
        <w:t xml:space="preserve"> </w:t>
      </w:r>
      <w:r>
        <w:t xml:space="preserve">judgments is the natural next step.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  <w:jc w:val="bot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  <w:jc w:val="both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  <w:jc w:val="both"/>
      </w:pPr>
      <w:r>
        <w:t xml:space="preserve">This paper builds the missing benchmark and uses it to ask a question that single-city work cannot: how</w:t>
      </w:r>
      <w:r>
        <w:t xml:space="preserve"> </w:t>
      </w:r>
      <w:r>
        <w:t xml:space="preserve">well does a 311 text classifier generalize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jurisdictions, and when it does not, what is the</w:t>
      </w:r>
      <w:r>
        <w:t xml:space="preserve"> </w:t>
      </w:r>
      <w:r>
        <w:t xml:space="preserve">drop actually measuring? Our contributions are:</w:t>
      </w:r>
    </w:p>
    <w:p>
      <w:pPr>
        <w:pStyle w:val="Compact"/>
        <w:numPr>
          <w:ilvl w:val="0"/>
          <w:numId w:val="1001"/>
        </w:numPr>
      </w:pPr>
      <w:r>
        <w:t xml:space="preserve">MC311, a public multi-city free-text 311 corpus (seven cities, ~156k citizen narratives) that, to our</w:t>
      </w:r>
      <w:r>
        <w:t xml:space="preserve"> </w:t>
      </w:r>
      <w:r>
        <w:t xml:space="preserve">knowledge, is the first to span more than two US municipalities, together with a verified survey of which</w:t>
      </w:r>
      <w:r>
        <w:t xml:space="preserve"> </w:t>
      </w:r>
      <w:r>
        <w:t xml:space="preserve">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A shared 14-class harmonization of 545 native categories, released as an auditable rule set.</w:t>
      </w:r>
    </w:p>
    <w:p>
      <w:pPr>
        <w:pStyle w:val="Compact"/>
        <w:numPr>
          <w:ilvl w:val="0"/>
          <w:numId w:val="1001"/>
        </w:numPr>
      </w:pPr>
      <w:r>
        <w:t xml:space="preserve">An aligned evaluation protocol: one frozen per-city test set on which every model is scored, with pooled</w:t>
      </w:r>
      <w:r>
        <w:t xml:space="preserve"> </w:t>
      </w:r>
      <w:r>
        <w:t xml:space="preserve">macro-F1, bootstrap confidence intervals, and paired significance tests.</w:t>
      </w:r>
    </w:p>
    <w:p>
      <w:pPr>
        <w:pStyle w:val="Compact"/>
        <w:numPr>
          <w:ilvl w:val="0"/>
          <w:numId w:val="1001"/>
        </w:numPr>
      </w:pPr>
      <w:r>
        <w:t xml:space="preserve">A three-arm study (TF-IDF, fine-tuned DistilBERT, zero-shot LLM) showing a large, significant</w:t>
      </w:r>
      <w:r>
        <w:t xml:space="preserve"> </w:t>
      </w:r>
      <w:r>
        <w:t xml:space="preserve">cross-jurisdiction gap and a clear ordering of methods on transfer.</w:t>
      </w:r>
    </w:p>
    <w:p>
      <w:pPr>
        <w:pStyle w:val="Compact"/>
        <w:numPr>
          <w:ilvl w:val="0"/>
          <w:numId w:val="1001"/>
        </w:numPr>
      </w:pPr>
      <w:r>
        <w:t xml:space="preserve">A diagnostic analysis of that gap using a blind LLM judge: a measured rate of textually-unsupported city</w:t>
      </w:r>
      <w:r>
        <w:t xml:space="preserve"> </w:t>
      </w:r>
      <w:r>
        <w:t xml:space="preserve">labels and a defensibility-adjusted metric showing that many cross-city disagreements are defensible</w:t>
      </w:r>
      <w:r>
        <w:t xml:space="preserve"> </w:t>
      </w:r>
      <w:r>
        <w:t xml:space="preserve">alternatives.</w:t>
      </w:r>
    </w:p>
    <w:p>
      <w:pPr>
        <w:pStyle w:val="FirstParagraph"/>
        <w:jc w:val="both"/>
      </w:pPr>
      <w:r>
        <w:t xml:space="preserve">The reframing is the point. A multi-city 311 benchmark measures taxonomy non-comparability and label</w:t>
      </w:r>
      <w:r>
        <w:t xml:space="preserve"> </w:t>
      </w:r>
      <w:r>
        <w:t xml:space="preserve">ambiguity alongside genuine domain shift, and this paper makes these effects visible on the same population.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  <w:jc w:val="bot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splits. Nalchigar and Fox</w:t>
      </w:r>
      <w:r>
        <w:t xml:space="preserve"> </w:t>
      </w:r>
      <w:r>
        <w:t xml:space="preserve">build a 311 reference ontology to align service codes across cities</w:t>
      </w:r>
      <w:r>
        <w:t xml:space="preserve"> </w:t>
      </w:r>
      <w:hyperlink w:anchor="r18">
        <w:r>
          <w:rPr>
            <w:rStyle w:val="Hyperlink"/>
            <w:vertAlign w:val="superscript"/>
          </w:rPr>
          <w:t xml:space="preserve">[18]</w:t>
        </w:r>
      </w:hyperlink>
      <w:r>
        <w:t xml:space="preserve">, the</w:t>
      </w:r>
      <w:r>
        <w:t xml:space="preserve"> </w:t>
      </w:r>
      <w:r>
        <w:t xml:space="preserve">closest precedent to our harmonization, but release no public benchmark or evaluation splits, and White and</w:t>
      </w:r>
      <w:r>
        <w:t xml:space="preserve"> </w:t>
      </w:r>
      <w:r>
        <w:t xml:space="preserve">Trump caution that 311 reporting is a noisy, biased signal of citizen need</w:t>
      </w:r>
      <w:r>
        <w:t xml:space="preserve"> </w:t>
      </w:r>
      <w:hyperlink w:anchor="r24">
        <w:r>
          <w:rPr>
            <w:rStyle w:val="Hyperlink"/>
            <w:vertAlign w:val="superscript"/>
          </w:rPr>
          <w:t xml:space="preserve">[24]</w:t>
        </w:r>
      </w:hyperlink>
      <w:r>
        <w:t xml:space="preserve">.</w:t>
      </w:r>
      <w:r>
        <w:t xml:space="preserve"> </w:t>
      </w:r>
      <w:r>
        <w:t xml:space="preserve">We 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  <w:jc w:val="bot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; surveys of NLP domain adaptation</w:t>
      </w:r>
      <w:r>
        <w:t xml:space="preserve"> </w:t>
      </w:r>
      <w:hyperlink w:anchor="r14">
        <w:r>
          <w:rPr>
            <w:rStyle w:val="Hyperlink"/>
            <w:vertAlign w:val="superscript"/>
          </w:rPr>
          <w:t xml:space="preserve">[14]</w:t>
        </w:r>
      </w:hyperlink>
      <w:r>
        <w:t xml:space="preserve"> </w:t>
      </w:r>
      <w:r>
        <w:t xml:space="preserve">and the strong-baseline lessons of DomainBed</w:t>
      </w:r>
      <w:r>
        <w:t xml:space="preserve"> </w:t>
      </w:r>
      <w:hyperlink w:anchor="r21">
        <w:r>
          <w:rPr>
            <w:rStyle w:val="Hyperlink"/>
            <w:vertAlign w:val="superscript"/>
          </w:rPr>
          <w:t xml:space="preserve">[21]</w:t>
        </w:r>
      </w:hyperlink>
      <w:r>
        <w:t xml:space="preserve"> </w:t>
      </w:r>
      <w:r>
        <w:t xml:space="preserve">inform our setup. We treat each city as a domain whose taxonomy 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  <w:jc w:val="bot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 parallel</w:t>
      </w:r>
      <w:r>
        <w:t xml:space="preserve"> </w:t>
      </w:r>
      <w:r>
        <w:t xml:space="preserve">line in perspectivist NLP argues that human label variation is often legitimate rather than error, and that</w:t>
      </w:r>
      <w:r>
        <w:t xml:space="preserve"> </w:t>
      </w:r>
      <w:r>
        <w:t xml:space="preserve">evaluation should credit multiple valid labels</w:t>
      </w:r>
      <w:r>
        <w:t xml:space="preserve"> </w:t>
      </w:r>
      <w:hyperlink w:anchor="r15">
        <w:r>
          <w:rPr>
            <w:rStyle w:val="Hyperlink"/>
            <w:vertAlign w:val="superscript"/>
          </w:rPr>
          <w:t xml:space="preserve">[15]</w:t>
        </w:r>
      </w:hyperlink>
      <w:r>
        <w:rPr>
          <w:vertAlign w:val="superscript"/>
        </w:rPr>
        <w:t xml:space="preserve">,</w:t>
      </w:r>
      <w:hyperlink w:anchor="r16">
        <w:r>
          <w:rPr>
            <w:rStyle w:val="Hyperlink"/>
            <w:vertAlign w:val="superscript"/>
          </w:rPr>
          <w:t xml:space="preserve">[16]</w:t>
        </w:r>
      </w:hyperlink>
      <w:r>
        <w:rPr>
          <w:vertAlign w:val="superscript"/>
        </w:rPr>
        <w:t xml:space="preserve">,</w:t>
      </w:r>
      <w:hyperlink w:anchor="r17">
        <w:r>
          <w:rPr>
            <w:rStyle w:val="Hyperlink"/>
            <w:vertAlign w:val="superscript"/>
          </w:rPr>
          <w:t xml:space="preserve">[17]</w:t>
        </w:r>
      </w:hyperlink>
      <w:r>
        <w:rPr>
          <w:vertAlign w:val="superscript"/>
        </w:rPr>
        <w:t xml:space="preserve">,</w:t>
      </w:r>
      <w:hyperlink w:anchor="r23">
        <w:r>
          <w:rPr>
            <w:rStyle w:val="Hyperlink"/>
            <w:vertAlign w:val="superscript"/>
          </w:rPr>
          <w:t xml:space="preserve">[23]</w:t>
        </w:r>
      </w:hyperlink>
      <w:r>
        <w:t xml:space="preserve">;</w:t>
      </w:r>
      <w:r>
        <w:t xml:space="preserve"> </w:t>
      </w:r>
      <w:r>
        <w:t xml:space="preserve">our acceptable-set metric is an instance of this ambiguity-aware evaluation. Administrative-code harmonization,</w:t>
      </w:r>
      <w:r>
        <w:t xml:space="preserve"> </w:t>
      </w:r>
      <w:r>
        <w:t xml:space="preserve">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hyperlink w:anchor="r20">
        <w:r>
          <w:rPr>
            <w:rStyle w:val="Hyperlink"/>
            <w:vertAlign w:val="superscript"/>
          </w:rPr>
          <w:t xml:space="preserve">,[20]</w:t>
        </w:r>
      </w:hyperlink>
      <w:r>
        <w:t xml:space="preserve"> </w:t>
      </w:r>
      <w:r>
        <w:t xml:space="preserve">and medical coding from</w:t>
      </w:r>
      <w:r>
        <w:t xml:space="preserve"> </w:t>
      </w:r>
      <w:r>
        <w:t xml:space="preserve">clinical text</w:t>
      </w:r>
      <w:r>
        <w:t xml:space="preserve"> </w:t>
      </w:r>
      <w:hyperlink w:anchor="r19">
        <w:r>
          <w:rPr>
            <w:rStyle w:val="Hyperlink"/>
            <w:vertAlign w:val="superscript"/>
          </w:rPr>
          <w:t xml:space="preserve">[19]</w:t>
        </w:r>
      </w:hyperlink>
      <w:r>
        <w:t xml:space="preserve">, is a direct analogue: short text mapped to a contested</w:t>
      </w:r>
      <w:r>
        <w:t xml:space="preserve"> </w:t>
      </w:r>
      <w:r>
        <w:t xml:space="preserve">hierarchical code. Our gap analysis applies this lens to cross-jurisdiction 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  <w:jc w:val="bot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 Label-semantic pretraining injects label descriptions into the model</w:t>
      </w:r>
      <w:r>
        <w:t xml:space="preserve"> </w:t>
      </w:r>
      <w:hyperlink w:anchor="r22">
        <w:r>
          <w:rPr>
            <w:rStyle w:val="Hyperlink"/>
            <w:vertAlign w:val="superscript"/>
          </w:rPr>
          <w:t xml:space="preserve">[22]</w:t>
        </w:r>
      </w:hyperlink>
      <w:r>
        <w:t xml:space="preserve">,</w:t>
      </w:r>
      <w:r>
        <w:t xml:space="preserve"> </w:t>
      </w:r>
      <w:r>
        <w:t xml:space="preserve">which our sentence-transformer and NLI baselines approximate at inference time.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  <w:jc w:val="bot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6" w:name="corpus-construction"/>
    <w:p>
      <w:pPr>
        <w:pStyle w:val="Heading2"/>
      </w:pPr>
      <w:r>
        <w:t xml:space="preserve">3. Corpus construction</w:t>
      </w:r>
    </w:p>
    <w:p>
      <w:pPr>
        <w:pStyle w:val="CaptionedFigure"/>
      </w:pPr>
      <w:r>
        <w:drawing>
          <wp:inline>
            <wp:extent cx="5334000" cy="698470"/>
            <wp:effectExtent b="0" l="0" r="0" t="0"/>
            <wp:docPr descr="Corpus construction pipeline" title="" id="31" name="Picture"/>
            <a:graphic>
              <a:graphicData uri="http://schemas.openxmlformats.org/drawingml/2006/picture">
                <pic:pic>
                  <pic:nvPicPr>
                    <pic:cNvPr descr="fig_corpus_flo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8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Corpus construction: from probed municipal portals to the frozen</w:t>
      </w:r>
      <w:r>
        <w:t xml:space="preserve"> </w:t>
      </w:r>
      <w:r>
        <w:t xml:space="preserve">MC311 benchmark, through free-text confirmation, harmonization, administrative-category removal, an</w:t>
      </w:r>
      <w:r>
        <w:t xml:space="preserve"> </w:t>
      </w:r>
      <w:r>
        <w:t xml:space="preserve">informativeness filter, and PII scrubbing.</w:t>
      </w:r>
    </w:p>
    <w:bookmarkStart w:id="33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  <w:jc w:val="both"/>
      </w:pPr>
      <w:r>
        <w:t xml:space="preserve">The first design constraint is that genuine citizen narrative 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3"/>
    <w:bookmarkStart w:id="34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  <w:jc w:val="both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4"/>
    <w:bookmarkStart w:id="35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  <w:jc w:val="bot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signal, and an earlier per-city run found its effect on scores</w:t>
      </w:r>
      <w:r>
        <w:t xml:space="preserve"> </w:t>
      </w:r>
      <w:r>
        <w:t xml:space="preserve">to be small (about +0.01 macro-F1). The canonical benchmark uses the filtered subset, fixed before the</w:t>
      </w:r>
      <w:r>
        <w:t xml:space="preserve"> </w:t>
      </w:r>
      <w:r>
        <w:t xml:space="preserve">evaluation split was drawn. Median request length ranges from 9 tokens</w:t>
      </w:r>
      <w:r>
        <w:t xml:space="preserve"> </w:t>
      </w:r>
      <w:r>
        <w:t xml:space="preserve">(Bloomington) to 24 (Honolulu), and only in the two most verbose cities do more than a tenth of requests</w:t>
      </w:r>
      <w:r>
        <w:t xml:space="preserve"> </w:t>
      </w:r>
      <w:r>
        <w:t xml:space="preserve">exceed the 64-token cap used by the encoder (Honolulu 14%, Gainesville 11%; under 2% elsewhere), which both</w:t>
      </w:r>
      <w:r>
        <w:t xml:space="preserve"> </w:t>
      </w:r>
      <w:r>
        <w:t xml:space="preserve">evidences the register shift and bounds any truncation effect. Requests also contain street addresses and</w:t>
      </w:r>
      <w:r>
        <w:t xml:space="preserve"> </w:t>
      </w:r>
      <w:r>
        <w:t xml:space="preserve">occasional phone numbers, which we address in Section 10.</w:t>
      </w:r>
    </w:p>
    <w:bookmarkEnd w:id="35"/>
    <w:bookmarkEnd w:id="36"/>
    <w:bookmarkStart w:id="40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  <w:jc w:val="bot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 Figure 7 shows these boundaries empirically: the heaviest cross-city confusion concentrates on a</w:t>
      </w:r>
      <w:r>
        <w:t xml:space="preserve"> </w:t>
      </w:r>
      <w:r>
        <w:t xml:space="preserve">few neighboring pairs, with Waste and Sanitation acting as a hub (its overlap with Parking, Homelessness,</w:t>
      </w:r>
      <w:r>
        <w:t xml:space="preserve"> </w:t>
      </w:r>
      <w:r>
        <w:t xml:space="preserve">Trees, and Property reflects debris, encampment cleanups, yard waste, and property nuisance all bordering it).</w:t>
      </w:r>
    </w:p>
    <w:p>
      <w:pPr>
        <w:pStyle w:val="CaptionedFigure"/>
      </w:pPr>
      <w:r>
        <w:drawing>
          <wp:inline>
            <wp:extent cx="5334000" cy="5169030"/>
            <wp:effectExtent b="0" l="0" r="0" t="0"/>
            <wp:docPr descr="Taxonomy boundary confusion graph" title="" id="38" name="Picture"/>
            <a:graphic>
              <a:graphicData uri="http://schemas.openxmlformats.org/drawingml/2006/picture">
                <pic:pic>
                  <pic:nvPicPr>
                    <pic:cNvPr descr="fig_taxonomy_boundar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9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The 14 classes with the top cross-city confusion pairs as edges</w:t>
      </w:r>
      <w:r>
        <w:t xml:space="preserve"> </w:t>
      </w:r>
      <w:r>
        <w:t xml:space="preserve">(edge width proportional to DistilBERT misclassification count). Confusion concentrates on semantically</w:t>
      </w:r>
      <w:r>
        <w:t xml:space="preserve"> </w:t>
      </w:r>
      <w:r>
        <w:t xml:space="preserve">adjacent boundaries rather than spreading uniformly.</w:t>
      </w:r>
    </w:p>
    <w:bookmarkEnd w:id="40"/>
    <w:bookmarkStart w:id="41" w:name="experimental-setup"/>
    <w:p>
      <w:pPr>
        <w:pStyle w:val="Heading2"/>
      </w:pPr>
      <w:r>
        <w:t xml:space="preserve">5. Experimental setup</w:t>
      </w:r>
    </w:p>
    <w:p>
      <w:pPr>
        <w:pStyle w:val="FirstParagraph"/>
        <w:jc w:val="bot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  <w:jc w:val="both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  <w:jc w:val="both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  <w:jc w:val="both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classes present in the pooled test set, with 95% confidence</w:t>
      </w:r>
      <w:r>
        <w:t xml:space="preserve"> </w:t>
      </w:r>
      <w:r>
        <w:t xml:space="preserve">intervals from 1,000 bootstrap resamples of the test examples. Pooled macro-F1 concatenates all cities' test</w:t>
      </w:r>
      <w:r>
        <w:t xml:space="preserve"> </w:t>
      </w:r>
      <w:r>
        <w:t xml:space="preserve">rows and computes macro-F1 once over the union of classes;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</w:t>
      </w:r>
    </w:p>
    <w:p>
      <w:pPr>
        <w:pStyle w:val="BodyText"/>
        <w:jc w:val="both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As LLM ablations we also report gpt-4o (a stronger model) and a few-shot variant</w:t>
      </w:r>
      <w:r>
        <w:t xml:space="preserve"> </w:t>
      </w:r>
      <w:r>
        <w:t xml:space="preserve">that adds one labeled exemplar per class drawn from the training cities. LLM inference runs through the</w:t>
      </w:r>
      <w:r>
        <w:t xml:space="preserve"> </w:t>
      </w:r>
      <w:r>
        <w:t xml:space="preserve">provider batch APIs at half the standard token price. As additional baselines we report (iv) a fine-tuned</w:t>
      </w:r>
      <w:r>
        <w:t xml:space="preserve"> </w:t>
      </w:r>
      <w:r>
        <w:t xml:space="preserve">RoBERTa-base encoder, and two zero-shot label-semantic methods that use the class descriptions but no training:</w:t>
      </w:r>
      <w:r>
        <w:t xml:space="preserve"> </w:t>
      </w:r>
      <w:r>
        <w:t xml:space="preserve">a sentence-transformer that assigns the nearest class-description embedding, and an NLI entailment classifier.</w:t>
      </w:r>
      <w:r>
        <w:t xml:space="preserve"> </w:t>
      </w:r>
      <w:r>
        <w:t xml:space="preserve">Hyperparameters and the verbatim prompt are released with the code.</w:t>
      </w:r>
    </w:p>
    <w:bookmarkEnd w:id="41"/>
    <w:bookmarkStart w:id="5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43" name="Picture"/>
            <a:graphic>
              <a:graphicData uri="http://schemas.openxmlformats.org/drawingml/2006/picture">
                <pic:pic>
                  <pic:nvPicPr>
                    <pic:cNvPr descr="fig_transf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gpt-4o-mini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 [.67,.73]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0.668</w:t>
            </w:r>
          </w:p>
        </w:tc>
      </w:tr>
    </w:tbl>
    <w:p>
      <w:pPr>
        <w:pStyle w:val="BodyText"/>
        <w:jc w:val="both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0.447): a city with few classes contributes to few of the pooled per-class F1 terms, whereas the unweighted</w:t>
      </w:r>
      <w:r>
        <w:t xml:space="preserve"> </w:t>
      </w:r>
      <w:r>
        <w:t xml:space="preserve">mean weights every city equally. Both aggregations are released.</w:t>
      </w:r>
    </w:p>
    <w:p>
      <w:pPr>
        <w:pStyle w:val="BodyText"/>
        <w:jc w:val="both"/>
      </w:pPr>
      <w:r>
        <w:t xml:space="preserve">Two results are stable across models. Crossing city boundaries costs roughly a third of macro-F1, from 0.827</w:t>
      </w:r>
      <w:r>
        <w:t xml:space="preserve"> </w:t>
      </w:r>
      <w:r>
        <w:t xml:space="preserve">to 0.558 for DistilBERT and from 0.785 to 0.523 for TF-IDF (Figure 1),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(0.654)</w:t>
      </w:r>
      <w:r>
        <w:t xml:space="preserve"> </w:t>
      </w:r>
      <w:r>
        <w:t xml:space="preserve">above DistilBERT (0.558) above TF-IDF (0.523), is significant: paired bootstrap over the shared test examples</w:t>
      </w:r>
      <w:r>
        <w:t xml:space="preserve"> </w:t>
      </w:r>
      <w:r>
        <w:t xml:space="preserve">gives a mean difference of +0.096 for LLM over DistilBERT and +0.131 for LLM over TF-IDF, both with 95%</w:t>
      </w:r>
      <w:r>
        <w:t xml:space="preserve"> </w:t>
      </w:r>
      <w:r>
        <w:t xml:space="preserve">intervals excluding zero. This significance is at the request level; the ordering is heterogeneous across the</w:t>
      </w:r>
      <w:r>
        <w:t xml:space="preserve"> </w:t>
      </w:r>
      <w:r>
        <w:t xml:space="preserve">seven cities (the LLM leads DistilBERT in five of seven, trailing in Richmond and Auburn), and with only seven</w:t>
      </w:r>
      <w:r>
        <w:t xml:space="preserve"> </w:t>
      </w:r>
      <w:r>
        <w:t xml:space="preserve">jurisdictions we do not claim the ranking generalizes to all municipalities. A preliminary same-platform probe</w:t>
      </w:r>
      <w:r>
        <w:t xml:space="preserve"> </w:t>
      </w:r>
      <w:r>
        <w:t xml:space="preserve">is inconclusive: Auburn-to-Richmond transfer (0.615) exceeds Richmond's leave-one-city-out score (0.477) while</w:t>
      </w:r>
      <w:r>
        <w:t xml:space="preserve"> </w:t>
      </w:r>
      <w:r>
        <w:t xml:space="preserve">Richmond-to-Auburn (0.350) falls below Auburn's (0.434), so shared platform does not uniformly explain the gap</w:t>
      </w:r>
      <w:r>
        <w:t xml:space="preserve"> </w:t>
      </w:r>
      <w:r>
        <w:t xml:space="preserve">(single-source versus multi-source training confounds this cell; a full transfer matrix is future work).</w:t>
      </w:r>
      <w:r>
        <w:t xml:space="preserve"> </w:t>
      </w:r>
      <w:r>
        <w:t xml:space="preserve">Giving a model the target label space in context helps where a fixed label space does not, without closing the</w:t>
      </w:r>
      <w:r>
        <w:t xml:space="preserve"> </w:t>
      </w:r>
      <w:r>
        <w:t xml:space="preserve">gap; Section 7 tests this reading directly.</w:t>
      </w:r>
    </w:p>
    <w:p>
      <w:pPr>
        <w:pStyle w:val="BodyText"/>
        <w:jc w:val="both"/>
      </w:pPr>
      <w:r>
        <w:t xml:space="preserve">To ask what drives the LLM's cross-jurisdiction advantage, we vary the model and the prompt. A stronger</w:t>
      </w:r>
      <w:r>
        <w:t xml:space="preserve"> </w:t>
      </w:r>
      <w:r>
        <w:t xml:space="preserve">model widens it: gpt-4o reaches 0.704, significantly above gpt-4o-mini (0.654; paired bootstrap P&gt;0.99).</w:t>
      </w:r>
      <w:r>
        <w:t xml:space="preserve"> </w:t>
      </w:r>
      <w:r>
        <w:t xml:space="preserve">Adding in-context examples does not: gpt-4o-mini given one labeled exemplar per class drawn from the training</w:t>
      </w:r>
      <w:r>
        <w:t xml:space="preserve"> </w:t>
      </w:r>
      <w:r>
        <w:t xml:space="preserve">cities scores 0.650, statistically indistinguishable from its zero-shot result (P=0.44). The advantage</w:t>
      </w:r>
      <w:r>
        <w:t xml:space="preserve"> </w:t>
      </w:r>
      <w:r>
        <w:t xml:space="preserve">therefore comes from the target-label semantics that the taxonomy places in the prompt, and grows with model</w:t>
      </w:r>
      <w:r>
        <w:t xml:space="preserve"> </w:t>
      </w:r>
      <w:r>
        <w:t xml:space="preserve">capacity, rather than from few-shot demonstrations. As a pipeline check, running gpt-4o-mini through the batch</w:t>
      </w:r>
      <w:r>
        <w:t xml:space="preserve"> </w:t>
      </w:r>
      <w:r>
        <w:t xml:space="preserve">API reproduces the synchronous result (0.644 versus 0.654, not significant).</w:t>
      </w:r>
    </w:p>
    <w:p>
      <w:pPr>
        <w:pStyle w:val="BodyText"/>
        <w:jc w:val="both"/>
      </w:pPr>
      <w:r>
        <w:t xml:space="preserve">We also widen the model families. A stronger encoder does not help transfer: fine-tuned RoBERTa reaches</w:t>
      </w:r>
      <w:r>
        <w:t xml:space="preserve"> </w:t>
      </w:r>
      <w:r>
        <w:t xml:space="preserve">0.840 in-city, above DistilBERT, but only 0.519 across cities, so the gap is not a weakness of the DistilBERT</w:t>
      </w:r>
      <w:r>
        <w:t xml:space="preserve"> </w:t>
      </w:r>
      <w:r>
        <w:t xml:space="preserve">baseline. Two zero-shot label-semantic methods that receive the class descriptions but no strong reasoning, a</w:t>
      </w:r>
      <w:r>
        <w:t xml:space="preserve"> </w:t>
      </w:r>
      <w:r>
        <w:t xml:space="preserve">sentence-transformer that matches each request to the nearest class-description embedding (0.510) and an NLI</w:t>
      </w:r>
      <w:r>
        <w:t xml:space="preserve"> </w:t>
      </w:r>
      <w:r>
        <w:t xml:space="preserve">entailment classifier (0.478), land at or below the classical TF-IDF baseline and far below the LLM. Access to</w:t>
      </w:r>
      <w:r>
        <w:t xml:space="preserve"> </w:t>
      </w:r>
      <w:r>
        <w:t xml:space="preserve">label semantics is therefore necessary but not sufficient: the zero-shot LLM's advantage combines the label</w:t>
      </w:r>
      <w:r>
        <w:t xml:space="preserve"> </w:t>
      </w:r>
      <w:r>
        <w:t xml:space="preserve">semantics in its prompt with its own capability, and neither a stronger encoder nor a simple label-matching</w:t>
      </w:r>
      <w:r>
        <w:t xml:space="preserve"> </w:t>
      </w:r>
      <w:r>
        <w:t xml:space="preserve">model reproduces it.</w:t>
      </w:r>
    </w:p>
    <w:bookmarkStart w:id="51" w:name="robustness"/>
    <w:p>
      <w:pPr>
        <w:pStyle w:val="Heading3"/>
      </w:pPr>
      <w:r>
        <w:t xml:space="preserve">Robustness</w:t>
      </w:r>
    </w:p>
    <w:p>
      <w:pPr>
        <w:pStyle w:val="FirstParagraph"/>
        <w:jc w:val="both"/>
      </w:pPr>
      <w:r>
        <w:t xml:space="preserve">Three checks indicate the gap is genuine domain shift rather than an artifact of the split or the taxonomy.</w:t>
      </w:r>
      <w:r>
        <w:t xml:space="preserve"> </w:t>
      </w:r>
      <w:r>
        <w:rPr>
          <w:i/>
          <w:iCs/>
        </w:rPr>
        <w:t xml:space="preserve">Deduplication:</w:t>
      </w:r>
      <w:r>
        <w:t xml:space="preserve"> </w:t>
      </w:r>
      <w:r>
        <w:t xml:space="preserve">18,265 training rows shared their exact text with a test request in the same city;</w:t>
      </w:r>
      <w:r>
        <w:t xml:space="preserve"> </w:t>
      </w:r>
      <w:r>
        <w:t xml:space="preserve">removing them, together with corpus-wide exact duplicates, barely changes the picture (DistilBERT in-city</w:t>
      </w:r>
      <w:r>
        <w:t xml:space="preserve"> </w:t>
      </w:r>
      <w:r>
        <w:t xml:space="preserve">0.818, cross-city 0.539), so the roughly one-third drop is not produced by train-test overlap.</w:t>
      </w:r>
      <w:r>
        <w:t xml:space="preserve"> </w:t>
      </w:r>
      <w:r>
        <w:rPr>
          <w:i/>
          <w:iCs/>
        </w:rPr>
        <w:t xml:space="preserve">Taxonomy</w:t>
      </w:r>
      <w:r>
        <w:rPr>
          <w:i/>
          <w:iCs/>
        </w:rPr>
        <w:t xml:space="preserve"> </w:t>
      </w:r>
      <w:r>
        <w:rPr>
          <w:i/>
          <w:iCs/>
        </w:rPr>
        <w:t xml:space="preserve">coarsening:</w:t>
      </w:r>
      <w:r>
        <w:t xml:space="preserve"> </w:t>
      </w:r>
      <w:r>
        <w:t xml:space="preserve">merging the confusable neighboring classes into an eight-class ontology recovers four to seven</w:t>
      </w:r>
      <w:r>
        <w:t xml:space="preserve"> </w:t>
      </w:r>
      <w:r>
        <w:t xml:space="preserve">macro-F1 points for the trained models (TF-IDF cross-city 0.523 to 0.590, DistilBERT 0.558 to 0.601), which</w:t>
      </w:r>
      <w:r>
        <w:t xml:space="preserve"> </w:t>
      </w:r>
      <w:r>
        <w:t xml:space="preserve">quantifies the taxonomy-boundary share of the difficulty, yet the gap to in-city persists.</w:t>
      </w:r>
      <w:r>
        <w:t xml:space="preserve"> </w:t>
      </w:r>
      <w:r>
        <w:rPr>
          <w:i/>
          <w:iCs/>
        </w:rPr>
        <w:t xml:space="preserve">Temporal split:</w:t>
      </w:r>
      <w:r>
        <w:t xml:space="preserve"> </w:t>
      </w:r>
      <w:r>
        <w:t xml:space="preserve">for the four cities that carry timestamps, training on the earliest 80% of requests and testing on the latest</w:t>
      </w:r>
      <w:r>
        <w:t xml:space="preserve"> </w:t>
      </w:r>
      <w:r>
        <w:t xml:space="preserve">20% yields in-city macro-F1 within 0.01 of a random split on average (0.753 versus 0.764), so random splitting</w:t>
      </w:r>
      <w:r>
        <w:t xml:space="preserve"> </w:t>
      </w:r>
      <w:r>
        <w:t xml:space="preserve">does not materially inflate in-city performance; the remaining three cities lack usable timestamps, a</w:t>
      </w:r>
      <w:r>
        <w:t xml:space="preserve"> </w:t>
      </w:r>
      <w:r>
        <w:t xml:space="preserve">limitation of the collection.</w:t>
      </w:r>
      <w:r>
        <w:t xml:space="preserve"> </w:t>
      </w:r>
      <w:r>
        <w:rPr>
          <w:i/>
          <w:iCs/>
        </w:rPr>
        <w:t xml:space="preserve">Model family:</w:t>
      </w:r>
      <w:r>
        <w:t xml:space="preserve"> </w:t>
      </w:r>
      <w:r>
        <w:t xml:space="preserve">a stronger encoder and simple label-semantic classifiers,</w:t>
      </w:r>
      <w:r>
        <w:t xml:space="preserve"> </w:t>
      </w:r>
      <w:r>
        <w:t xml:space="preserve">above, do not close the gap either. The gap is not specific to one architecture, split, or taxonomy</w:t>
      </w:r>
      <w:r>
        <w:t xml:space="preserve"> </w:t>
      </w:r>
      <w:r>
        <w:t xml:space="preserve">granularity.</w:t>
      </w:r>
    </w:p>
    <w:p>
      <w:pPr>
        <w:pStyle w:val="BodyText"/>
        <w:jc w:val="both"/>
      </w:pPr>
      <w:r>
        <w:t xml:space="preserve">Performance varies sharply across held-out cities (Figure 2),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6" name="Picture"/>
            <a:graphic>
              <a:graphicData uri="http://schemas.openxmlformats.org/drawingml/2006/picture">
                <pic:pic>
                  <pic:nvPicPr>
                    <pic:cNvPr descr="fig_percit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p>
      <w:pPr>
        <w:pStyle w:val="CaptionedFigure"/>
      </w:pPr>
      <w:r>
        <w:drawing>
          <wp:inline>
            <wp:extent cx="5334000" cy="4525818"/>
            <wp:effectExtent b="0" l="0" r="0" t="0"/>
            <wp:docPr descr="City-to-city transfer matrix" title="" id="49" name="Picture"/>
            <a:graphic>
              <a:graphicData uri="http://schemas.openxmlformats.org/drawingml/2006/picture">
                <pic:pic>
                  <pic:nvPicPr>
                    <pic:cNvPr descr="fig_transfer_matrix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Full 7×7 city-to-city TF-IDF transfer (train on the row city,</w:t>
      </w:r>
      <w:r>
        <w:t xml:space="preserve"> </w:t>
      </w:r>
      <w:r>
        <w:t xml:space="preserve">test on the column city). Single-source cross-city transfer averages 0.247 macro-F1, far below the</w:t>
      </w:r>
      <w:r>
        <w:t xml:space="preserve"> </w:t>
      </w:r>
      <w:r>
        <w:t xml:space="preserve">multi-source leave-one-city-out result, and the SeeClickFix pair transfers asymmetrically.</w:t>
      </w:r>
    </w:p>
    <w:p>
      <w:pPr>
        <w:pStyle w:val="BodyText"/>
        <w:jc w:val="both"/>
      </w:pPr>
      <w:r>
        <w:t xml:space="preserve">The full city-to-city matrix (Figure 5) makes the multi-source benefit concrete: training on a single</w:t>
      </w:r>
      <w:r>
        <w:t xml:space="preserve"> </w:t>
      </w:r>
      <w:r>
        <w:t xml:space="preserve">other city and testing on a target averages 0.247 macro-F1, less than half the leave-one-city-out result</w:t>
      </w:r>
      <w:r>
        <w:t xml:space="preserve"> </w:t>
      </w:r>
      <w:r>
        <w:t xml:space="preserve">(0.523 for TF-IDF), so pooling several source cities is worth far more than any single source. The structure</w:t>
      </w:r>
      <w:r>
        <w:t xml:space="preserve"> </w:t>
      </w:r>
      <w:r>
        <w:t xml:space="preserve">is not explained by shared platform alone; the two SeeClickFix cities transfer asymmetrically (Auburn to</w:t>
      </w:r>
      <w:r>
        <w:t xml:space="preserve"> </w:t>
      </w:r>
      <w:r>
        <w:t xml:space="preserve">Richmond 0.58, Richmond to Auburn 0.34), consistent with the inconclusive same-platform probe above.</w:t>
      </w:r>
    </w:p>
    <w:bookmarkEnd w:id="51"/>
    <w:bookmarkEnd w:id="52"/>
    <w:bookmarkStart w:id="59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  <w:jc w:val="bot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</w:t>
      </w:r>
    </w:p>
    <w:p>
      <w:pPr>
        <w:pStyle w:val="BodyText"/>
        <w:jc w:val="both"/>
      </w:pPr>
      <w:r>
        <w:t xml:space="preserve">The judge also disagrees with the city's own label on 14.3% of requests (from 5.6% in San Francisco to 20%</w:t>
      </w:r>
      <w:r>
        <w:t xml:space="preserve"> </w:t>
      </w:r>
      <w:r>
        <w:t xml:space="preserve">in Richmond). This is a measured rate of city labels not entailed by the text, on the same population the gap</w:t>
      </w:r>
      <w:r>
        <w:t xml:space="preserve"> </w:t>
      </w:r>
      <w:r>
        <w:t xml:space="preserve">is computed on. It does not cap predictive accuracy, since a model can still exploit a city's administrative</w:t>
      </w:r>
      <w:r>
        <w:t xml:space="preserve"> </w:t>
      </w:r>
      <w:r>
        <w:t xml:space="preserve">conventions, location cues, or lexical shortcuts; rather, it shows that matching the city label is not a pure</w:t>
      </w:r>
      <w:r>
        <w:t xml:space="preserve"> </w:t>
      </w:r>
      <w:r>
        <w:t xml:space="preserve">measure of semantic classification ability.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54" name="Picture"/>
            <a:graphic>
              <a:graphicData uri="http://schemas.openxmlformats.org/drawingml/2006/picture">
                <pic:pic>
                  <pic:nvPicPr>
                    <pic:cNvPr descr="fig_defensibilit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A large share of cross-city "errors" are</w:t>
      </w:r>
      <w:r>
        <w:t xml:space="preserve"> </w:t>
      </w:r>
      <w:r>
        <w:t xml:space="preserve">judged defensible, nearly all for the LLM under the same-family judge.</w:t>
      </w:r>
    </w:p>
    <w:p>
      <w:pPr>
        <w:pStyle w:val="BodyText"/>
        <w:jc w:val="both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for every model (Figure 3): the LLM from 0.797 to 0.981, DistilBERT</w:t>
      </w:r>
      <w:r>
        <w:t xml:space="preserve"> </w:t>
      </w:r>
      <w:r>
        <w:t xml:space="preserve">from 0.748 to 0.864, and TF-IDF from 0.688 to 0.816. This rescues about 91% of the zero-shot LLM's strict</w:t>
      </w:r>
      <w:r>
        <w:t xml:space="preserve"> </w:t>
      </w:r>
      <w:r>
        <w:t xml:space="preserve">disagreements, and about 46% and 41% of DistilBERT's and TF-IDF's. To test whether this reflects same-family</w:t>
      </w:r>
      <w:r>
        <w:t xml:space="preserve"> </w:t>
      </w:r>
      <w:r>
        <w:t xml:space="preserve">self-agreement, we repeated the acceptable-set judgment with an independent judge from a different model</w:t>
      </w:r>
      <w:r>
        <w:t xml:space="preserve"> </w:t>
      </w:r>
      <w:r>
        <w:t xml:space="preserve">family (gemini-2.5-flash). The two judges agree on the acceptable set for 75% of requests (mean Jaccard 0.86),</w:t>
      </w:r>
      <w:r>
        <w:t xml:space="preserve"> </w:t>
      </w:r>
      <w:r>
        <w:t xml:space="preserve">and the lenient scores barely move: the LLM's cross-city accuracy is 0.964 under the independent judge versus</w:t>
      </w:r>
      <w:r>
        <w:t xml:space="preserve"> </w:t>
      </w:r>
      <w:r>
        <w:t xml:space="preserve">0.981 under gpt-4o-mini, and DistilBERT's and TF-IDF's shift by under 0.01. Even the two-judge consensus, where</w:t>
      </w:r>
      <w:r>
        <w:t xml:space="preserve"> </w:t>
      </w:r>
      <w:r>
        <w:t xml:space="preserve">both judges reject the city label, finds 9.7% of city labels textually unsupported. The effect is therefore</w:t>
      </w:r>
      <w:r>
        <w:t xml:space="preserve"> </w:t>
      </w:r>
      <w:r>
        <w:t xml:space="preserve">not an artifact of same-family judging; human validation of a subset remains the natural next step (Section 9). The measured cross-jurisdiction gap therefore conflates three effects that this</w:t>
      </w:r>
      <w:r>
        <w:t xml:space="preserve"> </w:t>
      </w:r>
      <w:r>
        <w:t xml:space="preserve">analysis makes visible without cleanly separating: genuine domain shift between cities, non-comparability of</w:t>
      </w:r>
      <w:r>
        <w:t xml:space="preserve"> </w:t>
      </w:r>
      <w:r>
        <w:t xml:space="preserve">the harmonized taxonomy at its boundaries, and text-label mismatch. The confusion structure identifies where the boundary effects concentrate</w:t>
      </w:r>
      <w:r>
        <w:t xml:space="preserve"> </w:t>
      </w:r>
      <w:r>
        <w:t xml:space="preserve">(Figure 4).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57" name="Picture"/>
            <a:graphic>
              <a:graphicData uri="http://schemas.openxmlformats.org/drawingml/2006/picture">
                <pic:pic>
                  <pic:nvPicPr>
                    <pic:cNvPr descr="fig_confu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  <w:jc w:val="both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 Resolving these boundaries by intent is a controllable lever on the gap, which we leave to a</w:t>
      </w:r>
      <w:r>
        <w:t xml:space="preserve"> </w:t>
      </w:r>
      <w:r>
        <w:t xml:space="preserve">taxonomy revision.</w:t>
      </w:r>
    </w:p>
    <w:bookmarkEnd w:id="59"/>
    <w:bookmarkStart w:id="60" w:name="discussion"/>
    <w:p>
      <w:pPr>
        <w:pStyle w:val="Heading2"/>
      </w:pPr>
      <w:r>
        <w:t xml:space="preserve">8. Discussion</w:t>
      </w:r>
    </w:p>
    <w:p>
      <w:pPr>
        <w:pStyle w:val="FirstParagraph"/>
        <w:jc w:val="both"/>
      </w:pPr>
      <w:r>
        <w:t xml:space="preserve">For civic-technology deployment, the result is a caution and an option. Across the seven jurisdictions</w:t>
      </w:r>
      <w:r>
        <w:t xml:space="preserve"> </w:t>
      </w:r>
      <w:r>
        <w:t xml:space="preserve">studied here, supervised transfer to an unseen city cost roughly a third of the in-domain macro-F1, driven</w:t>
      </w:r>
      <w:r>
        <w:t xml:space="preserve"> </w:t>
      </w:r>
      <w:r>
        <w:t xml:space="preserve">substantially by taxonomy mismatch rather than by the model; we do not claim a universal figure from seven</w:t>
      </w:r>
      <w:r>
        <w:t xml:space="preserve"> </w:t>
      </w:r>
      <w:r>
        <w:t xml:space="preserve">cities. GPT-4o-mini achieved the highest pooled cross-jurisdiction score, though its advantage was</w:t>
      </w:r>
      <w:r>
        <w:t xml:space="preserve"> </w:t>
      </w:r>
      <w:r>
        <w:t xml:space="preserve">heterogeneous across cities, so a zero-shot LLM with the target city's taxonomy in the prompt is a reasonable</w:t>
      </w:r>
      <w:r>
        <w:t xml:space="preserve"> </w:t>
      </w:r>
      <w:r>
        <w:t xml:space="preserve">starting point when a city lacks its own labels rather than a guaranteed winner.</w:t>
      </w:r>
    </w:p>
    <w:p>
      <w:pPr>
        <w:pStyle w:val="BodyText"/>
        <w:jc w:val="both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60"/>
    <w:bookmarkStart w:id="61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  <w:jc w:val="bot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14.3%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We mitigate same-family bias between the judge and the</w:t>
      </w:r>
      <w:r>
        <w:t xml:space="preserve"> </w:t>
      </w:r>
      <w:r>
        <w:t xml:space="preserve">zero-shot arm by confirming the defensibility effect with an independent-family judge (Section 7), which</w:t>
      </w:r>
      <w:r>
        <w:t xml:space="preserve"> </w:t>
      </w:r>
      <w:r>
        <w:t xml:space="preserve">leaves the lenient scores nearly unchanged; a multi-annotator human study remains the definitive check.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61"/>
    <w:bookmarkStart w:id="62" w:name="ethics-and-data"/>
    <w:p>
      <w:pPr>
        <w:pStyle w:val="Heading2"/>
      </w:pPr>
      <w:r>
        <w:t xml:space="preserve">10. Ethics and data</w:t>
      </w:r>
    </w:p>
    <w:p>
      <w:pPr>
        <w:pStyle w:val="FirstParagraph"/>
        <w:jc w:val="bot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(2,861 spans) and email addresses (726); street</w:t>
      </w:r>
      <w:r>
        <w:t xml:space="preserve"> </w:t>
      </w:r>
      <w:r>
        <w:t xml:space="preserve">addresses are retained, because they are intrinsic to a service request and are already public in the source</w:t>
      </w:r>
      <w:r>
        <w:t xml:space="preserve"> </w:t>
      </w:r>
      <w:r>
        <w:t xml:space="preserve">portals. Names are not systematically removed, which we flag as a residual-PII risk to be addressed before</w:t>
      </w:r>
      <w:r>
        <w:t xml:space="preserve"> </w:t>
      </w:r>
      <w:r>
        <w:t xml:space="preserve">wide redistribution. The reporting cities' open-data licenses are listed per source, and we distribute</w:t>
      </w:r>
      <w:r>
        <w:t xml:space="preserve"> </w:t>
      </w:r>
      <w:r>
        <w:t xml:space="preserve">derived, harmonized text for research use rather 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62"/>
    <w:bookmarkStart w:id="63" w:name="reproducibility"/>
    <w:p>
      <w:pPr>
        <w:pStyle w:val="Heading2"/>
      </w:pPr>
      <w:r>
        <w:t xml:space="preserve">11. Reproducibility</w:t>
      </w:r>
    </w:p>
    <w:p>
      <w:pPr>
        <w:pStyle w:val="FirstParagraph"/>
        <w:jc w:val="bot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text-label</w:t>
      </w:r>
      <w:r>
        <w:t xml:space="preserve"> </w:t>
      </w:r>
      <w:r>
        <w:t xml:space="preserve">mismatch rates, from the released artifacts.</w:t>
      </w:r>
    </w:p>
    <w:bookmarkEnd w:id="63"/>
    <w:bookmarkStart w:id="89" w:name="conclusion"/>
    <w:p>
      <w:pPr>
        <w:pStyle w:val="Heading2"/>
      </w:pPr>
      <w:r>
        <w:t xml:space="preserve">12. Conclusion</w:t>
      </w:r>
    </w:p>
    <w:p>
      <w:pPr>
        <w:pStyle w:val="FirstParagraph"/>
        <w:jc w:val="both"/>
      </w:pPr>
      <w:r>
        <w:t xml:space="preserve">We built the first public multi-city free-text 311 benchmark and used it to measure cross-jurisdiction</w:t>
      </w:r>
      <w:r>
        <w:t xml:space="preserve"> </w:t>
      </w:r>
      <w:r>
        <w:t xml:space="preserve">transfer under an aligned protocol. Both trained models lose roughly a third of their macro-F1 on an unseen city, a</w:t>
      </w:r>
      <w:r>
        <w:t xml:space="preserve"> </w:t>
      </w:r>
      <w:r>
        <w:t xml:space="preserve">zero-shot LLM with the taxonomy in context transfers significantly better than either, and a blind</w:t>
      </w:r>
      <w:r>
        <w:t xml:space="preserve"> </w:t>
      </w:r>
      <w:r>
        <w:t xml:space="preserve">acceptable-set judgment shows that most of the cross-city gap is defensible-label disagreement and taxonomy</w:t>
      </w:r>
      <w:r>
        <w:t xml:space="preserve"> </w:t>
      </w:r>
      <w:r>
        <w:t xml:space="preserve">non-comparability rather than model failure. The benchmark, its harmonization, and the measurement</w:t>
      </w:r>
      <w:r>
        <w:t xml:space="preserve"> </w:t>
      </w:r>
      <w:r>
        <w:t xml:space="preserve">methodology are public so that cross-jurisdiction 311 classification can be studied on comparable ground.</w:t>
      </w:r>
    </w:p>
    <w:p>
      <w:pPr>
        <w:jc w:val="both"/>
      </w:pPr>
      <w:r>
        <w:pict>
          <v:rect style="width:0;height:1.5pt" o:hralign="center" o:hrstd="t" o:hr="t"/>
        </w:pict>
      </w:r>
    </w:p>
    <w:bookmarkStart w:id="88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64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64"/>
    </w:p>
    <w:p>
      <w:pPr>
        <w:pStyle w:val="Compact"/>
        <w:numPr>
          <w:ilvl w:val="0"/>
          <w:numId w:val="1002"/>
        </w:numPr>
      </w:pPr>
      <w:bookmarkStart w:id="65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3"/>
      <w:r>
        <w:t xml:space="preserve">Sukel, M., Rudinac, S., &amp; Worring, M. (2019). Multimodal Classification of Urban Micro-Events. arXiv:1904.13349.</w:t>
      </w:r>
      <w:bookmarkEnd w:id="66"/>
    </w:p>
    <w:p>
      <w:pPr>
        <w:pStyle w:val="Compact"/>
        <w:numPr>
          <w:ilvl w:val="0"/>
          <w:numId w:val="1002"/>
        </w:numPr>
      </w:pPr>
      <w:bookmarkStart w:id="67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67"/>
    </w:p>
    <w:p>
      <w:pPr>
        <w:pStyle w:val="Compact"/>
        <w:numPr>
          <w:ilvl w:val="0"/>
          <w:numId w:val="1002"/>
        </w:numPr>
      </w:pPr>
      <w:bookmarkStart w:id="68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68"/>
    </w:p>
    <w:p>
      <w:pPr>
        <w:pStyle w:val="Compact"/>
        <w:numPr>
          <w:ilvl w:val="0"/>
          <w:numId w:val="1002"/>
        </w:numPr>
      </w:pPr>
      <w:bookmarkStart w:id="69" w:name="r6"/>
      <w:r>
        <w:t xml:space="preserve">Yuan, X., et al. (2023). Out-of-Distribution Generalization in Text Classification: Past, Present, and Future. arXiv:2305.14104.</w:t>
      </w:r>
      <w:bookmarkEnd w:id="69"/>
    </w:p>
    <w:p>
      <w:pPr>
        <w:pStyle w:val="Compact"/>
        <w:numPr>
          <w:ilvl w:val="0"/>
          <w:numId w:val="1002"/>
        </w:numPr>
      </w:pPr>
      <w:bookmarkStart w:id="70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70"/>
    </w:p>
    <w:p>
      <w:pPr>
        <w:pStyle w:val="Compact"/>
        <w:numPr>
          <w:ilvl w:val="0"/>
          <w:numId w:val="1002"/>
        </w:numPr>
      </w:pPr>
      <w:bookmarkStart w:id="71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71"/>
    </w:p>
    <w:p>
      <w:pPr>
        <w:pStyle w:val="Compact"/>
        <w:numPr>
          <w:ilvl w:val="0"/>
          <w:numId w:val="1002"/>
        </w:numPr>
      </w:pPr>
      <w:bookmarkStart w:id="72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72"/>
    </w:p>
    <w:p>
      <w:pPr>
        <w:pStyle w:val="Compact"/>
        <w:numPr>
          <w:ilvl w:val="0"/>
          <w:numId w:val="1002"/>
        </w:numPr>
      </w:pPr>
      <w:bookmarkStart w:id="73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73"/>
    </w:p>
    <w:p>
      <w:pPr>
        <w:pStyle w:val="Compact"/>
        <w:numPr>
          <w:ilvl w:val="0"/>
          <w:numId w:val="1002"/>
        </w:numPr>
      </w:pPr>
      <w:bookmarkStart w:id="74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74"/>
    </w:p>
    <w:p>
      <w:pPr>
        <w:pStyle w:val="Compact"/>
        <w:numPr>
          <w:ilvl w:val="0"/>
          <w:numId w:val="1002"/>
        </w:numPr>
      </w:pPr>
      <w:bookmarkStart w:id="75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75"/>
    </w:p>
    <w:p>
      <w:pPr>
        <w:pStyle w:val="Compact"/>
        <w:numPr>
          <w:ilvl w:val="0"/>
          <w:numId w:val="1002"/>
        </w:numPr>
      </w:pPr>
      <w:bookmarkStart w:id="76" w:name="r13"/>
      <w:r>
        <w:t xml:space="preserve">Kontokosta, C. E., &amp; Hong, B. (2017). Equity in 311 Reporting: Socio-Spatial Differentials in the Propensity to Complain. arXiv:1710.02452.</w:t>
      </w:r>
      <w:bookmarkEnd w:id="76"/>
    </w:p>
    <w:p>
      <w:pPr>
        <w:pStyle w:val="Compact"/>
        <w:numPr>
          <w:ilvl w:val="0"/>
          <w:numId w:val="1002"/>
        </w:numPr>
      </w:pPr>
      <w:bookmarkStart w:id="77" w:name="r14"/>
      <w:r>
        <w:t xml:space="preserve">Ramponi, A., &amp; Plank, B. (2020). Neural Unsupervised Domain Adaptation in NLP—A Survey.</w:t>
      </w:r>
      <w:r>
        <w:t xml:space="preserve"> </w:t>
      </w:r>
      <w:r>
        <w:rPr>
          <w:i/>
          <w:iCs/>
        </w:rPr>
        <w:t xml:space="preserve">COLING</w:t>
      </w:r>
      <w:r>
        <w:t xml:space="preserve">. aclanthology.org/2020.coling-main.603.</w:t>
      </w:r>
      <w:bookmarkEnd w:id="77"/>
    </w:p>
    <w:p>
      <w:pPr>
        <w:pStyle w:val="Compact"/>
        <w:numPr>
          <w:ilvl w:val="0"/>
          <w:numId w:val="1002"/>
        </w:numPr>
      </w:pPr>
      <w:bookmarkStart w:id="78" w:name="r15"/>
      <w:r>
        <w:t xml:space="preserve">Plank, B. (2022). The "Problem" of Human Label Variation: On Ground Truth in Data, Modeling and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. arXiv:2211.02570.</w:t>
      </w:r>
      <w:bookmarkEnd w:id="78"/>
    </w:p>
    <w:p>
      <w:pPr>
        <w:pStyle w:val="Compact"/>
        <w:numPr>
          <w:ilvl w:val="0"/>
          <w:numId w:val="1002"/>
        </w:numPr>
      </w:pPr>
      <w:bookmarkStart w:id="79" w:name="r16"/>
      <w:r>
        <w:t xml:space="preserve">Uma, A., Fornaciari, T., Hovy, D., Paun, S., Plank, B., &amp; Poesio, M. (2021). Learning from Disagreement: A Survey.</w:t>
      </w:r>
      <w:r>
        <w:t xml:space="preserve"> </w:t>
      </w:r>
      <w:r>
        <w:rPr>
          <w:i/>
          <w:iCs/>
        </w:rPr>
        <w:t xml:space="preserve">JAIR</w:t>
      </w:r>
      <w:r>
        <w:t xml:space="preserve">, 72, 1385-1470.</w:t>
      </w:r>
      <w:bookmarkEnd w:id="79"/>
    </w:p>
    <w:p>
      <w:pPr>
        <w:pStyle w:val="Compact"/>
        <w:numPr>
          <w:ilvl w:val="0"/>
          <w:numId w:val="1002"/>
        </w:numPr>
      </w:pPr>
      <w:bookmarkStart w:id="80" w:name="r17"/>
      <w:r>
        <w:t xml:space="preserve">Leonardelli, E., et al. (2023). SemEval-2023 Task 11: Learning with Disagreements (LeWiDi).</w:t>
      </w:r>
      <w:r>
        <w:t xml:space="preserve"> </w:t>
      </w:r>
      <w:r>
        <w:rPr>
          <w:i/>
          <w:iCs/>
        </w:rPr>
        <w:t xml:space="preserve">SemEval</w:t>
      </w:r>
      <w:r>
        <w:t xml:space="preserve">. arXiv:2304.14803.</w:t>
      </w:r>
      <w:bookmarkEnd w:id="80"/>
    </w:p>
    <w:p>
      <w:pPr>
        <w:pStyle w:val="Compact"/>
        <w:numPr>
          <w:ilvl w:val="0"/>
          <w:numId w:val="1002"/>
        </w:numPr>
      </w:pPr>
      <w:bookmarkStart w:id="81" w:name="r18"/>
      <w:r>
        <w:t xml:space="preserve">Nalchigar, S., &amp; Fox, M. S. (2017). Achieving Interoperability of Smart City Data: An Analysis of 311 Data.</w:t>
      </w:r>
      <w:r>
        <w:t xml:space="preserve"> </w:t>
      </w:r>
      <w:r>
        <w:rPr>
          <w:i/>
          <w:iCs/>
        </w:rPr>
        <w:t xml:space="preserve">Journal of Smart Cities</w:t>
      </w:r>
      <w:r>
        <w:t xml:space="preserve">, 3(1).</w:t>
      </w:r>
      <w:bookmarkEnd w:id="81"/>
    </w:p>
    <w:p>
      <w:pPr>
        <w:pStyle w:val="Compact"/>
        <w:numPr>
          <w:ilvl w:val="0"/>
          <w:numId w:val="1002"/>
        </w:numPr>
      </w:pPr>
      <w:bookmarkStart w:id="82" w:name="r19"/>
      <w:r>
        <w:t xml:space="preserve">Mullenbach, J., Wiegreffe, S., Duke, J., Sun, J., &amp; Eisenstein, J. (2018). Explainable Prediction of Medical Codes from Clinical Text.</w:t>
      </w:r>
      <w:r>
        <w:t xml:space="preserve"> </w:t>
      </w:r>
      <w:r>
        <w:rPr>
          <w:i/>
          <w:iCs/>
        </w:rPr>
        <w:t xml:space="preserve">NAACL-HLT</w:t>
      </w:r>
      <w:r>
        <w:t xml:space="preserve">. arXiv:1802.05695.</w:t>
      </w:r>
      <w:bookmarkEnd w:id="82"/>
    </w:p>
    <w:p>
      <w:pPr>
        <w:pStyle w:val="Compact"/>
        <w:numPr>
          <w:ilvl w:val="0"/>
          <w:numId w:val="1002"/>
        </w:numPr>
      </w:pPr>
      <w:bookmarkStart w:id="83" w:name="r20"/>
      <w:r>
        <w:t xml:space="preserve">Gweon, H., Schonlau, M., Kaczmirek, L., Blohm, M., &amp; Steiner, S. (2017). Three Methods for Occupation Coding Based on Statistical Learning.</w:t>
      </w:r>
      <w:r>
        <w:t xml:space="preserve"> </w:t>
      </w:r>
      <w:r>
        <w:rPr>
          <w:i/>
          <w:iCs/>
        </w:rPr>
        <w:t xml:space="preserve">Journal of Official Statistics</w:t>
      </w:r>
      <w:r>
        <w:t xml:space="preserve">, 33(1), 101-122.</w:t>
      </w:r>
      <w:bookmarkEnd w:id="83"/>
    </w:p>
    <w:p>
      <w:pPr>
        <w:pStyle w:val="Compact"/>
        <w:numPr>
          <w:ilvl w:val="0"/>
          <w:numId w:val="1002"/>
        </w:numPr>
      </w:pPr>
      <w:bookmarkStart w:id="84" w:name="r21"/>
      <w:r>
        <w:t xml:space="preserve">Gulrajani, I., &amp; Lopez-Paz, D. (2021). In Search of Lost Domain Generalization.</w:t>
      </w:r>
      <w:r>
        <w:t xml:space="preserve"> </w:t>
      </w:r>
      <w:r>
        <w:rPr>
          <w:i/>
          <w:iCs/>
        </w:rPr>
        <w:t xml:space="preserve">ICLR</w:t>
      </w:r>
      <w:r>
        <w:t xml:space="preserve">. arXiv:2007.01434.</w:t>
      </w:r>
      <w:bookmarkEnd w:id="84"/>
    </w:p>
    <w:p>
      <w:pPr>
        <w:pStyle w:val="Compact"/>
        <w:numPr>
          <w:ilvl w:val="0"/>
          <w:numId w:val="1002"/>
        </w:numPr>
      </w:pPr>
      <w:bookmarkStart w:id="85" w:name="r22"/>
      <w:r>
        <w:t xml:space="preserve">Mueller, A., Krone, J., Romeo, S., Mansour, S., Mansimov, E., Zhang, Y., &amp; Roth, D. (2022). Label Semantic Aware Pre-training for Few-shot Text Classification.</w:t>
      </w:r>
      <w:r>
        <w:t xml:space="preserve"> </w:t>
      </w:r>
      <w:r>
        <w:rPr>
          <w:i/>
          <w:iCs/>
        </w:rPr>
        <w:t xml:space="preserve">ACL</w:t>
      </w:r>
      <w:r>
        <w:t xml:space="preserve">. arXiv:2204.07128.</w:t>
      </w:r>
      <w:bookmarkEnd w:id="85"/>
    </w:p>
    <w:p>
      <w:pPr>
        <w:pStyle w:val="Compact"/>
        <w:numPr>
          <w:ilvl w:val="0"/>
          <w:numId w:val="1002"/>
        </w:numPr>
      </w:pPr>
      <w:bookmarkStart w:id="86" w:name="r23"/>
      <w:r>
        <w:t xml:space="preserve">Aroyo, L., &amp; Welty, C. (2015). Truth Is a Lie: Crowd Truth and the Seven Myths of Human Annotation.</w:t>
      </w:r>
      <w:r>
        <w:t xml:space="preserve"> </w:t>
      </w:r>
      <w:r>
        <w:rPr>
          <w:i/>
          <w:iCs/>
        </w:rPr>
        <w:t xml:space="preserve">AI Magazine</w:t>
      </w:r>
      <w:r>
        <w:t xml:space="preserve">, 36(1), 15-24.</w:t>
      </w:r>
      <w:bookmarkEnd w:id="86"/>
    </w:p>
    <w:p>
      <w:pPr>
        <w:pStyle w:val="Compact"/>
        <w:numPr>
          <w:ilvl w:val="0"/>
          <w:numId w:val="1002"/>
        </w:numPr>
      </w:pPr>
      <w:bookmarkStart w:id="87" w:name="r24"/>
      <w:r>
        <w:t xml:space="preserve">White, A., &amp; Trump, K. S. (2018). The Promises and Pitfalls of 311 Data.</w:t>
      </w:r>
      <w:r>
        <w:t xml:space="preserve"> </w:t>
      </w:r>
      <w:r>
        <w:rPr>
          <w:i/>
          <w:iCs/>
        </w:rPr>
        <w:t xml:space="preserve">Urban Affairs Review</w:t>
      </w:r>
      <w:r>
        <w:t xml:space="preserve">, 54(4), 794-823.</w:t>
      </w:r>
      <w:bookmarkEnd w:id="87"/>
    </w:p>
    <w:p>
      <w:pPr>
        <w:pStyle w:val="FirstParagraph"/>
        <w:jc w:val="bot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88"/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 w:cs="Georgi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Georgia" w:hAnsi="Georgia" w:cs="Georgia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 w:cs="Georgia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 w:cs="Georgia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Georgia" w:hAnsi="Georgia" w:cs="Georgia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Georgia" w:hAnsi="Georgia" w:cs="Georgia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Georgia" w:hAnsi="Georgia" w:cs="Georgia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Georgia" w:hAnsi="Georgia" w:cs="Georgia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Georgia" w:hAnsi="Georgia" w:cs="Georgia"/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Georgia" w:hAnsi="Georgia" w:cs="Georgia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Georgia" w:hAnsi="Georgia" w:cs="Georgia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Georgia" w:hAnsi="Georgia" w:cs="Georgia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Georgia" w:hAnsi="Georgia" w:cs="Georgia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Georgia" w:hAnsi="Georgia" w:cs="Georgia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default="1" w:styleId="DefaultParagraphFont" w:type="character">
    <w:name w:val="Default Paragraph Font"/>
    <w:semiHidden/>
    <w:unhideWhenUsed/>
    <w:rPr>
      <w:rFonts w:ascii="Georgia" w:hAnsi="Georgia" w:cs="Georgia"/>
    </w:rPr>
  </w:style>
  <w:style w:default="1" w:styleId="Table" w:type="table">
    <w:name w:val="Table"/>
    <w:basedOn w:val="TableNormal"/>
    <w:semiHidden/>
    <w:unhideWhenUsed/>
    <w:qFormat/>
    <w:rPr>
      <w:rFonts w:ascii="Georgia" w:hAnsi="Georgia" w:cs="Georgi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Georgia" w:hAnsi="Georgia" w:cs="Georgia"/>
      <w:b/>
    </w:rPr>
  </w:style>
  <w:style w:customStyle="1" w:styleId="Definition" w:type="paragraph">
    <w:name w:val="Definition"/>
    <w:basedOn w:val="Normal"/>
    <w:rPr>
      <w:rFonts w:ascii="Georgia" w:hAnsi="Georgia" w:cs="Georgia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Georgia" w:hAnsi="Georgia" w:cs="Georgia"/>
      <w:i/>
    </w:rPr>
  </w:style>
  <w:style w:customStyle="1" w:styleId="TableCaption" w:type="paragraph">
    <w:name w:val="Table Caption"/>
    <w:basedOn w:val="Caption"/>
    <w:pPr>
      <w:keepNext/>
    </w:pPr>
    <w:rPr>
      <w:rFonts w:ascii="Georgia" w:hAnsi="Georgia" w:cs="Georgia"/>
    </w:rPr>
  </w:style>
  <w:style w:customStyle="1" w:styleId="ImageCaption" w:type="paragraph">
    <w:name w:val="Image Caption"/>
    <w:basedOn w:val="Caption"/>
    <w:rPr>
      <w:rFonts w:ascii="Georgia" w:hAnsi="Georgia" w:cs="Georgia"/>
    </w:rPr>
  </w:style>
  <w:style w:customStyle="1" w:styleId="Figure" w:type="paragraph">
    <w:name w:val="Figure"/>
    <w:basedOn w:val="Normal"/>
    <w:rPr>
      <w:rFonts w:ascii="Georgia" w:hAnsi="Georgia" w:cs="Georgia"/>
    </w:rPr>
  </w:style>
  <w:style w:customStyle="1" w:styleId="CaptionedFigure" w:type="paragraph">
    <w:name w:val="Captioned Figure"/>
    <w:basedOn w:val="Figure"/>
    <w:pPr>
      <w:keepNext/>
    </w:pPr>
    <w:rPr>
      <w:rFonts w:ascii="Georgia" w:hAnsi="Georgia" w:cs="Georgia"/>
    </w:rPr>
  </w:style>
  <w:style w:customStyle="1" w:styleId="BodyTextChar" w:type="character">
    <w:name w:val="Body Text Char"/>
    <w:basedOn w:val="DefaultParagraphFont"/>
    <w:link w:val="BodyText"/>
    <w:rPr>
      <w:rFonts w:ascii="Georgia" w:hAnsi="Georgia" w:cs="Georgia"/>
    </w:rPr>
  </w:style>
  <w:style w:customStyle="1" w:styleId="VerbatimChar" w:type="character">
    <w:name w:val="Verbatim Char"/>
    <w:basedOn w:val="BodyTextChar"/>
    <w:rPr>
      <w:rFonts w:ascii="Georgia" w:hAnsi="Georgia" w:cs="Georgia"/>
      <w:sz w:val="22"/>
    </w:rPr>
  </w:style>
  <w:style w:customStyle="1" w:styleId="SectionNumber" w:type="character">
    <w:name w:val="Section Number"/>
    <w:basedOn w:val="BodyTextChar"/>
    <w:rPr>
      <w:rFonts w:ascii="Georgia" w:hAnsi="Georgia" w:cs="Georgia"/>
    </w:rPr>
  </w:style>
  <w:style w:styleId="FootnoteReference" w:type="character">
    <w:name w:val="Footnote Reference"/>
    <w:basedOn w:val="BodyTextChar"/>
    <w:rPr>
      <w:rFonts w:ascii="Georgia" w:hAnsi="Georgia" w:cs="Georgia"/>
      <w:vertAlign w:val="superscript"/>
    </w:rPr>
  </w:style>
  <w:style w:styleId="Hyperlink" w:type="character">
    <w:name w:val="Hyperlink"/>
    <w:basedOn w:val="BodyTextChar"/>
    <w:rPr>
      <w:rFonts w:ascii="Georgia" w:hAnsi="Georgia" w:cs="Georgia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Georgia" w:hAnsi="Georgia" w:cs="Georg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Georgia" w:hAnsi="Georgia" w:cs="Georgia"/>
    </w:rPr>
  </w:style>
  <w:style w:type="character" w:customStyle="1" w:styleId="KeywordTok">
    <w:name w:val="KeywordTok"/>
    <w:basedOn w:val="VerbatimChar"/>
    <w:rPr>
      <w:rFonts w:ascii="Georgia" w:hAnsi="Georgia" w:cs="Georgia"/>
      <w:b/>
      <w:color w:val="007020"/>
    </w:rPr>
  </w:style>
  <w:style w:type="character" w:customStyle="1" w:styleId="DataTypeTok">
    <w:name w:val="DataTypeTok"/>
    <w:basedOn w:val="VerbatimChar"/>
    <w:rPr>
      <w:rFonts w:ascii="Georgia" w:hAnsi="Georgia" w:cs="Georgia"/>
      <w:color w:val="902000"/>
    </w:rPr>
  </w:style>
  <w:style w:type="character" w:customStyle="1" w:styleId="DecValTok">
    <w:name w:val="DecValTok"/>
    <w:basedOn w:val="VerbatimChar"/>
    <w:rPr>
      <w:rFonts w:ascii="Georgia" w:hAnsi="Georgia" w:cs="Georgia"/>
      <w:color w:val="40a070"/>
    </w:rPr>
  </w:style>
  <w:style w:type="character" w:customStyle="1" w:styleId="BaseNTok">
    <w:name w:val="BaseNTok"/>
    <w:basedOn w:val="VerbatimChar"/>
    <w:rPr>
      <w:rFonts w:ascii="Georgia" w:hAnsi="Georgia" w:cs="Georgia"/>
      <w:color w:val="40a070"/>
    </w:rPr>
  </w:style>
  <w:style w:type="character" w:customStyle="1" w:styleId="FloatTok">
    <w:name w:val="FloatTok"/>
    <w:basedOn w:val="VerbatimChar"/>
    <w:rPr>
      <w:rFonts w:ascii="Georgia" w:hAnsi="Georgia" w:cs="Georgia"/>
      <w:color w:val="40a070"/>
    </w:rPr>
  </w:style>
  <w:style w:type="character" w:customStyle="1" w:styleId="ConstantTok">
    <w:name w:val="ConstantTok"/>
    <w:basedOn w:val="VerbatimChar"/>
    <w:rPr>
      <w:rFonts w:ascii="Georgia" w:hAnsi="Georgia" w:cs="Georgia"/>
      <w:color w:val="880000"/>
    </w:rPr>
  </w:style>
  <w:style w:type="character" w:customStyle="1" w:styleId="CharTok">
    <w:name w:val="CharTok"/>
    <w:basedOn w:val="VerbatimChar"/>
    <w:rPr>
      <w:rFonts w:ascii="Georgia" w:hAnsi="Georgia" w:cs="Georgia"/>
      <w:color w:val="4070a0"/>
    </w:rPr>
  </w:style>
  <w:style w:type="character" w:customStyle="1" w:styleId="SpecialCharTok">
    <w:name w:val="SpecialCharTok"/>
    <w:basedOn w:val="VerbatimChar"/>
    <w:rPr>
      <w:rFonts w:ascii="Georgia" w:hAnsi="Georgia" w:cs="Georgia"/>
      <w:color w:val="4070a0"/>
    </w:rPr>
  </w:style>
  <w:style w:type="character" w:customStyle="1" w:styleId="StringTok">
    <w:name w:val="StringTok"/>
    <w:basedOn w:val="VerbatimChar"/>
    <w:rPr>
      <w:rFonts w:ascii="Georgia" w:hAnsi="Georgia" w:cs="Georgia"/>
      <w:color w:val="4070a0"/>
    </w:rPr>
  </w:style>
  <w:style w:type="character" w:customStyle="1" w:styleId="VerbatimStringTok">
    <w:name w:val="VerbatimStringTok"/>
    <w:basedOn w:val="VerbatimChar"/>
    <w:rPr>
      <w:rFonts w:ascii="Georgia" w:hAnsi="Georgia" w:cs="Georgia"/>
      <w:color w:val="4070a0"/>
    </w:rPr>
  </w:style>
  <w:style w:type="character" w:customStyle="1" w:styleId="SpecialStringTok">
    <w:name w:val="SpecialStringTok"/>
    <w:basedOn w:val="VerbatimChar"/>
    <w:rPr>
      <w:rFonts w:ascii="Georgia" w:hAnsi="Georgia" w:cs="Georgia"/>
      <w:color w:val="bb6688"/>
    </w:rPr>
  </w:style>
  <w:style w:type="character" w:customStyle="1" w:styleId="ImportTok">
    <w:name w:val="ImportTok"/>
    <w:basedOn w:val="VerbatimChar"/>
    <w:rPr>
      <w:rFonts w:ascii="Georgia" w:hAnsi="Georgia" w:cs="Georgia"/>
      <w:b/>
      <w:color w:val="008000"/>
    </w:rPr>
  </w:style>
  <w:style w:type="character" w:customStyle="1" w:styleId="CommentTok">
    <w:name w:val="CommentTok"/>
    <w:basedOn w:val="VerbatimChar"/>
    <w:rPr>
      <w:rFonts w:ascii="Georgia" w:hAnsi="Georgia" w:cs="Georgia"/>
      <w:i/>
      <w:color w:val="60a0b0"/>
    </w:rPr>
  </w:style>
  <w:style w:type="character" w:customStyle="1" w:styleId="DocumentationTok">
    <w:name w:val="DocumentationTok"/>
    <w:basedOn w:val="VerbatimChar"/>
    <w:rPr>
      <w:rFonts w:ascii="Georgia" w:hAnsi="Georgia" w:cs="Georgia"/>
      <w:i/>
      <w:color w:val="ba2121"/>
    </w:rPr>
  </w:style>
  <w:style w:type="character" w:customStyle="1" w:styleId="AnnotationTok">
    <w:name w:val="AnnotationTok"/>
    <w:basedOn w:val="VerbatimChar"/>
    <w:rPr>
      <w:rFonts w:ascii="Georgia" w:hAnsi="Georgia" w:cs="Georgia"/>
      <w:b/>
      <w:i/>
      <w:color w:val="60a0b0"/>
    </w:rPr>
  </w:style>
  <w:style w:type="character" w:customStyle="1" w:styleId="CommentVarTok">
    <w:name w:val="CommentVarTok"/>
    <w:basedOn w:val="VerbatimChar"/>
    <w:rPr>
      <w:rFonts w:ascii="Georgia" w:hAnsi="Georgia" w:cs="Georgia"/>
      <w:b/>
      <w:i/>
      <w:color w:val="60a0b0"/>
    </w:rPr>
  </w:style>
  <w:style w:type="character" w:customStyle="1" w:styleId="OtherTok">
    <w:name w:val="OtherTok"/>
    <w:basedOn w:val="VerbatimChar"/>
    <w:rPr>
      <w:rFonts w:ascii="Georgia" w:hAnsi="Georgia" w:cs="Georgia"/>
      <w:color w:val="007020"/>
    </w:rPr>
  </w:style>
  <w:style w:type="character" w:customStyle="1" w:styleId="FunctionTok">
    <w:name w:val="FunctionTok"/>
    <w:basedOn w:val="VerbatimChar"/>
    <w:rPr>
      <w:rFonts w:ascii="Georgia" w:hAnsi="Georgia" w:cs="Georgia"/>
      <w:color w:val="06287e"/>
    </w:rPr>
  </w:style>
  <w:style w:type="character" w:customStyle="1" w:styleId="VariableTok">
    <w:name w:val="VariableTok"/>
    <w:basedOn w:val="VerbatimChar"/>
    <w:rPr>
      <w:rFonts w:ascii="Georgia" w:hAnsi="Georgia" w:cs="Georgia"/>
      <w:color w:val="19177c"/>
    </w:rPr>
  </w:style>
  <w:style w:type="character" w:customStyle="1" w:styleId="ControlFlowTok">
    <w:name w:val="ControlFlowTok"/>
    <w:basedOn w:val="VerbatimChar"/>
    <w:rPr>
      <w:rFonts w:ascii="Georgia" w:hAnsi="Georgia" w:cs="Georgia"/>
      <w:b/>
      <w:color w:val="007020"/>
    </w:rPr>
  </w:style>
  <w:style w:type="character" w:customStyle="1" w:styleId="OperatorTok">
    <w:name w:val="OperatorTok"/>
    <w:basedOn w:val="VerbatimChar"/>
    <w:rPr>
      <w:rFonts w:ascii="Georgia" w:hAnsi="Georgia" w:cs="Georgia"/>
      <w:color w:val="666666"/>
    </w:rPr>
  </w:style>
  <w:style w:type="character" w:customStyle="1" w:styleId="BuiltInTok">
    <w:name w:val="BuiltInTok"/>
    <w:basedOn w:val="VerbatimChar"/>
    <w:rPr>
      <w:rFonts w:ascii="Georgia" w:hAnsi="Georgia" w:cs="Georgia"/>
      <w:color w:val="008000"/>
    </w:rPr>
  </w:style>
  <w:style w:type="character" w:customStyle="1" w:styleId="ExtensionTok">
    <w:name w:val="ExtensionTok"/>
    <w:basedOn w:val="VerbatimChar"/>
    <w:rPr>
      <w:rFonts w:ascii="Georgia" w:hAnsi="Georgia" w:cs="Georgia"/>
    </w:rPr>
  </w:style>
  <w:style w:type="character" w:customStyle="1" w:styleId="PreprocessorTok">
    <w:name w:val="PreprocessorTok"/>
    <w:basedOn w:val="VerbatimChar"/>
    <w:rPr>
      <w:rFonts w:ascii="Georgia" w:hAnsi="Georgia" w:cs="Georgia"/>
      <w:color w:val="bc7a00"/>
    </w:rPr>
  </w:style>
  <w:style w:type="character" w:customStyle="1" w:styleId="AttributeTok">
    <w:name w:val="AttributeTok"/>
    <w:basedOn w:val="VerbatimChar"/>
    <w:rPr>
      <w:rFonts w:ascii="Georgia" w:hAnsi="Georgia" w:cs="Georgia"/>
      <w:color w:val="7d9029"/>
    </w:rPr>
  </w:style>
  <w:style w:type="character" w:customStyle="1" w:styleId="RegionMarkerTok">
    <w:name w:val="RegionMarkerTok"/>
    <w:basedOn w:val="VerbatimChar"/>
    <w:rPr>
      <w:rFonts w:ascii="Georgia" w:hAnsi="Georgia" w:cs="Georgia"/>
    </w:rPr>
  </w:style>
  <w:style w:type="character" w:customStyle="1" w:styleId="InformationTok">
    <w:name w:val="InformationTok"/>
    <w:basedOn w:val="VerbatimChar"/>
    <w:rPr>
      <w:rFonts w:ascii="Georgia" w:hAnsi="Georgia" w:cs="Georgia"/>
      <w:b/>
      <w:i/>
      <w:color w:val="60a0b0"/>
    </w:rPr>
  </w:style>
  <w:style w:type="character" w:customStyle="1" w:styleId="WarningTok">
    <w:name w:val="WarningTok"/>
    <w:basedOn w:val="VerbatimChar"/>
    <w:rPr>
      <w:rFonts w:ascii="Georgia" w:hAnsi="Georgia" w:cs="Georgia"/>
      <w:b/>
      <w:i/>
      <w:color w:val="60a0b0"/>
    </w:rPr>
  </w:style>
  <w:style w:type="character" w:customStyle="1" w:styleId="AlertTok">
    <w:name w:val="AlertTok"/>
    <w:basedOn w:val="VerbatimChar"/>
    <w:rPr>
      <w:rFonts w:ascii="Georgia" w:hAnsi="Georgia" w:cs="Georgia"/>
      <w:b/>
      <w:color w:val="ff0000"/>
    </w:rPr>
  </w:style>
  <w:style w:type="character" w:customStyle="1" w:styleId="ErrorTok">
    <w:name w:val="ErrorTok"/>
    <w:basedOn w:val="VerbatimChar"/>
    <w:rPr>
      <w:rFonts w:ascii="Georgia" w:hAnsi="Georgia" w:cs="Georgia"/>
      <w:b/>
      <w:color w:val="ff0000"/>
    </w:rPr>
  </w:style>
  <w:style w:type="character" w:customStyle="1" w:styleId="NormalTok">
    <w:name w:val="NormalTok"/>
    <w:basedOn w:val="VerbatimChar"/>
    <w:rPr>
      <w:rFonts w:ascii="Georgia" w:hAnsi="Georgia" w:cs="Georgia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6" Type="http://schemas.openxmlformats.org/officeDocument/2006/relationships/image" Target="media/rId56.png"/><Relationship Id="rId30" Type="http://schemas.openxmlformats.org/officeDocument/2006/relationships/image" Target="media/rId30.png"/><Relationship Id="rId53" Type="http://schemas.openxmlformats.org/officeDocument/2006/relationships/image" Target="media/rId53.png"/><Relationship Id="rId45" Type="http://schemas.openxmlformats.org/officeDocument/2006/relationships/image" Target="media/rId45.png"/><Relationship Id="rId37" Type="http://schemas.openxmlformats.org/officeDocument/2006/relationships/image" Target="media/rId37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MC311: A Multi-City Free-Text Benchmark for Cross-Jurisdiction 311 Classification</dc:title>
  <dc:creator/>
  <dc:language>en</dc:language>
  <cp:keywords/>
  <dcterms:created xsi:type="dcterms:W3CDTF">2026-08-30T10:12:43Z</dcterms:created>
  <dcterms:modified xsi:type="dcterms:W3CDTF">2026-08-30T10:12:43Z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