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MC311: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Labels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Ground</w:t>
      </w:r>
      <w:r>
        <w:t xml:space="preserve"> </w:t>
      </w:r>
      <w:r>
        <w:t xml:space="preserve">Truth</w:t>
      </w:r>
      <w:r>
        <w:t xml:space="preserve"> </w:t>
      </w:r>
      <w:r>
        <w:t xml:space="preserve">for</w:t>
      </w:r>
      <w:r>
        <w:t xml:space="preserve"> </w:t>
      </w:r>
      <w:r>
        <w:t xml:space="preserve">Cross-Jurisdiction</w:t>
      </w:r>
      <w:r>
        <w:t xml:space="preserve"> </w:t>
      </w:r>
      <w:r>
        <w:t xml:space="preserve">311</w:t>
      </w:r>
      <w:r>
        <w:t xml:space="preserve"> </w:t>
      </w:r>
      <w:r>
        <w:t xml:space="preserve">Classification</w:t>
      </w:r>
    </w:p>
    <w:bookmarkStart w:id="92" w:name="Xd0ff751f9cc4ffed3c040c4067b835a612520f4"/>
    <w:p>
      <w:pPr>
        <w:pStyle w:val="Heading1"/>
      </w:pPr>
      <w:r>
        <w:t xml:space="preserve">MC311: Administrative Labels Are Not Ground Truth for Cross-Jurisdiction 311 Classification</w:t>
      </w:r>
    </w:p>
    <w:p>
      <w:pPr>
        <w:pStyle w:val="FirstParagraph"/>
      </w:pPr>
      <w:r>
        <w:t xml:space="preserve">Alexander Apartsin</w:t>
      </w:r>
      <w:r>
        <w:rPr>
          <w:vertAlign w:val="superscript"/>
        </w:rPr>
        <w:t xml:space="preserve">1</w:t>
      </w:r>
      <w:r>
        <w:t xml:space="preserve">, Yehudit Aperstein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School of Computer Science, Faculty of Sciences, Holon Institute of Technology (HIT), Holon, Israel  · </w:t>
      </w:r>
      <w:r>
        <w:t xml:space="preserve"> </w:t>
      </w:r>
      <w:r>
        <w:rPr>
          <w:vertAlign w:val="superscript"/>
        </w:rPr>
        <w:t xml:space="preserve">2</w:t>
      </w:r>
      <w:r>
        <w:t xml:space="preserve">Intelligent Systems, Afeka Academic College of Engineering, Tel-Aviv, Israel</w:t>
      </w:r>
    </w:p>
    <w:p>
      <w:pPr>
        <w:pStyle w:val="BodyText"/>
      </w:pPr>
      <w:r>
        <w:t xml:space="preserve">Working paper, August 2026 ·</w:t>
      </w:r>
      <w:r>
        <w:t xml:space="preserve"> </w:t>
      </w:r>
      <w:hyperlink r:id="rId20">
        <w:r>
          <w:rPr>
            <w:rStyle w:val="Hyperlink"/>
          </w:rPr>
          <w:t xml:space="preserve">Download DOCX</w:t>
        </w:r>
      </w:hyperlink>
      <w:r>
        <w:t xml:space="preserve"> </w:t>
      </w:r>
      <w:r>
        <w:t xml:space="preserve">· Code, data, and results:</w:t>
      </w:r>
      <w:r>
        <w:t xml:space="preserve"> </w:t>
      </w:r>
      <w:hyperlink r:id="rId21">
        <w:r>
          <w:rPr>
            <w:rStyle w:val="Hyperlink"/>
          </w:rPr>
          <w:t xml:space="preserve">github.com/ApartsinProjects/311</w:t>
        </w:r>
      </w:hyperlink>
    </w:p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Benchmarks assembled from operational labels, such as 311 service codes, clinical codes, or moderation queues,</w:t>
      </w:r>
      <w:r>
        <w:t xml:space="preserve"> </w:t>
      </w:r>
      <w:r>
        <w:t xml:space="preserve">treat those labels as ground truth, yet the category a bureaucracy recorded need not match what the citizen</w:t>
      </w:r>
      <w:r>
        <w:t xml:space="preserve"> </w:t>
      </w:r>
      <w:r>
        <w:t xml:space="preserve">wrote. We introduce a defensibility protocol that measures this gap: two language-model judges from different</w:t>
      </w:r>
      <w:r>
        <w:t xml:space="preserve"> </w:t>
      </w:r>
      <w:r>
        <w:t xml:space="preserve">families, each blind to the model and to the recorded label, certify the set of labels a text supports, with</w:t>
      </w:r>
      <w:r>
        <w:t xml:space="preserve"> </w:t>
      </w:r>
      <w:r>
        <w:t xml:space="preserve">discriminant floors that show the metric is not vacuously generous. We instantiate it on MC311, the first</w:t>
      </w:r>
      <w:r>
        <w:t xml:space="preserve"> </w:t>
      </w:r>
      <w:r>
        <w:t xml:space="preserve">public multi-city free-text 311 benchmark, drawing about 156,000 citizen narratives from seven US cities into</w:t>
      </w:r>
      <w:r>
        <w:t xml:space="preserve"> </w:t>
      </w:r>
      <w:r>
        <w:t xml:space="preserve">one frozen 3,502-row test set under a shared 14-class ontology. The protocol changes what the benchmark</w:t>
      </w:r>
      <w:r>
        <w:t xml:space="preserve"> </w:t>
      </w:r>
      <w:r>
        <w:t xml:space="preserve">reports. Crossing a city boundary appears to cost a third of pooled macro-F1 (DistilBERT 0.826 in-city to 0.557</w:t>
      </w:r>
      <w:r>
        <w:t xml:space="preserve"> </w:t>
      </w:r>
      <w:r>
        <w:t xml:space="preserve">across cities), but 14.2% of recorded labels are not entailed by the text and a third of requests admit more</w:t>
      </w:r>
      <w:r>
        <w:t xml:space="preserve"> </w:t>
      </w:r>
      <w:r>
        <w:t xml:space="preserve">than one valid label; crediting any judge-acceptable label rescues 91% of the strongest model's cross-city</w:t>
      </w:r>
      <w:r>
        <w:t xml:space="preserve"> </w:t>
      </w:r>
      <w:r>
        <w:t xml:space="preserve">errors (strict 0.797 to lenient 0.981), and a significant gap between the two strongest models is erased: gpt-4o</w:t>
      </w:r>
      <w:r>
        <w:t xml:space="preserve"> </w:t>
      </w:r>
      <w:r>
        <w:t xml:space="preserve">beats gpt-4o-mini on strict accuracy but ties it once defensible labels are credited. The residual ambiguity is structured: the class pairs</w:t>
      </w:r>
      <w:r>
        <w:t xml:space="preserve"> </w:t>
      </w:r>
      <w:r>
        <w:t xml:space="preserve">annotators treat as interchangeable are the pairs models confuse (Spearman 0.75). Used as a training</w:t>
      </w:r>
      <w:r>
        <w:t xml:space="preserve"> </w:t>
      </w:r>
      <w:r>
        <w:t xml:space="preserve">signal, the protocol improves pooled cross-jurisdiction transfer: relabeling judge-rejected rows lifts macro-F1</w:t>
      </w:r>
      <w:r>
        <w:t xml:space="preserve"> </w:t>
      </w:r>
      <w:r>
        <w:t xml:space="preserve">by 0.055 over raw labels and 0.041 over a random-relabel control (95% CIs exclude zero). Run as an audit, it</w:t>
      </w:r>
      <w:r>
        <w:t xml:space="preserve"> </w:t>
      </w:r>
      <w:r>
        <w:t xml:space="preserve">located five real mapping errors in the corpus. MC311 and the protocol are released so other</w:t>
      </w:r>
      <w:r>
        <w:t xml:space="preserve"> </w:t>
      </w:r>
      <w:r>
        <w:t xml:space="preserve">administrative-label benchmarks can measure the label-text gap.</w:t>
      </w:r>
    </w:p>
    <w:bookmarkEnd w:id="22"/>
    <w:bookmarkStart w:id="2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311 is the non-emergency municipal service channel used across the United States and Canada. Residents</w:t>
      </w:r>
      <w:r>
        <w:t xml:space="preserve"> </w:t>
      </w:r>
      <w:r>
        <w:t xml:space="preserve">report potholes, missed garbage collection, graffiti, broken streetlights, illegal dumping, encampments, and</w:t>
      </w:r>
      <w:r>
        <w:t xml:space="preserve"> </w:t>
      </w:r>
      <w:r>
        <w:t xml:space="preserve">hundreds of other conditions, often as free-text descriptions. These narratives are a large, renewable source</w:t>
      </w:r>
      <w:r>
        <w:t xml:space="preserve"> </w:t>
      </w:r>
      <w:r>
        <w:t xml:space="preserve">of civic text with direct operational value: routing a request to the right department, prioritizing it, and</w:t>
      </w:r>
      <w:r>
        <w:t xml:space="preserve"> </w:t>
      </w:r>
      <w:r>
        <w:t xml:space="preserve">detecting duplicates all begin with understanding what the text says.</w:t>
      </w:r>
    </w:p>
    <w:p>
      <w:pPr>
        <w:pStyle w:val="BodyText"/>
      </w:pPr>
      <w:r>
        <w:t xml:space="preserve">Two obstacles have kept 311 free text underused. First, most large open-data portals publish only a</w:t>
      </w:r>
      <w:r>
        <w:t xml:space="preserve"> </w:t>
      </w:r>
      <w:r>
        <w:t xml:space="preserve">structured category dropdown and omit the citizen narrative, so the text that would make the problem an NLP</w:t>
      </w:r>
      <w:r>
        <w:t xml:space="preserve"> </w:t>
      </w:r>
      <w:r>
        <w:t xml:space="preserve">problem is frequently unavailable. Second, the work that does use 311 text trains and evaluates on a single</w:t>
      </w:r>
      <w:r>
        <w:t xml:space="preserve"> </w:t>
      </w:r>
      <w:r>
        <w:t xml:space="preserve">city with a private split</w:t>
      </w:r>
      <w:r>
        <w:t xml:space="preserve"> </w:t>
      </w:r>
      <w:hyperlink w:anchor="r1">
        <w:r>
          <w:rPr>
            <w:rStyle w:val="Hyperlink"/>
            <w:vertAlign w:val="superscript"/>
          </w:rPr>
          <w:t xml:space="preserve">[1]</w:t>
        </w:r>
      </w:hyperlink>
      <w:r>
        <w:t xml:space="preserve">, so results are not</w:t>
      </w:r>
      <w:r>
        <w:t xml:space="preserve"> </w:t>
      </w:r>
      <w:r>
        <w:t xml:space="preserve">comparable across studies and say nothing about whether a model transfers to a new city with a different</w:t>
      </w:r>
      <w:r>
        <w:t xml:space="preserve"> </w:t>
      </w:r>
      <w:r>
        <w:t xml:space="preserve">taxonomy and reporting style.</w:t>
      </w:r>
    </w:p>
    <w:p>
      <w:pPr>
        <w:pStyle w:val="BodyText"/>
      </w:pPr>
      <w:r>
        <w:t xml:space="preserve">This paper builds the missing benchmark and uses it to ask a question single-city work cannot: when a</w:t>
      </w:r>
      <w:r>
        <w:t xml:space="preserve"> </w:t>
      </w:r>
      <w:r>
        <w:t xml:space="preserve">classifier appears to fail on a new city, is the model wrong, or is the city's recorded label wrong? Answering</w:t>
      </w:r>
      <w:r>
        <w:t xml:space="preserve"> </w:t>
      </w:r>
      <w:r>
        <w:t xml:space="preserve">it requires an evaluation that does not assume the administrative label is ground truth, so the benchmark and</w:t>
      </w:r>
      <w:r>
        <w:t xml:space="preserve"> </w:t>
      </w:r>
      <w:r>
        <w:t xml:space="preserve">the protocol that reads it are joint contributions: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defensibility protocol</w:t>
      </w:r>
      <w:r>
        <w:t xml:space="preserve"> </w:t>
      </w:r>
      <w:r>
        <w:t xml:space="preserve">for benchmarks built from administrative labels: an ensemble of blind LLM</w:t>
      </w:r>
      <w:r>
        <w:t xml:space="preserve"> </w:t>
      </w:r>
      <w:r>
        <w:t xml:space="preserve">judges from independent vendors certifies the set of labels each text supports, with discriminant floors that</w:t>
      </w:r>
      <w:r>
        <w:t xml:space="preserve"> </w:t>
      </w:r>
      <w:r>
        <w:t xml:space="preserve">show the metric is not vacuously generous, a humans-free criterion for selecting reliable judges (validated</w:t>
      </w:r>
      <w:r>
        <w:t xml:space="preserve"> </w:t>
      </w:r>
      <w:r>
        <w:t xml:space="preserve">across five vendors), and a corpus-audit loop that turns the same judgments into bug-finding. The protocol is</w:t>
      </w:r>
      <w:r>
        <w:t xml:space="preserve"> </w:t>
      </w:r>
      <w:r>
        <w:t xml:space="preserve">corpus-agnostic; 311 is the case study.</w:t>
      </w:r>
    </w:p>
    <w:p>
      <w:pPr>
        <w:pStyle w:val="Compact"/>
        <w:numPr>
          <w:ilvl w:val="0"/>
          <w:numId w:val="1001"/>
        </w:numPr>
      </w:pPr>
      <w:r>
        <w:t xml:space="preserve">MC311, to our knowledge the first public multi-city free-text 311 resource: about 156,000 citizen</w:t>
      </w:r>
      <w:r>
        <w:t xml:space="preserve"> </w:t>
      </w:r>
      <w:r>
        <w:t xml:space="preserve">narratives from seven US cities, released as a single harmonized cross-city database in a shared 14-class label</w:t>
      </w:r>
      <w:r>
        <w:t xml:space="preserve"> </w:t>
      </w:r>
      <w:r>
        <w:t xml:space="preserve">space (each of 545 native categories mapped to a common class by an auditable rule set, with the native label</w:t>
      </w:r>
      <w:r>
        <w:t xml:space="preserve"> </w:t>
      </w:r>
      <w:r>
        <w:t xml:space="preserve">retained per row), plus one frozen aligned test split and a verified survey of which portals expose free text.</w:t>
      </w:r>
      <w:r>
        <w:t xml:space="preserve"> </w:t>
      </w:r>
      <w:r>
        <w:t xml:space="preserve">The harmonized common-label-space corpus is a reusable resource independent of the transfer and protocol</w:t>
      </w:r>
      <w:r>
        <w:t xml:space="preserve"> </w:t>
      </w:r>
      <w:r>
        <w:t xml:space="preserve">results below.</w:t>
      </w:r>
    </w:p>
    <w:p>
      <w:pPr>
        <w:pStyle w:val="Compact"/>
        <w:numPr>
          <w:ilvl w:val="0"/>
          <w:numId w:val="1001"/>
        </w:numPr>
      </w:pPr>
      <w:r>
        <w:t xml:space="preserve">Evidence that the protocol changes conclusions: on MC311, 14.2% of recorded labels are not entailed by the</w:t>
      </w:r>
      <w:r>
        <w:t xml:space="preserve"> </w:t>
      </w:r>
      <w:r>
        <w:t xml:space="preserve">text, 91% of the strongest model's cross-city errors are judge-defensible, a significant strict-accuracy gap</w:t>
      </w:r>
      <w:r>
        <w:t xml:space="preserve"> </w:t>
      </w:r>
      <w:r>
        <w:t xml:space="preserve">between the two strongest models vanishes under the defensibility-adjusted metric, and repairing training labels</w:t>
      </w:r>
      <w:r>
        <w:t xml:space="preserve"> </w:t>
      </w:r>
      <w:r>
        <w:t xml:space="preserve">with the judge improves pooled cross-jurisdiction transfer (+0.055 over raw labels, +0.041 over a random-relabel</w:t>
      </w:r>
      <w:r>
        <w:t xml:space="preserve"> </w:t>
      </w:r>
      <w:r>
        <w:t xml:space="preserve">control).</w:t>
      </w:r>
    </w:p>
    <w:p>
      <w:pPr>
        <w:pStyle w:val="Compact"/>
        <w:numPr>
          <w:ilvl w:val="0"/>
          <w:numId w:val="1001"/>
        </w:numPr>
      </w:pPr>
      <w:r>
        <w:t xml:space="preserve">Evidence that the residual disagreement is structured, not noise: annotator-ambiguity coincides with</w:t>
      </w:r>
      <w:r>
        <w:t xml:space="preserve"> </w:t>
      </w:r>
      <w:r>
        <w:t xml:space="preserve">model-confusion (Spearman 0.75), and an ambiguity-derived taxonomy removes residual ambiguity more efficiently</w:t>
      </w:r>
      <w:r>
        <w:t xml:space="preserve"> </w:t>
      </w:r>
      <w:r>
        <w:t xml:space="preserve">than any equal-size random merge, yielding a data-driven ontology revision.</w:t>
      </w:r>
    </w:p>
    <w:p>
      <w:pPr>
        <w:pStyle w:val="Compact"/>
        <w:numPr>
          <w:ilvl w:val="0"/>
          <w:numId w:val="1001"/>
        </w:numPr>
      </w:pPr>
      <w:r>
        <w:t xml:space="preserve">A transfer study (TF-IDF, fine-tuned DistilBERT, zero-shot LLM) with a large, significant cross-jurisdiction</w:t>
      </w:r>
      <w:r>
        <w:t xml:space="preserve"> </w:t>
      </w:r>
      <w:r>
        <w:t xml:space="preserve">gap, the trained-model shortfall concentrated in rare, city-idiosyncratic classes, and the per-pair gap</w:t>
      </w:r>
      <w:r>
        <w:t xml:space="preserve"> </w:t>
      </w:r>
      <w:r>
        <w:t xml:space="preserve">correlating with inter-city vocabulary divergence.</w:t>
      </w:r>
    </w:p>
    <w:p>
      <w:pPr>
        <w:pStyle w:val="FirstParagraph"/>
      </w:pPr>
      <w:r>
        <w:t xml:space="preserve">The protocol is the point. Any benchmark built by harvesting the labels an institution already recorded</w:t>
      </w:r>
      <w:r>
        <w:t xml:space="preserve"> </w:t>
      </w:r>
      <w:r>
        <w:t xml:space="preserve">inherits those labels as if they were semantic ground truth; a multi-city 311 corpus, where seven bureaucracies</w:t>
      </w:r>
      <w:r>
        <w:t xml:space="preserve"> </w:t>
      </w:r>
      <w:r>
        <w:t xml:space="preserve">labeled the same kinds of request differently, makes the mismatch measurable. We show the mismatch is large,</w:t>
      </w:r>
      <w:r>
        <w:t xml:space="preserve"> </w:t>
      </w:r>
      <w:r>
        <w:t xml:space="preserve">structured, and consequential enough to change which model a leaderboard prefers, and we release the instrument</w:t>
      </w:r>
      <w:r>
        <w:t xml:space="preserve"> </w:t>
      </w:r>
      <w:r>
        <w:t xml:space="preserve">that measures it.</w:t>
      </w:r>
    </w:p>
    <w:bookmarkEnd w:id="23"/>
    <w:bookmarkStart w:id="29" w:name="related-work"/>
    <w:p>
      <w:pPr>
        <w:pStyle w:val="Heading2"/>
      </w:pPr>
      <w:r>
        <w:t xml:space="preserve">2. Related work</w:t>
      </w:r>
    </w:p>
    <w:bookmarkStart w:id="24" w:name="X5fb5855b993ac7dc9bcc0859b0dfbeff1c94711"/>
    <w:p>
      <w:pPr>
        <w:pStyle w:val="Heading3"/>
      </w:pPr>
      <w:r>
        <w:t xml:space="preserve">2.1 311 and civic service-request text classification</w:t>
      </w:r>
    </w:p>
    <w:p>
      <w:pPr>
        <w:pStyle w:val="FirstParagraph"/>
      </w:pPr>
      <w:r>
        <w:t xml:space="preserve">Applied 311 classification centers on complaint-type and department routing. Hashemi</w:t>
      </w:r>
      <w:r>
        <w:t xml:space="preserve"> </w:t>
      </w:r>
      <w:hyperlink w:anchor="r1">
        <w:r>
          <w:rPr>
            <w:rStyle w:val="Hyperlink"/>
            <w:vertAlign w:val="superscript"/>
          </w:rPr>
          <w:t xml:space="preserve">[1]</w:t>
        </w:r>
      </w:hyperlink>
      <w:r>
        <w:t xml:space="preserve"> </w:t>
      </w:r>
      <w:r>
        <w:t xml:space="preserve">classifies 311 request type from customer descriptions and, closest to our</w:t>
      </w:r>
      <w:r>
        <w:t xml:space="preserve"> </w:t>
      </w:r>
      <w:r>
        <w:t xml:space="preserve">setting, harmonizes categories across two cities. Sukel et al.</w:t>
      </w:r>
      <w:r>
        <w:t xml:space="preserve"> </w:t>
      </w:r>
      <w:hyperlink w:anchor="r3">
        <w:r>
          <w:rPr>
            <w:rStyle w:val="Hyperlink"/>
            <w:vertAlign w:val="superscript"/>
          </w:rPr>
          <w:t xml:space="preserve">[3]</w:t>
        </w:r>
      </w:hyperlink>
      <w:r>
        <w:t xml:space="preserve"> </w:t>
      </w:r>
      <w:r>
        <w:t xml:space="preserve">route</w:t>
      </w:r>
      <w:r>
        <w:t xml:space="preserve"> </w:t>
      </w:r>
      <w:r>
        <w:t xml:space="preserve">citizen-reported micro-events to city departments in Amsterdam using text, image, and location. Masdeval and</w:t>
      </w:r>
      <w:r>
        <w:t xml:space="preserve"> </w:t>
      </w:r>
      <w:r>
        <w:t xml:space="preserve">Veloso</w:t>
      </w:r>
      <w:r>
        <w:t xml:space="preserve"> </w:t>
      </w:r>
      <w:hyperlink w:anchor="r4">
        <w:r>
          <w:rPr>
            <w:rStyle w:val="Hyperlink"/>
            <w:vertAlign w:val="superscript"/>
          </w:rPr>
          <w:t xml:space="preserve">[4]</w:t>
        </w:r>
      </w:hyperlink>
      <w:r>
        <w:t xml:space="preserve"> </w:t>
      </w:r>
      <w:r>
        <w:t xml:space="preserve">estimate urgency from SeeClickFix report text. These studies are</w:t>
      </w:r>
      <w:r>
        <w:t xml:space="preserve"> </w:t>
      </w:r>
      <w:r>
        <w:t xml:space="preserve">single-platform or two-city; none provides a public multi-city benchmark with fixed splits. Nalchigar and Fox</w:t>
      </w:r>
      <w:r>
        <w:t xml:space="preserve"> </w:t>
      </w:r>
      <w:r>
        <w:t xml:space="preserve">build a 311 reference ontology to align service codes across cities</w:t>
      </w:r>
      <w:r>
        <w:t xml:space="preserve"> </w:t>
      </w:r>
      <w:hyperlink w:anchor="r18">
        <w:r>
          <w:rPr>
            <w:rStyle w:val="Hyperlink"/>
            <w:vertAlign w:val="superscript"/>
          </w:rPr>
          <w:t xml:space="preserve">[18]</w:t>
        </w:r>
      </w:hyperlink>
      <w:r>
        <w:t xml:space="preserve">, the</w:t>
      </w:r>
      <w:r>
        <w:t xml:space="preserve"> </w:t>
      </w:r>
      <w:r>
        <w:t xml:space="preserve">closest precedent to our harmonization, but release no public benchmark or evaluation splits, and White and</w:t>
      </w:r>
      <w:r>
        <w:t xml:space="preserve"> </w:t>
      </w:r>
      <w:r>
        <w:t xml:space="preserve">Trump caution that 311 reporting is a noisy, biased signal of citizen need</w:t>
      </w:r>
      <w:r>
        <w:t xml:space="preserve"> </w:t>
      </w:r>
      <w:hyperlink w:anchor="r24">
        <w:r>
          <w:rPr>
            <w:rStyle w:val="Hyperlink"/>
            <w:vertAlign w:val="superscript"/>
          </w:rPr>
          <w:t xml:space="preserve">[24]</w:t>
        </w:r>
      </w:hyperlink>
      <w:r>
        <w:t xml:space="preserve">.</w:t>
      </w:r>
      <w:r>
        <w:t xml:space="preserve"> </w:t>
      </w:r>
      <w:r>
        <w:t xml:space="preserve">We are aware of no peer-reviewed US-city transformer-on-311 routing benchmark, which is the gap we fill.</w:t>
      </w:r>
    </w:p>
    <w:bookmarkEnd w:id="24"/>
    <w:bookmarkStart w:id="25" w:name="X992458992748ac1c44ad1a7dd367cee43133e72"/>
    <w:p>
      <w:pPr>
        <w:pStyle w:val="Heading3"/>
      </w:pPr>
      <w:r>
        <w:t xml:space="preserve">2.2 Cross-domain and cross-jurisdiction generalization</w:t>
      </w:r>
    </w:p>
    <w:p>
      <w:pPr>
        <w:pStyle w:val="FirstParagraph"/>
      </w:pPr>
      <w:r>
        <w:t xml:space="preserve">Our leave-one-city-out protocol is the text instance of leave-one-domain-out domain generalization</w:t>
      </w:r>
      <w:r>
        <w:t xml:space="preserve"> </w:t>
      </w:r>
      <w:hyperlink w:anchor="r5">
        <w:r>
          <w:rPr>
            <w:rStyle w:val="Hyperlink"/>
            <w:vertAlign w:val="superscript"/>
          </w:rPr>
          <w:t xml:space="preserve">[5]</w:t>
        </w:r>
      </w:hyperlink>
      <w:r>
        <w:t xml:space="preserve">, and out-of-distribution generalization is a persistent problem in text</w:t>
      </w:r>
      <w:r>
        <w:t xml:space="preserve"> </w:t>
      </w:r>
      <w:r>
        <w:t xml:space="preserve">classification specifically</w:t>
      </w:r>
      <w:r>
        <w:t xml:space="preserve"> </w:t>
      </w:r>
      <w:hyperlink w:anchor="r6">
        <w:r>
          <w:rPr>
            <w:rStyle w:val="Hyperlink"/>
            <w:vertAlign w:val="superscript"/>
          </w:rPr>
          <w:t xml:space="preserve">[6]</w:t>
        </w:r>
      </w:hyperlink>
      <w:r>
        <w:t xml:space="preserve">; surveys of NLP domain adaptation</w:t>
      </w:r>
      <w:r>
        <w:t xml:space="preserve"> </w:t>
      </w:r>
      <w:hyperlink w:anchor="r14">
        <w:r>
          <w:rPr>
            <w:rStyle w:val="Hyperlink"/>
            <w:vertAlign w:val="superscript"/>
          </w:rPr>
          <w:t xml:space="preserve">[14]</w:t>
        </w:r>
      </w:hyperlink>
      <w:r>
        <w:t xml:space="preserve"> </w:t>
      </w:r>
      <w:r>
        <w:t xml:space="preserve">and the strong-baseline lessons of DomainBed</w:t>
      </w:r>
      <w:r>
        <w:t xml:space="preserve"> </w:t>
      </w:r>
      <w:hyperlink w:anchor="r21">
        <w:r>
          <w:rPr>
            <w:rStyle w:val="Hyperlink"/>
            <w:vertAlign w:val="superscript"/>
          </w:rPr>
          <w:t xml:space="preserve">[21]</w:t>
        </w:r>
      </w:hyperlink>
      <w:r>
        <w:t xml:space="preserve"> </w:t>
      </w:r>
      <w:r>
        <w:t xml:space="preserve">inform our setup. We treat each city as a domain whose taxonomy and register shift jointly.</w:t>
      </w:r>
    </w:p>
    <w:bookmarkEnd w:id="25"/>
    <w:bookmarkStart w:id="26" w:name="X270759e30e44273df6406f8e5efd5340823f87d"/>
    <w:p>
      <w:pPr>
        <w:pStyle w:val="Heading3"/>
      </w:pPr>
      <w:r>
        <w:t xml:space="preserve">2.3 Label noise, artifacts, and benchmark validity</w:t>
      </w:r>
    </w:p>
    <w:p>
      <w:pPr>
        <w:pStyle w:val="FirstParagraph"/>
      </w:pPr>
      <w:r>
        <w:t xml:space="preserve">Pervasive label errors destabilize benchmark rankings</w:t>
      </w:r>
      <w:r>
        <w:t xml:space="preserve"> </w:t>
      </w:r>
      <w:hyperlink w:anchor="r7">
        <w:r>
          <w:rPr>
            <w:rStyle w:val="Hyperlink"/>
            <w:vertAlign w:val="superscript"/>
          </w:rPr>
          <w:t xml:space="preserve">[7]</w:t>
        </w:r>
      </w:hyperlink>
      <w:r>
        <w:t xml:space="preserve">, annotation</w:t>
      </w:r>
      <w:r>
        <w:t xml:space="preserve"> </w:t>
      </w:r>
      <w:r>
        <w:t xml:space="preserve">protocols leak label-correlated artifacts</w:t>
      </w:r>
      <w:r>
        <w:t xml:space="preserve"> </w:t>
      </w:r>
      <w:hyperlink w:anchor="r8">
        <w:r>
          <w:rPr>
            <w:rStyle w:val="Hyperlink"/>
            <w:vertAlign w:val="superscript"/>
          </w:rPr>
          <w:t xml:space="preserve">[8]</w:t>
        </w:r>
      </w:hyperlink>
      <w:r>
        <w:t xml:space="preserve">, and single benchmarks often</w:t>
      </w:r>
      <w:r>
        <w:t xml:space="preserve"> </w:t>
      </w:r>
      <w:r>
        <w:t xml:space="preserve">measure less than their headline suggests</w:t>
      </w:r>
      <w:r>
        <w:t xml:space="preserve"> </w:t>
      </w:r>
      <w:hyperlink w:anchor="r9">
        <w:r>
          <w:rPr>
            <w:rStyle w:val="Hyperlink"/>
            <w:vertAlign w:val="superscript"/>
          </w:rPr>
          <w:t xml:space="preserve">[9]</w:t>
        </w:r>
      </w:hyperlink>
      <w:r>
        <w:t xml:space="preserve">. A parallel</w:t>
      </w:r>
      <w:r>
        <w:t xml:space="preserve"> </w:t>
      </w:r>
      <w:r>
        <w:t xml:space="preserve">line in perspectivist NLP argues that human label variation is often legitimate rather than error, and that</w:t>
      </w:r>
      <w:r>
        <w:t xml:space="preserve"> </w:t>
      </w:r>
      <w:r>
        <w:t xml:space="preserve">evaluation should credit multiple valid labels</w:t>
      </w:r>
      <w:r>
        <w:t xml:space="preserve"> </w:t>
      </w:r>
      <w:hyperlink w:anchor="r15">
        <w:r>
          <w:rPr>
            <w:rStyle w:val="Hyperlink"/>
            <w:vertAlign w:val="superscript"/>
          </w:rPr>
          <w:t xml:space="preserve">[15]</w:t>
        </w:r>
      </w:hyperlink>
      <w:r>
        <w:rPr>
          <w:vertAlign w:val="superscript"/>
        </w:rPr>
        <w:t xml:space="preserve">,</w:t>
      </w:r>
      <w:hyperlink w:anchor="r16">
        <w:r>
          <w:rPr>
            <w:rStyle w:val="Hyperlink"/>
            <w:vertAlign w:val="superscript"/>
          </w:rPr>
          <w:t xml:space="preserve">[16]</w:t>
        </w:r>
      </w:hyperlink>
      <w:r>
        <w:rPr>
          <w:vertAlign w:val="superscript"/>
        </w:rPr>
        <w:t xml:space="preserve">,</w:t>
      </w:r>
      <w:hyperlink w:anchor="r17">
        <w:r>
          <w:rPr>
            <w:rStyle w:val="Hyperlink"/>
            <w:vertAlign w:val="superscript"/>
          </w:rPr>
          <w:t xml:space="preserve">[17]</w:t>
        </w:r>
      </w:hyperlink>
      <w:r>
        <w:rPr>
          <w:vertAlign w:val="superscript"/>
        </w:rPr>
        <w:t xml:space="preserve">,</w:t>
      </w:r>
      <w:hyperlink w:anchor="r23">
        <w:r>
          <w:rPr>
            <w:rStyle w:val="Hyperlink"/>
            <w:vertAlign w:val="superscript"/>
          </w:rPr>
          <w:t xml:space="preserve">[23]</w:t>
        </w:r>
      </w:hyperlink>
      <w:r>
        <w:t xml:space="preserve">;</w:t>
      </w:r>
      <w:r>
        <w:t xml:space="preserve"> </w:t>
      </w:r>
      <w:r>
        <w:t xml:space="preserve">our acceptable-set metric is an instance of this ambiguity-aware evaluation. Administrative-code harmonization,</w:t>
      </w:r>
      <w:r>
        <w:t xml:space="preserve"> </w:t>
      </w:r>
      <w:r>
        <w:t xml:space="preserve">such as occupation coding</w:t>
      </w:r>
      <w:r>
        <w:t xml:space="preserve"> </w:t>
      </w:r>
      <w:hyperlink w:anchor="r10">
        <w:r>
          <w:rPr>
            <w:rStyle w:val="Hyperlink"/>
            <w:vertAlign w:val="superscript"/>
          </w:rPr>
          <w:t xml:space="preserve">[10]</w:t>
        </w:r>
      </w:hyperlink>
      <w:hyperlink w:anchor="r20">
        <w:r>
          <w:rPr>
            <w:rStyle w:val="Hyperlink"/>
            <w:vertAlign w:val="superscript"/>
          </w:rPr>
          <w:t xml:space="preserve">,[20]</w:t>
        </w:r>
      </w:hyperlink>
      <w:r>
        <w:t xml:space="preserve"> </w:t>
      </w:r>
      <w:r>
        <w:t xml:space="preserve">and medical coding from</w:t>
      </w:r>
      <w:r>
        <w:t xml:space="preserve"> </w:t>
      </w:r>
      <w:r>
        <w:t xml:space="preserve">clinical text</w:t>
      </w:r>
      <w:r>
        <w:t xml:space="preserve"> </w:t>
      </w:r>
      <w:hyperlink w:anchor="r19">
        <w:r>
          <w:rPr>
            <w:rStyle w:val="Hyperlink"/>
            <w:vertAlign w:val="superscript"/>
          </w:rPr>
          <w:t xml:space="preserve">[19]</w:t>
        </w:r>
      </w:hyperlink>
      <w:r>
        <w:t xml:space="preserve">, is a direct analogue: short text mapped to a contested</w:t>
      </w:r>
      <w:r>
        <w:t xml:space="preserve"> </w:t>
      </w:r>
      <w:r>
        <w:t xml:space="preserve">hierarchical code. Our gap analysis applies this lens to cross-jurisdiction transfer.</w:t>
      </w:r>
    </w:p>
    <w:bookmarkEnd w:id="26"/>
    <w:bookmarkStart w:id="27" w:name="X6eb18574c758212910494a936ccf31038e4de6d"/>
    <w:p>
      <w:pPr>
        <w:pStyle w:val="Heading3"/>
      </w:pPr>
      <w:r>
        <w:t xml:space="preserve">2.4 Zero-shot LLMs versus fine-tuned encoders</w:t>
      </w:r>
    </w:p>
    <w:p>
      <w:pPr>
        <w:pStyle w:val="FirstParagraph"/>
      </w:pPr>
      <w:r>
        <w:t xml:space="preserve">Zero-shot text classification via label descriptions and entailment</w:t>
      </w:r>
      <w:r>
        <w:t xml:space="preserve"> </w:t>
      </w:r>
      <w:hyperlink w:anchor="r11">
        <w:r>
          <w:rPr>
            <w:rStyle w:val="Hyperlink"/>
            <w:vertAlign w:val="superscript"/>
          </w:rPr>
          <w:t xml:space="preserve">[11]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the paradigm our LLM arm uses (the taxonomy and glosses go in the prompt). Fine-tuned small encoders often</w:t>
      </w:r>
      <w:r>
        <w:t xml:space="preserve"> </w:t>
      </w:r>
      <w:r>
        <w:t xml:space="preserve">still beat zero-shot generative models within a domain</w:t>
      </w:r>
      <w:r>
        <w:t xml:space="preserve"> </w:t>
      </w:r>
      <w:hyperlink w:anchor="r12">
        <w:r>
          <w:rPr>
            <w:rStyle w:val="Hyperlink"/>
            <w:vertAlign w:val="superscript"/>
          </w:rPr>
          <w:t xml:space="preserve">[12]</w:t>
        </w:r>
      </w:hyperlink>
      <w:r>
        <w:t xml:space="preserve">; our contribution</w:t>
      </w:r>
      <w:r>
        <w:t xml:space="preserve"> </w:t>
      </w:r>
      <w:r>
        <w:t xml:space="preserve">is to compare them under domain shift, where the frozen label space of the fine-tuned model becomes a</w:t>
      </w:r>
      <w:r>
        <w:t xml:space="preserve"> </w:t>
      </w:r>
      <w:r>
        <w:t xml:space="preserve">liability. Label-semantic pretraining injects label descriptions into the model</w:t>
      </w:r>
      <w:r>
        <w:t xml:space="preserve"> </w:t>
      </w:r>
      <w:hyperlink w:anchor="r22">
        <w:r>
          <w:rPr>
            <w:rStyle w:val="Hyperlink"/>
            <w:vertAlign w:val="superscript"/>
          </w:rPr>
          <w:t xml:space="preserve">[22]</w:t>
        </w:r>
      </w:hyperlink>
      <w:r>
        <w:t xml:space="preserve">,</w:t>
      </w:r>
      <w:r>
        <w:t xml:space="preserve"> </w:t>
      </w:r>
      <w:r>
        <w:t xml:space="preserve">which our sentence-transformer and NLI baselines approximate at inference time.</w:t>
      </w:r>
    </w:p>
    <w:bookmarkEnd w:id="27"/>
    <w:bookmarkStart w:id="28" w:name="civic-tech-datasets-and-311-equity"/>
    <w:p>
      <w:pPr>
        <w:pStyle w:val="Heading3"/>
      </w:pPr>
      <w:r>
        <w:t xml:space="preserve">2.5 Civic-tech datasets and 311 equity</w:t>
      </w:r>
    </w:p>
    <w:p>
      <w:pPr>
        <w:pStyle w:val="FirstParagraph"/>
      </w:pPr>
      <w:r>
        <w:t xml:space="preserve">311 reporting propensity varies with neighborhood demographics</w:t>
      </w:r>
      <w:r>
        <w:t xml:space="preserve"> </w:t>
      </w:r>
      <w:hyperlink w:anchor="r13">
        <w:r>
          <w:rPr>
            <w:rStyle w:val="Hyperlink"/>
            <w:vertAlign w:val="superscript"/>
          </w:rPr>
          <w:t xml:space="preserve">[13]</w:t>
        </w:r>
      </w:hyperlink>
      <w:r>
        <w:t xml:space="preserve">, and the</w:t>
      </w:r>
      <w:r>
        <w:t xml:space="preserve"> </w:t>
      </w:r>
      <w:r>
        <w:t xml:space="preserve">category mix of requests characterizes urban location</w:t>
      </w:r>
      <w:r>
        <w:t xml:space="preserve"> </w:t>
      </w:r>
      <w:hyperlink w:anchor="r2">
        <w:r>
          <w:rPr>
            <w:rStyle w:val="Hyperlink"/>
            <w:vertAlign w:val="superscript"/>
          </w:rPr>
          <w:t xml:space="preserve">[2]</w:t>
        </w:r>
      </w:hyperlink>
      <w:r>
        <w:t xml:space="preserve">. This structured-data</w:t>
      </w:r>
      <w:r>
        <w:t xml:space="preserve"> </w:t>
      </w:r>
      <w:r>
        <w:t xml:space="preserve">tradition motivates treating city labels as noisy and non-neutral, which our judge quantifies directly.</w:t>
      </w:r>
    </w:p>
    <w:bookmarkEnd w:id="28"/>
    <w:bookmarkEnd w:id="29"/>
    <w:bookmarkStart w:id="36" w:name="corpus-construction"/>
    <w:p>
      <w:pPr>
        <w:pStyle w:val="Heading2"/>
      </w:pPr>
      <w:r>
        <w:t xml:space="preserve">3. Corpus construction</w:t>
      </w:r>
    </w:p>
    <w:p>
      <w:pPr>
        <w:pStyle w:val="CaptionedFigure"/>
      </w:pPr>
      <w:r>
        <w:drawing>
          <wp:inline>
            <wp:extent cx="5334000" cy="698470"/>
            <wp:effectExtent b="0" l="0" r="0" t="0"/>
            <wp:docPr descr="Corpus construction pipeline" title="" id="31" name="Picture"/>
            <a:graphic>
              <a:graphicData uri="http://schemas.openxmlformats.org/drawingml/2006/picture">
                <pic:pic>
                  <pic:nvPicPr>
                    <pic:cNvPr descr="fig_corpus_flo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8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Corpus construction: from probed municipal portals to the frozen</w:t>
      </w:r>
      <w:r>
        <w:t xml:space="preserve"> </w:t>
      </w:r>
      <w:r>
        <w:t xml:space="preserve">MC311 benchmark, through free-text confirmation, harmonization, administrative-category removal, an</w:t>
      </w:r>
      <w:r>
        <w:t xml:space="preserve"> </w:t>
      </w:r>
      <w:r>
        <w:t xml:space="preserve">informativeness filter, and PII scrubbing.</w:t>
      </w:r>
    </w:p>
    <w:bookmarkStart w:id="33" w:name="the-free-text-availability-problem"/>
    <w:p>
      <w:pPr>
        <w:pStyle w:val="Heading3"/>
      </w:pPr>
      <w:r>
        <w:t xml:space="preserve">3.1 The free-text availability problem</w:t>
      </w:r>
    </w:p>
    <w:p>
      <w:pPr>
        <w:pStyle w:val="FirstParagraph"/>
      </w:pPr>
      <w:r>
        <w:t xml:space="preserve">We assemble MC311 in the stages of Figure 1. The first design constraint is that genuine citizen narrative</w:t>
      </w:r>
      <w:r>
        <w:t xml:space="preserve"> </w:t>
      </w:r>
      <w:r>
        <w:t xml:space="preserve">is scarce across cities. We verified by</w:t>
      </w:r>
      <w:r>
        <w:t xml:space="preserve"> </w:t>
      </w:r>
      <w:r>
        <w:t xml:space="preserve">direct probing that the largest portals (New York, Chicago, Los Angeles, Dallas, Washington) expose only</w:t>
      </w:r>
      <w:r>
        <w:t xml:space="preserve"> </w:t>
      </w:r>
      <w:r>
        <w:t xml:space="preserve">structured category fields; columns that look textual, such as</w:t>
      </w:r>
      <w:r>
        <w:t xml:space="preserve"> </w:t>
      </w:r>
      <w:r>
        <w:rPr>
          <w:rStyle w:val="VerbatimChar"/>
        </w:rPr>
        <w:t xml:space="preserve">descriptor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resolution_description</w:t>
      </w:r>
      <w:r>
        <w:t xml:space="preserve">, are templated dropdown values, not narratives. Free text lives instead in</w:t>
      </w:r>
      <w:r>
        <w:t xml:space="preserve"> </w:t>
      </w:r>
      <w:r>
        <w:t xml:space="preserve">the Open311 API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 and in the app-based platforms that some mid-size cities</w:t>
      </w:r>
      <w:r>
        <w:t xml:space="preserve"> </w:t>
      </w:r>
      <w:r>
        <w:t xml:space="preserve">republish to their open portals. We assembled the corpus from sources where a populated citizen narrative was</w:t>
      </w:r>
      <w:r>
        <w:t xml:space="preserve"> </w:t>
      </w:r>
      <w:r>
        <w:t xml:space="preserve">confirmed by inspection.</w:t>
      </w:r>
    </w:p>
    <w:bookmarkEnd w:id="33"/>
    <w:bookmarkStart w:id="34" w:name="cities"/>
    <w:p>
      <w:pPr>
        <w:pStyle w:val="Heading3"/>
      </w:pPr>
      <w:r>
        <w:t xml:space="preserve">3.2 Cities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/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Baton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44,226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call-center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Bloomington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39,954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web/app, 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Richmond 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SeeClickFix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Auburn 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SeeClickFix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Gainesville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myGNV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Honolulu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letter-style, rich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Open311 API</w:t>
            </w:r>
          </w:p>
        </w:tc>
      </w:tr>
    </w:tbl>
    <w:p>
      <w:pPr>
        <w:pStyle w:val="BodyText"/>
      </w:pPr>
      <w:r>
        <w:t xml:space="preserve">Table 1. Seven cities with confirmed citizen free text and a category label, after harmonization,</w:t>
      </w:r>
      <w:r>
        <w:t xml:space="preserve"> </w:t>
      </w:r>
      <w:r>
        <w:t xml:space="preserve">exclusion of administrative categories, and the informativeness filter (Section 3.3). Register varies sharply,</w:t>
      </w:r>
      <w:r>
        <w:t xml:space="preserve"> </w:t>
      </w:r>
      <w:r>
        <w:t xml:space="preserve">from transcribed phone calls to written letters to terse app reports, a source of domain shift that is</w:t>
      </w:r>
      <w:r>
        <w:t xml:space="preserve"> </w:t>
      </w:r>
      <w:r>
        <w:t xml:space="preserve">confounded with jurisdiction and that we return to in Section 9.</w:t>
      </w:r>
    </w:p>
    <w:bookmarkEnd w:id="34"/>
    <w:bookmarkStart w:id="35" w:name="text-hygiene-and-informativeness"/>
    <w:p>
      <w:pPr>
        <w:pStyle w:val="Heading3"/>
      </w:pPr>
      <w:r>
        <w:t xml:space="preserve">3.3 Text hygiene and informativeness</w:t>
      </w:r>
    </w:p>
    <w:p>
      <w:pPr>
        <w:pStyle w:val="FirstParagraph"/>
      </w:pPr>
      <w:r>
        <w:t xml:space="preserve">Raw 311 text contains call-center shorthand that carries no signal (</w:t>
      </w:r>
      <w:r>
        <w:rPr>
          <w:rStyle w:val="VerbatimChar"/>
        </w:rPr>
        <w:t xml:space="preserve">B/U</w:t>
      </w:r>
      <w:r>
        <w:t xml:space="preserve">,</w:t>
      </w:r>
      <w:r>
        <w:t xml:space="preserve"> </w:t>
      </w:r>
      <w:r>
        <w:rPr>
          <w:rStyle w:val="VerbatimChar"/>
        </w:rPr>
        <w:t xml:space="preserve">o.w.</w:t>
      </w:r>
      <w:r>
        <w:t xml:space="preserve">,</w:t>
      </w:r>
      <w:r>
        <w:t xml:space="preserve"> </w:t>
      </w:r>
      <w:r>
        <w:rPr>
          <w:rStyle w:val="VerbatimChar"/>
        </w:rPr>
        <w:t xml:space="preserve">no sticker</w:t>
      </w:r>
      <w:r>
        <w:t xml:space="preserve">) and stub entries (</w:t>
      </w:r>
      <w:r>
        <w:rPr>
          <w:rStyle w:val="VerbatimChar"/>
        </w:rPr>
        <w:t xml:space="preserve">Test1</w:t>
      </w:r>
      <w:r>
        <w:t xml:space="preserve">). We apply an informativeness filter that</w:t>
      </w:r>
      <w:r>
        <w:t xml:space="preserve"> </w:t>
      </w:r>
      <w:r>
        <w:t xml:space="preserve">removes rows shorter than three content tokens or matching a shorthand blacklist. The filter removes 8.1% of</w:t>
      </w:r>
      <w:r>
        <w:t xml:space="preserve"> </w:t>
      </w:r>
      <w:r>
        <w:t xml:space="preserve">rows, concentrated in the tersest city (Bloomington, 18%) and negligible in the letter-style city (Honolulu,</w:t>
      </w:r>
      <w:r>
        <w:t xml:space="preserve"> </w:t>
      </w:r>
      <w:r>
        <w:t xml:space="preserve">1%); manual inspection confirms it drops noise, not signal, and an earlier per-city run found its effect on scores</w:t>
      </w:r>
      <w:r>
        <w:t xml:space="preserve"> </w:t>
      </w:r>
      <w:r>
        <w:t xml:space="preserve">to be small (about +0.01 macro-F1). The canonical benchmark uses the filtered subset, fixed before the</w:t>
      </w:r>
      <w:r>
        <w:t xml:space="preserve"> </w:t>
      </w:r>
      <w:r>
        <w:t xml:space="preserve">evaluation split was drawn. Median request length ranges from 9 tokens</w:t>
      </w:r>
      <w:r>
        <w:t xml:space="preserve"> </w:t>
      </w:r>
      <w:r>
        <w:t xml:space="preserve">(Bloomington) to 24 (Honolulu), and only in the two most verbose cities do more than a tenth of requests</w:t>
      </w:r>
      <w:r>
        <w:t xml:space="preserve"> </w:t>
      </w:r>
      <w:r>
        <w:t xml:space="preserve">exceed the 64-token cap used by the encoder (Honolulu 14%, Gainesville 11%; under 2% elsewhere), which both</w:t>
      </w:r>
      <w:r>
        <w:t xml:space="preserve"> </w:t>
      </w:r>
      <w:r>
        <w:t xml:space="preserve">evidences the register shift and bounds any truncation effect. Requests also contain street addresses and</w:t>
      </w:r>
      <w:r>
        <w:t xml:space="preserve"> </w:t>
      </w:r>
      <w:r>
        <w:t xml:space="preserve">occasional phone numbers, which we address in Section 10.</w:t>
      </w:r>
    </w:p>
    <w:bookmarkEnd w:id="35"/>
    <w:bookmarkEnd w:id="36"/>
    <w:bookmarkStart w:id="40" w:name="taxonomy-harmonization"/>
    <w:p>
      <w:pPr>
        <w:pStyle w:val="Heading2"/>
      </w:pPr>
      <w:r>
        <w:t xml:space="preserve">4. Taxonomy harmonization</w:t>
      </w:r>
    </w:p>
    <w:p>
      <w:pPr>
        <w:pStyle w:val="FirstParagraph"/>
      </w:pPr>
      <w:r>
        <w:t xml:space="preserve">The seven cities use 545 native categories (527 distinct labels), from Richmond's nine broad groups to</w:t>
      </w:r>
      <w:r>
        <w:t xml:space="preserve"> </w:t>
      </w:r>
      <w:r>
        <w:t xml:space="preserve">San Francisco's 149 service names. We map every native category into a shared 14-class civic ontology: Waste and Sanitation,</w:t>
      </w:r>
      <w:r>
        <w:t xml:space="preserve"> </w:t>
      </w:r>
      <w:r>
        <w:t xml:space="preserve">Streets and Sidewalks, Street Lighting, Traffic Signals and Signs, Trees and Vegetation, Graffiti and</w:t>
      </w:r>
      <w:r>
        <w:t xml:space="preserve"> </w:t>
      </w:r>
      <w:r>
        <w:t xml:space="preserve">Postings, Parking and Vehicles, Property and Housing Code, Water Sewer and Drainage, Homelessness, Animals and</w:t>
      </w:r>
      <w:r>
        <w:t xml:space="preserve"> </w:t>
      </w:r>
      <w:r>
        <w:t xml:space="preserve">Pests, Noise, Transit, and Parks and Recreation. Administrative and routing-only categories, such as San</w:t>
      </w:r>
      <w:r>
        <w:t xml:space="preserve"> </w:t>
      </w:r>
      <w:r>
        <w:t xml:space="preserve">Francisco's per-department "General Request" tags, form a fifteenth bucket that we exclude from the</w:t>
      </w:r>
      <w:r>
        <w:t xml:space="preserve"> </w:t>
      </w:r>
      <w:r>
        <w:t xml:space="preserve">classification task. The mapping is an ordered, first-match rule set applied to the native category string,</w:t>
      </w:r>
      <w:r>
        <w:t xml:space="preserve"> </w:t>
      </w:r>
      <w:r>
        <w:t xml:space="preserve">which keeps it transparent and auditable; it covers 80 to 95 percent of records per city as content classes.</w:t>
      </w:r>
      <w:r>
        <w:t xml:space="preserve"> </w:t>
      </w:r>
      <w:r>
        <w:t xml:space="preserve">The mapping file is released, and its boundaries are exactly where the analysis of Section 7 locates</w:t>
      </w:r>
      <w:r>
        <w:t xml:space="preserve"> </w:t>
      </w:r>
      <w:r>
        <w:t xml:space="preserve">disagreement. Figure 2 shows these boundaries empirically: the heaviest cross-city confusion concentrates on a</w:t>
      </w:r>
      <w:r>
        <w:t xml:space="preserve"> </w:t>
      </w:r>
      <w:r>
        <w:t xml:space="preserve">few neighboring pairs, with Waste and Sanitation acting as a hub (its overlap with Parking, Homelessness,</w:t>
      </w:r>
      <w:r>
        <w:t xml:space="preserve"> </w:t>
      </w:r>
      <w:r>
        <w:t xml:space="preserve">Trees, and Property reflects debris, encampment cleanups, yard waste, and property nuisance all bordering it).</w:t>
      </w:r>
    </w:p>
    <w:p>
      <w:pPr>
        <w:pStyle w:val="CaptionedFigure"/>
      </w:pPr>
      <w:r>
        <w:drawing>
          <wp:inline>
            <wp:extent cx="5334000" cy="5169030"/>
            <wp:effectExtent b="0" l="0" r="0" t="0"/>
            <wp:docPr descr="Taxonomy boundary confusion graph" title="" id="38" name="Picture"/>
            <a:graphic>
              <a:graphicData uri="http://schemas.openxmlformats.org/drawingml/2006/picture">
                <pic:pic>
                  <pic:nvPicPr>
                    <pic:cNvPr descr="fig_taxonomy_boundar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14 classes with the top cross-city confusion pairs as edges</w:t>
      </w:r>
      <w:r>
        <w:t xml:space="preserve"> </w:t>
      </w:r>
      <w:r>
        <w:t xml:space="preserve">(edge width proportional to DistilBERT misclassification count). Confusion concentrates on semantically</w:t>
      </w:r>
      <w:r>
        <w:t xml:space="preserve"> </w:t>
      </w:r>
      <w:r>
        <w:t xml:space="preserve">adjacent boundaries rather than spreading uniformly.</w:t>
      </w:r>
    </w:p>
    <w:bookmarkEnd w:id="40"/>
    <w:bookmarkStart w:id="41" w:name="experimental-setup"/>
    <w:p>
      <w:pPr>
        <w:pStyle w:val="Heading2"/>
      </w:pPr>
      <w:r>
        <w:t xml:space="preserve">5. Experimental setup</w:t>
      </w:r>
    </w:p>
    <w:p>
      <w:pPr>
        <w:pStyle w:val="FirstParagraph"/>
      </w:pPr>
      <w:r>
        <w:rPr>
          <w:b/>
          <w:bCs/>
        </w:rPr>
        <w:t xml:space="preserve">Task.</w:t>
      </w:r>
      <w:r>
        <w:t xml:space="preserve"> </w:t>
      </w:r>
      <w:r>
        <w:t xml:space="preserve">Given the citizen free text, predict one of the 14 harmonized content classes.</w:t>
      </w:r>
    </w:p>
    <w:p>
      <w:pPr>
        <w:pStyle w:val="BodyText"/>
      </w:pPr>
      <w:r>
        <w:rPr>
          <w:b/>
          <w:bCs/>
        </w:rPr>
        <w:t xml:space="preserve">Frozen split.</w:t>
      </w:r>
      <w:r>
        <w:t xml:space="preserve"> </w:t>
      </w:r>
      <w:r>
        <w:t xml:space="preserve">For each city we hold out a fixed, seeded, stratified test set of up to 500</w:t>
      </w:r>
      <w:r>
        <w:t xml:space="preserve"> </w:t>
      </w:r>
      <w:r>
        <w:t xml:space="preserve">requests (3,502 total). Every model predicts on exactly these rows, so in-city and cross-city results, and</w:t>
      </w:r>
      <w:r>
        <w:t xml:space="preserve"> </w:t>
      </w:r>
      <w:r>
        <w:t xml:space="preserve">all three arms, are one comparison rather than three. Training pools are capped at 8,000 to 12,000 requests</w:t>
      </w:r>
      <w:r>
        <w:t xml:space="preserve"> </w:t>
      </w:r>
      <w:r>
        <w:t xml:space="preserve">per city.</w:t>
      </w:r>
    </w:p>
    <w:p>
      <w:pPr>
        <w:pStyle w:val="BodyText"/>
      </w:pPr>
      <w:r>
        <w:rPr>
          <w:b/>
          <w:bCs/>
        </w:rPr>
        <w:t xml:space="preserve">Protocols.</w:t>
      </w:r>
      <w:r>
        <w:t xml:space="preserve"> </w:t>
      </w:r>
      <w:r>
        <w:rPr>
          <w:i/>
          <w:iCs/>
        </w:rPr>
        <w:t xml:space="preserve">In-city</w:t>
      </w:r>
      <w:r>
        <w:t xml:space="preserve"> </w:t>
      </w:r>
      <w:r>
        <w:t xml:space="preserve">trains on the held-out city's remaining data.</w:t>
      </w:r>
      <w:r>
        <w:t xml:space="preserve"> </w:t>
      </w:r>
      <w:r>
        <w:rPr>
          <w:i/>
          <w:iCs/>
        </w:rPr>
        <w:t xml:space="preserve">Leave-one-city-out</w:t>
      </w:r>
      <w:r>
        <w:rPr>
          <w:i/>
          <w:iCs/>
        </w:rPr>
        <w:t xml:space="preserve"> </w:t>
      </w:r>
      <w:r>
        <w:rPr>
          <w:i/>
          <w:iCs/>
        </w:rPr>
        <w:t xml:space="preserve">(LOCO)</w:t>
      </w:r>
      <w:r>
        <w:t xml:space="preserve"> </w:t>
      </w:r>
      <w:r>
        <w:t xml:space="preserve">trains on all other cities. Both are evaluated on the same frozen test rows.</w:t>
      </w:r>
    </w:p>
    <w:p>
      <w:pPr>
        <w:pStyle w:val="BodyText"/>
      </w:pPr>
      <w:r>
        <w:rPr>
          <w:b/>
          <w:bCs/>
        </w:rPr>
        <w:t xml:space="preserve">Metric.</w:t>
      </w:r>
      <w:r>
        <w:t xml:space="preserve"> </w:t>
      </w:r>
      <w:r>
        <w:t xml:space="preserve">Macro-F1 over the union of the gold and predicted labels in the pooled test set,</w:t>
      </w:r>
      <w:r>
        <w:t xml:space="preserve"> </w:t>
      </w:r>
      <w:r>
        <w:t xml:space="preserve">with 95% confidence intervals from 1,000 bootstrap resamples of the test examples. Averaging over the union</w:t>
      </w:r>
      <w:r>
        <w:t xml:space="preserve"> </w:t>
      </w:r>
      <w:r>
        <w:t xml:space="preserve">rather than the gold classes alone charges a model for predicting a label no request carries, which slightly</w:t>
      </w:r>
      <w:r>
        <w:t xml:space="preserve"> </w:t>
      </w:r>
      <w:r>
        <w:t xml:space="preserve">lowers the LLM's score (a handful of unparsed predictions add a zero-F1 class); we keep the union convention as</w:t>
      </w:r>
      <w:r>
        <w:t xml:space="preserve"> </w:t>
      </w:r>
      <w:r>
        <w:t xml:space="preserve">the conservative choice. Pooled macro-F1 concatenates all cities' test</w:t>
      </w:r>
      <w:r>
        <w:t xml:space="preserve"> </w:t>
      </w:r>
      <w:r>
        <w:t xml:space="preserve">rows and computes macro-F1 once over that union; the unweighted mean averages per-city macro-F1,</w:t>
      </w:r>
      <w:r>
        <w:t xml:space="preserve"> </w:t>
      </w:r>
      <w:r>
        <w:t xml:space="preserve">weighting each city equally. Because per-city class sets differ, we report the pooled metric as primary and</w:t>
      </w:r>
      <w:r>
        <w:t xml:space="preserve"> </w:t>
      </w:r>
      <w:r>
        <w:t xml:space="preserve">the unweighted mean as secondary, each also with San Francisco excluded (Section 9). Model differences use a</w:t>
      </w:r>
      <w:r>
        <w:t xml:space="preserve"> </w:t>
      </w:r>
      <w:r>
        <w:t xml:space="preserve">paired bootstrap (1,000 resamples over the shared test rows). Trained-model scores are stable across three</w:t>
      </w:r>
      <w:r>
        <w:t xml:space="preserve"> </w:t>
      </w:r>
      <w:r>
        <w:t xml:space="preserve">random seeds (DistilBERT in-city 0.824 ± 0.003, cross-city 0.553 ± 0.004).</w:t>
      </w:r>
    </w:p>
    <w:p>
      <w:pPr>
        <w:pStyle w:val="BodyText"/>
      </w:pPr>
      <w:r>
        <w:rPr>
          <w:b/>
          <w:bCs/>
        </w:rPr>
        <w:t xml:space="preserve">Models.</w:t>
      </w:r>
      <w:r>
        <w:t xml:space="preserve"> </w:t>
      </w:r>
      <w:r>
        <w:t xml:space="preserve">(i) TF-IDF over word 1-2-grams and character 3-5-grams with a logistic-regression</w:t>
      </w:r>
      <w:r>
        <w:t xml:space="preserve"> </w:t>
      </w:r>
      <w:r>
        <w:t xml:space="preserve">head. (ii) DistilBERT fine-tuned for three epochs. (iii) gpt-4o-mini (temperature 0) prompted zero-shot with the 14-class</w:t>
      </w:r>
      <w:r>
        <w:t xml:space="preserve"> </w:t>
      </w:r>
      <w:r>
        <w:t xml:space="preserve">taxonomy and short glosses, seeing no city-specific training data, which makes it an inherently</w:t>
      </w:r>
      <w:r>
        <w:t xml:space="preserve"> </w:t>
      </w:r>
      <w:r>
        <w:t xml:space="preserve">cross-jurisdiction condition. As LLM ablations we also report gpt-4o (a stronger model) and a few-shot variant</w:t>
      </w:r>
      <w:r>
        <w:t xml:space="preserve"> </w:t>
      </w:r>
      <w:r>
        <w:t xml:space="preserve">that adds one labeled exemplar per class drawn from the training cities. LLM inference runs through the</w:t>
      </w:r>
      <w:r>
        <w:t xml:space="preserve"> </w:t>
      </w:r>
      <w:r>
        <w:t xml:space="preserve">provider batch APIs at half the standard token price. As additional baselines we report (iv) a fine-tuned</w:t>
      </w:r>
      <w:r>
        <w:t xml:space="preserve"> </w:t>
      </w:r>
      <w:r>
        <w:t xml:space="preserve">RoBERTa-base encoder, and two zero-shot label-semantic methods that use the class descriptions but no training:</w:t>
      </w:r>
      <w:r>
        <w:t xml:space="preserve"> </w:t>
      </w:r>
      <w:r>
        <w:t xml:space="preserve">a sentence-transformer that assigns the nearest class-description embedding, and an NLI entailment classifier.</w:t>
      </w:r>
      <w:r>
        <w:t xml:space="preserve"> </w:t>
      </w:r>
      <w:r>
        <w:t xml:space="preserve">Hyperparameters and the verbatim prompt are released with the code.</w:t>
      </w:r>
    </w:p>
    <w:bookmarkEnd w:id="41"/>
    <w:bookmarkStart w:id="52" w:name="results"/>
    <w:p>
      <w:pPr>
        <w:pStyle w:val="Heading2"/>
      </w:pPr>
      <w:r>
        <w:t xml:space="preserve">6. Results</w:t>
      </w:r>
    </w:p>
    <w:p>
      <w:pPr>
        <w:pStyle w:val="CaptionedFigure"/>
      </w:pPr>
      <w:r>
        <w:drawing>
          <wp:inline>
            <wp:extent cx="5334000" cy="3269225"/>
            <wp:effectExtent b="0" l="0" r="0" t="0"/>
            <wp:docPr descr="In-city vs cross-city macro-F1 by model" title="" id="43" name="Picture"/>
            <a:graphic>
              <a:graphicData uri="http://schemas.openxmlformats.org/drawingml/2006/picture">
                <pic:pic>
                  <pic:nvPicPr>
                    <pic:cNvPr descr="fig_transf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Pooled macro-F1 with 95% bootstrap CIs. Both trained models lose</w:t>
      </w:r>
      <w:r>
        <w:t xml:space="preserve"> </w:t>
      </w:r>
      <w:r>
        <w:t xml:space="preserve">roughly a third of their macro-F1 when moving to an unseen city. The zero-shot LLM, which trains on no city,</w:t>
      </w:r>
      <w:r>
        <w:t xml:space="preserve"> </w:t>
      </w:r>
      <w:r>
        <w:t xml:space="preserve">transfers best across cities.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In-city (no 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Cross-city (no SF)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 [.76,.81]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0.523 [.50,.54]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 (fine-tuned)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 [.80,.85]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 [.54,.58]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zero-shot, gpt-4o-mini (taxonomy in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 [.63,.68]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zero-shot,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 [.68,.73]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</w:tr>
    </w:tbl>
    <w:p>
      <w:pPr>
        <w:pStyle w:val="BodyText"/>
      </w:pPr>
      <w:r>
        <w:t xml:space="preserve">Table 2. Pooled macro-F1 [95% CI] on the frozen test set. Cross-city refers to LOCO for the</w:t>
      </w:r>
      <w:r>
        <w:t xml:space="preserve"> </w:t>
      </w:r>
      <w:r>
        <w:t xml:space="preserve">trained models and to zero-shot for the LLM. Unweighted city means are lower (for example DistilBERT LOCO</w:t>
      </w:r>
      <w:r>
        <w:t xml:space="preserve"> </w:t>
      </w:r>
      <w:r>
        <w:t xml:space="preserve">0.447): a city with few classes contributes to few of the pooled per-class F1 terms, whereas the unweighted</w:t>
      </w:r>
      <w:r>
        <w:t xml:space="preserve"> </w:t>
      </w:r>
      <w:r>
        <w:t xml:space="preserve">mean weights every city equally. Both aggregations are released.</w:t>
      </w:r>
    </w:p>
    <w:p>
      <w:pPr>
        <w:pStyle w:val="BodyText"/>
      </w:pPr>
      <w:r>
        <w:t xml:space="preserve">Two results are stable across models. Crossing city boundaries costs roughly a third of macro-F1, from 0.826</w:t>
      </w:r>
      <w:r>
        <w:t xml:space="preserve"> </w:t>
      </w:r>
      <w:r>
        <w:t xml:space="preserve">to 0.557 for DistilBERT and from 0.784 to 0.523 for TF-IDF (Figure 3), and in-city exceeds cross-city for</w:t>
      </w:r>
      <w:r>
        <w:t xml:space="preserve"> </w:t>
      </w:r>
      <w:r>
        <w:t xml:space="preserve">every held-out city for DistilBERT and for six of the seven for TF-IDF (Bloomington is a near-tie, 0.443</w:t>
      </w:r>
      <w:r>
        <w:t xml:space="preserve"> </w:t>
      </w:r>
      <w:r>
        <w:t xml:space="preserve">in-city versus 0.449 cross-city, within the bootstrap noise). The cross-city ordering, LLM zero-shot (0.655)</w:t>
      </w:r>
      <w:r>
        <w:t xml:space="preserve"> </w:t>
      </w:r>
      <w:r>
        <w:t xml:space="preserve">above DistilBERT (0.557) above TF-IDF (0.523), is significant: paired bootstrap over the shared test examples</w:t>
      </w:r>
      <w:r>
        <w:t xml:space="preserve"> </w:t>
      </w:r>
      <w:r>
        <w:t xml:space="preserve">gives a mean difference of +0.098 for LLM over DistilBERT and +0.130 for LLM over TF-IDF, both with 95%</w:t>
      </w:r>
      <w:r>
        <w:t xml:space="preserve"> </w:t>
      </w:r>
      <w:r>
        <w:t xml:space="preserve">intervals excluding zero. This significance is at the request level; the ordering is heterogeneous across the</w:t>
      </w:r>
      <w:r>
        <w:t xml:space="preserve"> </w:t>
      </w:r>
      <w:r>
        <w:t xml:space="preserve">seven cities (the LLM leads DistilBERT in five of seven, trailing in Richmond and Auburn), and with only seven</w:t>
      </w:r>
      <w:r>
        <w:t xml:space="preserve"> </w:t>
      </w:r>
      <w:r>
        <w:t xml:space="preserve">jurisdictions we do not claim the ranking generalizes to all municipalities. A preliminary same-platform probe</w:t>
      </w:r>
      <w:r>
        <w:t xml:space="preserve"> </w:t>
      </w:r>
      <w:r>
        <w:t xml:space="preserve">is inconclusive: Auburn-to-Richmond single-source transfer (0.585, Figure 5) exceeds Richmond's leave-one-city-out score (0.477) while</w:t>
      </w:r>
      <w:r>
        <w:t xml:space="preserve"> </w:t>
      </w:r>
      <w:r>
        <w:t xml:space="preserve">Richmond-to-Auburn (0.338) falls below Auburn's (0.434), so shared platform does not uniformly explain the gap</w:t>
      </w:r>
      <w:r>
        <w:t xml:space="preserve"> </w:t>
      </w:r>
      <w:r>
        <w:t xml:space="preserve">(single-source versus multi-source training confounds this cell; the full 7×7 single-source matrix is</w:t>
      </w:r>
      <w:r>
        <w:t xml:space="preserve"> </w:t>
      </w:r>
      <w:r>
        <w:t xml:space="preserve">Figure 5, analyzed in Section 7).</w:t>
      </w:r>
      <w:r>
        <w:t xml:space="preserve"> </w:t>
      </w:r>
      <w:r>
        <w:t xml:space="preserve">Giving a model the target label space in context helps where a fixed label space does not, without closing the</w:t>
      </w:r>
      <w:r>
        <w:t xml:space="preserve"> </w:t>
      </w:r>
      <w:r>
        <w:t xml:space="preserve">gap; Section 7 tests this reading directly.</w:t>
      </w:r>
    </w:p>
    <w:p>
      <w:pPr>
        <w:pStyle w:val="BodyText"/>
      </w:pPr>
      <w:r>
        <w:t xml:space="preserve">To ask what drives the LLM's cross-jurisdiction advantage, we vary the model and the prompt. A stronger</w:t>
      </w:r>
      <w:r>
        <w:t xml:space="preserve"> </w:t>
      </w:r>
      <w:r>
        <w:t xml:space="preserve">model widens it: gpt-4o reaches 0.704, significantly above gpt-4o-mini (0.655; paired bootstrap P&gt;0.99).</w:t>
      </w:r>
      <w:r>
        <w:t xml:space="preserve"> </w:t>
      </w:r>
      <w:r>
        <w:t xml:space="preserve">Clean in-context demonstrations add a modest further gain: one representative labeled exemplar per class drawn</w:t>
      </w:r>
      <w:r>
        <w:t xml:space="preserve"> </w:t>
      </w:r>
      <w:r>
        <w:t xml:space="preserve">from the training cities raises the cross-city score to 0.673 (bootstrap mean +0.025 over zero-shot, 95% CI</w:t>
      </w:r>
      <w:r>
        <w:t xml:space="preserve"> </w:t>
      </w:r>
      <w:r>
        <w:t xml:space="preserve">[+0.001, +0.075]). The larger prompt lever is the label space itself: stripping the glosses to class names alone</w:t>
      </w:r>
      <w:r>
        <w:t xml:space="preserve"> </w:t>
      </w:r>
      <w:r>
        <w:t xml:space="preserve">lifts the score to 0.700, near gpt-4o, so most of the signal is carried by the class names rather than their</w:t>
      </w:r>
      <w:r>
        <w:t xml:space="preserve"> </w:t>
      </w:r>
      <w:r>
        <w:t xml:space="preserve">descriptions or the demonstrations. The advantage therefore comes chiefly from the target-label</w:t>
      </w:r>
      <w:r>
        <w:t xml:space="preserve"> </w:t>
      </w:r>
      <w:r>
        <w:t xml:space="preserve">semantics that the taxonomy places in the prompt, largely captured by the class names, with smaller additive</w:t>
      </w:r>
      <w:r>
        <w:t xml:space="preserve"> </w:t>
      </w:r>
      <w:r>
        <w:t xml:space="preserve">contributions from clean demonstrations and from model scale (gpt-4o). As a pipeline check, running gpt-4o-mini</w:t>
      </w:r>
      <w:r>
        <w:t xml:space="preserve"> </w:t>
      </w:r>
      <w:r>
        <w:t xml:space="preserve">through the batch API reproduces the synchronous result (0.644 versus 0.655, not significant).</w:t>
      </w:r>
    </w:p>
    <w:p>
      <w:pPr>
        <w:pStyle w:val="BodyText"/>
      </w:pPr>
      <w:r>
        <w:t xml:space="preserve">We also widen the model families. A stronger encoder does not help transfer: fine-tuned RoBERTa reaches</w:t>
      </w:r>
      <w:r>
        <w:t xml:space="preserve"> </w:t>
      </w:r>
      <w:r>
        <w:t xml:space="preserve">0.839 in-city, above DistilBERT, but only 0.519 across cities, so the gap is not a weakness of the DistilBERT</w:t>
      </w:r>
      <w:r>
        <w:t xml:space="preserve"> </w:t>
      </w:r>
      <w:r>
        <w:t xml:space="preserve">baseline. Two zero-shot label-semantic methods that receive the class descriptions but no strong reasoning, a</w:t>
      </w:r>
      <w:r>
        <w:t xml:space="preserve"> </w:t>
      </w:r>
      <w:r>
        <w:t xml:space="preserve">sentence-transformer that matches each request to the nearest class-description embedding (0.510) and an NLI</w:t>
      </w:r>
      <w:r>
        <w:t xml:space="preserve"> </w:t>
      </w:r>
      <w:r>
        <w:t xml:space="preserve">entailment classifier (0.478), land at or below the classical TF-IDF baseline and far below the LLM. Access to</w:t>
      </w:r>
      <w:r>
        <w:t xml:space="preserve"> </w:t>
      </w:r>
      <w:r>
        <w:t xml:space="preserve">label semantics is therefore necessary but not sufficient: the zero-shot LLM's advantage combines the label</w:t>
      </w:r>
      <w:r>
        <w:t xml:space="preserve"> </w:t>
      </w:r>
      <w:r>
        <w:t xml:space="preserve">semantics in its prompt with its own capability, and neither a stronger encoder nor a simple label-matching</w:t>
      </w:r>
      <w:r>
        <w:t xml:space="preserve"> </w:t>
      </w:r>
      <w:r>
        <w:t xml:space="preserve">model reproduces it.</w:t>
      </w:r>
    </w:p>
    <w:p>
      <w:pPr>
        <w:pStyle w:val="BodyText"/>
      </w:pPr>
      <w:r>
        <w:t xml:space="preserve">Decomposing the cross-city macro-F1 by class shows where the advantage lives. On the head classes the LLM</w:t>
      </w:r>
      <w:r>
        <w:t xml:space="preserve"> </w:t>
      </w:r>
      <w:r>
        <w:t xml:space="preserve">and the trained model are close: Waste and Sanitation (1,305 test requests) 0.853 for the LLM versus 0.825 for</w:t>
      </w:r>
      <w:r>
        <w:t xml:space="preserve"> </w:t>
      </w:r>
      <w:r>
        <w:t xml:space="preserve">DistilBERT across cities, Graffiti 0.927 versus 0.914, Street Lighting 0.881 versus 0.868. The separation is</w:t>
      </w:r>
      <w:r>
        <w:t xml:space="preserve"> </w:t>
      </w:r>
      <w:r>
        <w:t xml:space="preserve">concentrated in rare, city-idiosyncratic classes on which the leave-one-city-out DistilBERT collapses to zero:</w:t>
      </w:r>
      <w:r>
        <w:t xml:space="preserve"> </w:t>
      </w:r>
      <w:r>
        <w:t xml:space="preserve">Noise (12) 0.000 to 0.759, Transit (21) 0.000 to 0.500, Homelessness (176) 0.380 to 0.830, Parking (224) 0.636</w:t>
      </w:r>
      <w:r>
        <w:t xml:space="preserve"> </w:t>
      </w:r>
      <w:r>
        <w:t xml:space="preserve">to 0.773. A model trained on the other cities cannot represent a class that is thin or absent in its source</w:t>
      </w:r>
      <w:r>
        <w:t xml:space="preserve"> </w:t>
      </w:r>
      <w:r>
        <w:t xml:space="preserve">pool, whereas the class name in the prompt lets the LLM recognize it directly. The cross-jurisdiction ranking is</w:t>
      </w:r>
      <w:r>
        <w:t xml:space="preserve"> </w:t>
      </w:r>
      <w:r>
        <w:t xml:space="preserve">therefore a tail-class phenomenon, not a uniform margin.</w:t>
      </w:r>
    </w:p>
    <w:bookmarkStart w:id="51" w:name="robustness"/>
    <w:p>
      <w:pPr>
        <w:pStyle w:val="Heading3"/>
      </w:pPr>
      <w:r>
        <w:t xml:space="preserve">Robustness</w:t>
      </w:r>
    </w:p>
    <w:p>
      <w:pPr>
        <w:pStyle w:val="FirstParagraph"/>
      </w:pPr>
      <w:r>
        <w:t xml:space="preserve">Three checks indicate the gap is genuine domain shift rather than an artifact of the split or the taxonomy.</w:t>
      </w:r>
      <w:r>
        <w:t xml:space="preserve"> </w:t>
      </w:r>
      <w:r>
        <w:rPr>
          <w:i/>
          <w:iCs/>
        </w:rPr>
        <w:t xml:space="preserve">Deduplication:</w:t>
      </w:r>
      <w:r>
        <w:t xml:space="preserve"> </w:t>
      </w:r>
      <w:r>
        <w:t xml:space="preserve">18,265 training rows shared their exact text with a test request in the same city;</w:t>
      </w:r>
      <w:r>
        <w:t xml:space="preserve"> </w:t>
      </w:r>
      <w:r>
        <w:t xml:space="preserve">removing them, together with corpus-wide exact duplicates, barely changes the picture (DistilBERT in-city</w:t>
      </w:r>
      <w:r>
        <w:t xml:space="preserve"> </w:t>
      </w:r>
      <w:r>
        <w:t xml:space="preserve">0.818, cross-city 0.539), so the roughly one-third drop is not produced by train-test overlap.</w:t>
      </w:r>
      <w:r>
        <w:t xml:space="preserve"> </w:t>
      </w:r>
      <w:r>
        <w:rPr>
          <w:i/>
          <w:iCs/>
        </w:rPr>
        <w:t xml:space="preserve">Taxonomy</w:t>
      </w:r>
      <w:r>
        <w:rPr>
          <w:i/>
          <w:iCs/>
        </w:rPr>
        <w:t xml:space="preserve"> </w:t>
      </w:r>
      <w:r>
        <w:rPr>
          <w:i/>
          <w:iCs/>
        </w:rPr>
        <w:t xml:space="preserve">coarsening:</w:t>
      </w:r>
      <w:r>
        <w:t xml:space="preserve"> </w:t>
      </w:r>
      <w:r>
        <w:t xml:space="preserve">merging the confusable neighboring classes into an eight-class ontology recovers four to seven</w:t>
      </w:r>
      <w:r>
        <w:t xml:space="preserve"> </w:t>
      </w:r>
      <w:r>
        <w:t xml:space="preserve">macro-F1 points for the trained models (TF-IDF cross-city 0.523 to 0.590, DistilBERT 0.557 to 0.601), which</w:t>
      </w:r>
      <w:r>
        <w:t xml:space="preserve"> </w:t>
      </w:r>
      <w:r>
        <w:t xml:space="preserve">quantifies the taxonomy-boundary share of the difficulty, yet the gap to in-city persists.</w:t>
      </w:r>
      <w:r>
        <w:t xml:space="preserve"> </w:t>
      </w:r>
      <w:r>
        <w:rPr>
          <w:i/>
          <w:iCs/>
        </w:rPr>
        <w:t xml:space="preserve">Temporal split:</w:t>
      </w:r>
      <w:r>
        <w:t xml:space="preserve"> </w:t>
      </w:r>
      <w:r>
        <w:t xml:space="preserve">for all seven cities, pulling each city's records ordered by its native creation timestamp, training on the</w:t>
      </w:r>
      <w:r>
        <w:t xml:space="preserve"> </w:t>
      </w:r>
      <w:r>
        <w:t xml:space="preserve">earliest 80% of requests and testing on the latest 20% lowers in-city macro-F1 by 0.051 on average (0.740</w:t>
      </w:r>
      <w:r>
        <w:t xml:space="preserve"> </w:t>
      </w:r>
      <w:r>
        <w:t xml:space="preserve">versus 0.791 for a random split on the same rows), with the largest single-city drop 0.12 (Honolulu). This</w:t>
      </w:r>
      <w:r>
        <w:t xml:space="preserve"> </w:t>
      </w:r>
      <w:r>
        <w:t xml:space="preserve">temporal degradation is real but roughly five times smaller than the cross-jurisdiction gap, so the transfer</w:t>
      </w:r>
      <w:r>
        <w:t xml:space="preserve"> </w:t>
      </w:r>
      <w:r>
        <w:t xml:space="preserve">gap is not an artifact of random splitting.</w:t>
      </w:r>
      <w:r>
        <w:t xml:space="preserve"> </w:t>
      </w:r>
      <w:r>
        <w:rPr>
          <w:i/>
          <w:iCs/>
        </w:rPr>
        <w:t xml:space="preserve">Model family and input length:</w:t>
      </w:r>
      <w:r>
        <w:t xml:space="preserve"> </w:t>
      </w:r>
      <w:r>
        <w:t xml:space="preserve">a stronger encoder and simple label-semantic classifiers,</w:t>
      </w:r>
      <w:r>
        <w:t xml:space="preserve"> </w:t>
      </w:r>
      <w:r>
        <w:t xml:space="preserve">above, do not close the gap either, and doubling the encoder's input to 128 tokens does not help (cross-city</w:t>
      </w:r>
      <w:r>
        <w:t xml:space="preserve"> </w:t>
      </w:r>
      <w:r>
        <w:t xml:space="preserve">0.537 versus 0.557). The gap is not specific to one architecture, split, taxonomy granularity, or sequence</w:t>
      </w:r>
      <w:r>
        <w:t xml:space="preserve"> </w:t>
      </w:r>
      <w:r>
        <w:t xml:space="preserve">length.</w:t>
      </w:r>
    </w:p>
    <w:p>
      <w:pPr>
        <w:pStyle w:val="BodyText"/>
      </w:pPr>
      <w:r>
        <w:t xml:space="preserve">Performance varies sharply across held-out cities (Figure 4), from the degenerate San Francisco split</w:t>
      </w:r>
      <w:r>
        <w:t xml:space="preserve"> </w:t>
      </w:r>
      <w:r>
        <w:t xml:space="preserve">(two content classes) to the mid-0.6s on more balanced cities, which is why we report San-Francisco-excluded</w:t>
      </w:r>
      <w:r>
        <w:t xml:space="preserve"> </w:t>
      </w:r>
      <w:r>
        <w:t xml:space="preserve">aggregates alongside the full ones.</w:t>
      </w:r>
    </w:p>
    <w:p>
      <w:pPr>
        <w:pStyle w:val="CaptionedFigure"/>
      </w:pPr>
      <w:r>
        <w:drawing>
          <wp:inline>
            <wp:extent cx="5334000" cy="2895600"/>
            <wp:effectExtent b="0" l="0" r="0" t="0"/>
            <wp:docPr descr="Per-city cross-city macro-F1 by model" title="" id="46" name="Picture"/>
            <a:graphic>
              <a:graphicData uri="http://schemas.openxmlformats.org/drawingml/2006/picture">
                <pic:pic>
                  <pic:nvPicPr>
                    <pic:cNvPr descr="fig_percit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Per-held-out-city cross-city macro-F1. Performance varies widely by</w:t>
      </w:r>
      <w:r>
        <w:t xml:space="preserve"> </w:t>
      </w:r>
      <w:r>
        <w:t xml:space="preserve">city, and San Francisco (two content classes only) is degenerate; we handle it explicitly in Section 9.</w:t>
      </w:r>
    </w:p>
    <w:p>
      <w:pPr>
        <w:pStyle w:val="CaptionedFigure"/>
      </w:pPr>
      <w:r>
        <w:drawing>
          <wp:inline>
            <wp:extent cx="5334000" cy="4525818"/>
            <wp:effectExtent b="0" l="0" r="0" t="0"/>
            <wp:docPr descr="City-to-city transfer matrix" title="" id="49" name="Picture"/>
            <a:graphic>
              <a:graphicData uri="http://schemas.openxmlformats.org/drawingml/2006/picture">
                <pic:pic>
                  <pic:nvPicPr>
                    <pic:cNvPr descr="fig_transfer_matri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Full 7×7 city-to-city TF-IDF transfer (train on the row city,</w:t>
      </w:r>
      <w:r>
        <w:t xml:space="preserve"> </w:t>
      </w:r>
      <w:r>
        <w:t xml:space="preserve">test on the column city). Single-source cross-city transfer averages 0.247 macro-F1, far below the</w:t>
      </w:r>
      <w:r>
        <w:t xml:space="preserve"> </w:t>
      </w:r>
      <w:r>
        <w:t xml:space="preserve">multi-source leave-one-city-out result, and the SeeClickFix pair transfers asymmetrically.</w:t>
      </w:r>
    </w:p>
    <w:p>
      <w:pPr>
        <w:pStyle w:val="BodyText"/>
      </w:pPr>
      <w:r>
        <w:t xml:space="preserve">The full city-to-city matrix (Figure 5) makes the multi-source benefit concrete: training on a single</w:t>
      </w:r>
      <w:r>
        <w:t xml:space="preserve"> </w:t>
      </w:r>
      <w:r>
        <w:t xml:space="preserve">other city and testing on a target averages 0.247 macro-F1, less than half the leave-one-city-out result</w:t>
      </w:r>
      <w:r>
        <w:t xml:space="preserve"> </w:t>
      </w:r>
      <w:r>
        <w:t xml:space="preserve">(0.523 for TF-IDF), so pooling several source cities is worth far more than any single source. The structure</w:t>
      </w:r>
      <w:r>
        <w:t xml:space="preserve"> </w:t>
      </w:r>
      <w:r>
        <w:t xml:space="preserve">is not explained by shared platform alone; the two SeeClickFix cities transfer asymmetrically (Auburn to</w:t>
      </w:r>
      <w:r>
        <w:t xml:space="preserve"> </w:t>
      </w:r>
      <w:r>
        <w:t xml:space="preserve">Richmond 0.58, Richmond to Auburn 0.34), consistent with the inconclusive same-platform probe above.</w:t>
      </w:r>
    </w:p>
    <w:p>
      <w:pPr>
        <w:pStyle w:val="BodyText"/>
      </w:pPr>
      <w:r>
        <w:t xml:space="preserve">Transfer difficulty is partly predictable from how far apart two cities' corpora are. Across the 30 city</w:t>
      </w:r>
      <w:r>
        <w:t xml:space="preserve"> </w:t>
      </w:r>
      <w:r>
        <w:t xml:space="preserve">pairs that exclude the degenerate San Francisco cell (whose single-source transfer is uniformly near zero),</w:t>
      </w:r>
      <w:r>
        <w:t xml:space="preserve"> </w:t>
      </w:r>
      <w:r>
        <w:t xml:space="preserve">single-source transfer correlates negatively with vocabulary divergence between the two cities</w:t>
      </w:r>
      <w:r>
        <w:t xml:space="preserve"> </w:t>
      </w:r>
      <w:r>
        <w:t xml:space="preserve">(Spearman ρ = −0.54, p = 0.002); the class-distribution and text-length distances and the shared-platform</w:t>
      </w:r>
      <w:r>
        <w:t xml:space="preserve"> </w:t>
      </w:r>
      <w:r>
        <w:t xml:space="preserve">indicator are not significant, and with a single same-platform pair the platform test is underpowered. Including</w:t>
      </w:r>
      <w:r>
        <w:t xml:space="preserve"> </w:t>
      </w:r>
      <w:r>
        <w:t xml:space="preserve">San Francisco inflates the vocabulary correlation to ρ = −0.83, so we report the San Francisco-excluded</w:t>
      </w:r>
      <w:r>
        <w:t xml:space="preserve"> </w:t>
      </w:r>
      <w:r>
        <w:t xml:space="preserve">value. Cross-jurisdiction degradation therefore tracks lexical shift between cities, which a shared taxonomy</w:t>
      </w:r>
      <w:r>
        <w:t xml:space="preserve"> </w:t>
      </w:r>
      <w:r>
        <w:t xml:space="preserve">alone cannot remove.</w:t>
      </w:r>
    </w:p>
    <w:bookmarkEnd w:id="51"/>
    <w:bookmarkEnd w:id="52"/>
    <w:bookmarkStart w:id="60" w:name="what-the-gap-measures"/>
    <w:p>
      <w:pPr>
        <w:pStyle w:val="Heading2"/>
      </w:pPr>
      <w:r>
        <w:t xml:space="preserve">7. What the gap measures</w:t>
      </w:r>
    </w:p>
    <w:p>
      <w:pPr>
        <w:pStyle w:val="FirstParagraph"/>
      </w:pPr>
      <w:r>
        <w:t xml:space="preserve">A large drop is a strong claim, so we ask how much of the gap is genuine model failure. An independent LLM</w:t>
      </w:r>
      <w:r>
        <w:t xml:space="preserve"> </w:t>
      </w:r>
      <w:r>
        <w:t xml:space="preserve">judge (gpt-4o-mini) reads each test request and returns the set of categories that are reasonable for the</w:t>
      </w:r>
      <w:r>
        <w:t xml:space="preserve"> </w:t>
      </w:r>
      <w:r>
        <w:t xml:space="preserve">text, blind to the model prediction and to the city's own label. The judge assigns a single label to 67% of</w:t>
      </w:r>
      <w:r>
        <w:t xml:space="preserve"> </w:t>
      </w:r>
      <w:r>
        <w:t xml:space="preserve">requests and two or more to the rest (mean 1.37), which quantifies genuine ambiguity in the taxonomy. Because</w:t>
      </w:r>
      <w:r>
        <w:t xml:space="preserve"> </w:t>
      </w:r>
      <w:r>
        <w:t xml:space="preserve">the mean acceptable set spans only 1.37 of the 14 classes, a randomly chosen label is judge-accepted just 9.8%</w:t>
      </w:r>
      <w:r>
        <w:t xml:space="preserve"> </w:t>
      </w:r>
      <w:r>
        <w:t xml:space="preserve">of the time and a constant majority-class predictor reaches 0.414 defensibility-adjusted accuracy; the lenient</w:t>
      </w:r>
      <w:r>
        <w:t xml:space="preserve"> </w:t>
      </w:r>
      <w:r>
        <w:t xml:space="preserve">scores below are read against these floors, so the metric is discriminating rather than vacuously generous.</w:t>
      </w:r>
    </w:p>
    <w:p>
      <w:pPr>
        <w:pStyle w:val="BodyText"/>
      </w:pPr>
      <w:r>
        <w:t xml:space="preserve">The judge also disagrees with the city's own label on 14.2% of requests (from 5.6% in San Francisco to 20%</w:t>
      </w:r>
      <w:r>
        <w:t xml:space="preserve"> </w:t>
      </w:r>
      <w:r>
        <w:t xml:space="preserve">in Richmond). This is a measured rate of city labels not entailed by the text, on the same population the gap</w:t>
      </w:r>
      <w:r>
        <w:t xml:space="preserve"> </w:t>
      </w:r>
      <w:r>
        <w:t xml:space="preserve">is computed on. It does not cap predictive accuracy, since a model can still exploit a city's administrative</w:t>
      </w:r>
      <w:r>
        <w:t xml:space="preserve"> </w:t>
      </w:r>
      <w:r>
        <w:t xml:space="preserve">conventions, location cues, or lexical shortcuts; rather, it shows that matching the city label is not a pure</w:t>
      </w:r>
      <w:r>
        <w:t xml:space="preserve"> </w:t>
      </w:r>
      <w:r>
        <w:t xml:space="preserve">measure of semantic classification ability.</w:t>
      </w:r>
    </w:p>
    <w:p>
      <w:pPr>
        <w:pStyle w:val="CaptionedFigure"/>
      </w:pPr>
      <w:r>
        <w:drawing>
          <wp:inline>
            <wp:extent cx="5334000" cy="3097161"/>
            <wp:effectExtent b="0" l="0" r="0" t="0"/>
            <wp:docPr descr="Strict vs lenient accuracy by model" title="" id="54" name="Picture"/>
            <a:graphic>
              <a:graphicData uri="http://schemas.openxmlformats.org/drawingml/2006/picture">
                <pic:pic>
                  <pic:nvPicPr>
                    <pic:cNvPr descr="fig_defensibil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Strict accuracy (prediction equals the city label) versus</w:t>
      </w:r>
      <w:r>
        <w:t xml:space="preserve"> </w:t>
      </w:r>
      <w:r>
        <w:t xml:space="preserve">defensibility-adjusted accuracy (prediction is judge-acceptable). A large share of cross-city "errors" are</w:t>
      </w:r>
      <w:r>
        <w:t xml:space="preserve"> </w:t>
      </w:r>
      <w:r>
        <w:t xml:space="preserve">judged defensible, nearly all for the LLM under the same-family judge.</w:t>
      </w:r>
    </w:p>
    <w:p>
      <w:pPr>
        <w:pStyle w:val="BodyText"/>
      </w:pPr>
      <w:r>
        <w:t xml:space="preserve">The acceptable-set judgment is defined per example, so this analysis uses accuracy rather than macro-F1.</w:t>
      </w:r>
      <w:r>
        <w:t xml:space="preserve"> </w:t>
      </w:r>
      <w:r>
        <w:t xml:space="preserve">Under a defensibility-adjusted metric that counts a prediction correct when it matches the city label or any</w:t>
      </w:r>
      <w:r>
        <w:t xml:space="preserve"> </w:t>
      </w:r>
      <w:r>
        <w:t xml:space="preserve">judge-acceptable label, cross-city accuracy rises for every model (Figure 6): the LLM from 0.797 to 0.981, DistilBERT</w:t>
      </w:r>
      <w:r>
        <w:t xml:space="preserve"> </w:t>
      </w:r>
      <w:r>
        <w:t xml:space="preserve">from 0.748 to 0.864, and TF-IDF from 0.688 to 0.816. This rescues about 91% of the zero-shot LLM's strict</w:t>
      </w:r>
      <w:r>
        <w:t xml:space="preserve"> </w:t>
      </w:r>
      <w:r>
        <w:t xml:space="preserve">disagreements, and about 46% and 41% of DistilBERT's and TF-IDF's. The correction is consequential, not</w:t>
      </w:r>
      <w:r>
        <w:t xml:space="preserve"> </w:t>
      </w:r>
      <w:r>
        <w:t xml:space="preserve">cosmetic: it erases a significant difference between the two strongest models. gpt-4o beats gpt-4o-mini on</w:t>
      </w:r>
      <w:r>
        <w:t xml:space="preserve"> </w:t>
      </w:r>
      <w:r>
        <w:t xml:space="preserve">strict accuracy by a clear margin (0.832 versus 0.798, paired bootstrap P&gt;0.99), but under the</w:t>
      </w:r>
      <w:r>
        <w:t xml:space="preserve"> </w:t>
      </w:r>
      <w:r>
        <w:t xml:space="preserve">defensibility-adjusted metric the two are statistically indistinguishable (0.981 versus 0.979, 95% CI on the</w:t>
      </w:r>
      <w:r>
        <w:t xml:space="preserve"> </w:t>
      </w:r>
      <w:r>
        <w:t xml:space="preserve">difference [−0.003, +0.007]). Whether the benchmark separates them at all depends on whether its labels</w:t>
      </w:r>
      <w:r>
        <w:t xml:space="preserve"> </w:t>
      </w:r>
      <w:r>
        <w:t xml:space="preserve">are read as ground truth or as one defensible answer among several. To test whether this reflects same-family</w:t>
      </w:r>
      <w:r>
        <w:t xml:space="preserve"> </w:t>
      </w:r>
      <w:r>
        <w:t xml:space="preserve">self-agreement, we repeated the acceptable-set judgment with an independent judge from a different model</w:t>
      </w:r>
      <w:r>
        <w:t xml:space="preserve"> </w:t>
      </w:r>
      <w:r>
        <w:t xml:space="preserve">family (gemini-2.5-flash). The two judges agree on the acceptable set for 75% of requests (mean Jaccard 0.86),</w:t>
      </w:r>
      <w:r>
        <w:t xml:space="preserve"> </w:t>
      </w:r>
      <w:r>
        <w:t xml:space="preserve">and the lenient scores barely move: the LLM's cross-city accuracy is 0.964 under the independent judge versus</w:t>
      </w:r>
      <w:r>
        <w:t xml:space="preserve"> </w:t>
      </w:r>
      <w:r>
        <w:t xml:space="preserve">0.981 under gpt-4o-mini, and DistilBERT's and TF-IDF's shift by under 0.01. Even the two-judge consensus, where</w:t>
      </w:r>
      <w:r>
        <w:t xml:space="preserve"> </w:t>
      </w:r>
      <w:r>
        <w:t xml:space="preserve">both judges reject the city label, finds 9.6% of city labels textually unsupported. The effect is therefore</w:t>
      </w:r>
      <w:r>
        <w:t xml:space="preserve"> </w:t>
      </w:r>
      <w:r>
        <w:t xml:space="preserve">not an artifact of same-family judging; human validation of a subset remains the natural next step (Section 9).</w:t>
      </w:r>
    </w:p>
    <w:p>
      <w:pPr>
        <w:pStyle w:val="BodyText"/>
      </w:pPr>
      <w:r>
        <w:t xml:space="preserve">To rule out any single-vendor artifact and to give a reproducible way to choose judges, we ran the same</w:t>
      </w:r>
      <w:r>
        <w:t xml:space="preserve"> </w:t>
      </w:r>
      <w:r>
        <w:t xml:space="preserve">acceptable-set task with five independent judges from five vendors (OpenAI gpt-4o-mini, Google gemini-2.5-flash,</w:t>
      </w:r>
      <w:r>
        <w:t xml:space="preserve"> </w:t>
      </w:r>
      <w:r>
        <w:t xml:space="preserve">Mistral mistral-small, DeepSeek deepseek-chat, Cohere command-r). All five pass the discriminant floors, a</w:t>
      </w:r>
      <w:r>
        <w:t xml:space="preserve"> </w:t>
      </w:r>
      <w:r>
        <w:t xml:space="preserve">random label accepted 9 to 14% of the time against recorded-label acceptance of 86 to 89% (discriminant margins</w:t>
      </w:r>
      <w:r>
        <w:t xml:space="preserve"> </w:t>
      </w:r>
      <w:r>
        <w:t xml:space="preserve">0.75 to 0.80), and their textually-unsupported-label rates fall in a narrow 10.7 to 14.2% band. A humans-free</w:t>
      </w:r>
      <w:r>
        <w:t xml:space="preserve"> </w:t>
      </w:r>
      <w:r>
        <w:t xml:space="preserve">selection criterion that ranks judges by discriminant margin and mean cross-vendor agreement separates a tight</w:t>
      </w:r>
      <w:r>
        <w:t xml:space="preserve"> </w:t>
      </w:r>
      <w:r>
        <w:t xml:space="preserve">core (OpenAI, Google, DeepSeek; pairwise exact-set agreement 0.75 to 0.79) from a more permissive outlier</w:t>
      </w:r>
      <w:r>
        <w:t xml:space="preserve"> </w:t>
      </w:r>
      <w:r>
        <w:t xml:space="preserve">(Cohere, mean acceptable set 1.99, agreement 0.42 to 0.49); a sixth candidate could not be run reliably at scale</w:t>
      </w:r>
      <w:r>
        <w:t xml:space="preserve"> </w:t>
      </w:r>
      <w:r>
        <w:t xml:space="preserve">on the available batch endpoint and is excluded on operational grounds. The majority-of-five consensus finds</w:t>
      </w:r>
      <w:r>
        <w:t xml:space="preserve"> </w:t>
      </w:r>
      <w:r>
        <w:t xml:space="preserve">11.9% of recorded labels textually unsupported. Label noise is therefore a property of the corpus, not of one</w:t>
      </w:r>
      <w:r>
        <w:t xml:space="preserve"> </w:t>
      </w:r>
      <w:r>
        <w:t xml:space="preserve">judge or one model family.</w:t>
      </w:r>
    </w:p>
    <w:p>
      <w:pPr>
        <w:pStyle w:val="BodyText"/>
      </w:pPr>
      <w:r>
        <w:t xml:space="preserve">The separation between the LLM and the trained models lives precisely where a single answer exists. On the</w:t>
      </w:r>
      <w:r>
        <w:t xml:space="preserve"> </w:t>
      </w:r>
      <w:r>
        <w:t xml:space="preserve">requests the judge marks unambiguous (a single acceptable label, 2,329 of 3,502), the LLM's cross-city accuracy</w:t>
      </w:r>
      <w:r>
        <w:t xml:space="preserve"> </w:t>
      </w:r>
      <w:r>
        <w:t xml:space="preserve">is 0.850 against 0.776 for DistilBERT; on the multi-label requests the two converge (0.695 and 0.691), because</w:t>
      </w:r>
      <w:r>
        <w:t xml:space="preserve"> </w:t>
      </w:r>
      <w:r>
        <w:t xml:space="preserve">there is no single target to separate on. A router that auto-routes judge-unambiguous requests and escalates the</w:t>
      </w:r>
      <w:r>
        <w:t xml:space="preserve"> </w:t>
      </w:r>
      <w:r>
        <w:t xml:space="preserve">multi-label ones is a direct use of this structure.</w:t>
      </w:r>
    </w:p>
    <w:p>
      <w:pPr>
        <w:pStyle w:val="BodyText"/>
      </w:pPr>
      <w:r>
        <w:t xml:space="preserve">The two-judge consensus also functions as a corpus audit. Tracing the requests both judges reject back to</w:t>
      </w:r>
      <w:r>
        <w:t xml:space="preserve"> </w:t>
      </w:r>
      <w:r>
        <w:t xml:space="preserve">their native categories exposed five harmonization-rule errors, where a keyword fired the wrong first-match:</w:t>
      </w:r>
      <w:r>
        <w:t xml:space="preserve"> </w:t>
      </w:r>
      <w:r>
        <w:t xml:space="preserve">garbage-collection reports routed to drainage through a "leak" token, sewer backups routed to waste through a</w:t>
      </w:r>
      <w:r>
        <w:t xml:space="preserve"> </w:t>
      </w:r>
      <w:r>
        <w:t xml:space="preserve">"backup" token, and street grading routed to waste. Correcting the rules relabels 619 corpus rows (7 of the</w:t>
      </w:r>
      <w:r>
        <w:t xml:space="preserve"> </w:t>
      </w:r>
      <w:r>
        <w:t xml:space="preserve">3,502 test rows); every pooled macro-F1 moves by at most 0.001, so the results below stand on the corrected</w:t>
      </w:r>
      <w:r>
        <w:t xml:space="preserve"> </w:t>
      </w:r>
      <w:r>
        <w:t xml:space="preserve">corpus, which is the one released. The measured cross-jurisdiction gap therefore conflates three effects this</w:t>
      </w:r>
      <w:r>
        <w:t xml:space="preserve"> </w:t>
      </w:r>
      <w:r>
        <w:t xml:space="preserve">analysis makes visible without cleanly separating: genuine domain shift between cities, non-comparability of the</w:t>
      </w:r>
      <w:r>
        <w:t xml:space="preserve"> </w:t>
      </w:r>
      <w:r>
        <w:t xml:space="preserve">harmonized taxonomy at its boundaries, and text-label mismatch. The confusion structure identifies where the</w:t>
      </w:r>
      <w:r>
        <w:t xml:space="preserve"> </w:t>
      </w:r>
      <w:r>
        <w:t xml:space="preserve">boundary effects concentrate (Figure 7).</w:t>
      </w:r>
    </w:p>
    <w:p>
      <w:pPr>
        <w:pStyle w:val="CaptionedFigure"/>
      </w:pPr>
      <w:r>
        <w:drawing>
          <wp:inline>
            <wp:extent cx="5334000" cy="4593166"/>
            <wp:effectExtent b="0" l="0" r="0" t="0"/>
            <wp:docPr descr="Cross-city confusion matrix for DistilBERT" title="" id="57" name="Picture"/>
            <a:graphic>
              <a:graphicData uri="http://schemas.openxmlformats.org/drawingml/2006/picture">
                <pic:pic>
                  <pic:nvPicPr>
                    <pic:cNvPr descr="fig_confus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 </w:t>
      </w:r>
      <w:r>
        <w:t xml:space="preserve">Row-normalized cross-city confusion for DistilBERT. The heaviest</w:t>
      </w:r>
      <w:r>
        <w:t xml:space="preserve"> </w:t>
      </w:r>
      <w:r>
        <w:t xml:space="preserve">off-diagonal mass sits on defensible neighbors: Waste and Sanitation versus Trees and Vegetation (green and</w:t>
      </w:r>
      <w:r>
        <w:t xml:space="preserve"> </w:t>
      </w:r>
      <w:r>
        <w:t xml:space="preserve">woody waste), and Streets versus Water and Drainage (sinkholes and road-surface flooding).</w:t>
      </w:r>
    </w:p>
    <w:p>
      <w:pPr>
        <w:pStyle w:val="BodyText"/>
      </w:pPr>
      <w:r>
        <w:t xml:space="preserve">The dominant confusions are exactly the service-versus-content boundaries a text model cannot be expected</w:t>
      </w:r>
      <w:r>
        <w:t xml:space="preserve"> </w:t>
      </w:r>
      <w:r>
        <w:t xml:space="preserve">to honor from the text alone. A request labeled</w:t>
      </w:r>
      <w:r>
        <w:t xml:space="preserve"> </w:t>
      </w:r>
      <w:r>
        <w:rPr>
          <w:rStyle w:val="VerbatimChar"/>
        </w:rPr>
        <w:t xml:space="preserve">MISSED WOODY WASTE SERVICE</w:t>
      </w:r>
      <w:r>
        <w:t xml:space="preserve"> </w:t>
      </w:r>
      <w:r>
        <w:t xml:space="preserve">reads "tree limbs not</w:t>
      </w:r>
      <w:r>
        <w:t xml:space="preserve"> </w:t>
      </w:r>
      <w:r>
        <w:t xml:space="preserve">picked up"; the city label names a collection service, the text names the material, and both Waste and Trees</w:t>
      </w:r>
      <w:r>
        <w:t xml:space="preserve"> </w:t>
      </w:r>
      <w:r>
        <w:t xml:space="preserve">are defensible.</w:t>
      </w:r>
    </w:p>
    <w:p>
      <w:pPr>
        <w:pStyle w:val="BodyText"/>
      </w:pPr>
      <w:r>
        <w:t xml:space="preserve">The disagreement between annotators and the confusion between models are the same object. Correlating the</w:t>
      </w:r>
      <w:r>
        <w:t xml:space="preserve"> </w:t>
      </w:r>
      <w:r>
        <w:t xml:space="preserve">two-judge co-acceptability graph over the 14 classes (how often a pair of labels is jointly acceptable for one</w:t>
      </w:r>
      <w:r>
        <w:t xml:space="preserve"> </w:t>
      </w:r>
      <w:r>
        <w:t xml:space="preserve">request) with the cross-city confusion matrix gives Spearman ρ = 0.75 (p &lt; 10</w:t>
      </w:r>
      <w:r>
        <w:rPr>
          <w:vertAlign w:val="superscript"/>
        </w:rPr>
        <w:t xml:space="preserve">−17</w:t>
      </w:r>
      <w:r>
        <w:t xml:space="preserve">; ρ = 0.63</w:t>
      </w:r>
      <w:r>
        <w:t xml:space="preserve"> </w:t>
      </w:r>
      <w:r>
        <w:t xml:space="preserve">after partialling out the product of the two classes' frequencies, so this is not a frequency artifact): the</w:t>
      </w:r>
      <w:r>
        <w:t xml:space="preserve"> </w:t>
      </w:r>
      <w:r>
        <w:t xml:space="preserve">pairs a judge accepts interchangeably, Trees and Waste, Streets and Trees, Homelessness and Waste, are the pairs</w:t>
      </w:r>
      <w:r>
        <w:t xml:space="preserve"> </w:t>
      </w:r>
      <w:r>
        <w:t xml:space="preserve">the trained model mixes up. The cross-jurisdiction gap is concentrated where the taxonomy is ambiguous, not</w:t>
      </w:r>
      <w:r>
        <w:t xml:space="preserve"> </w:t>
      </w:r>
      <w:r>
        <w:t xml:space="preserve">spread evenly across the label space.</w:t>
      </w:r>
    </w:p>
    <w:p>
      <w:pPr>
        <w:pStyle w:val="BodyText"/>
      </w:pPr>
      <w:r>
        <w:t xml:space="preserve">This turns the boundary into a design lever. Agglomerating the classes by co-acceptability yields a</w:t>
      </w:r>
      <w:r>
        <w:t xml:space="preserve"> </w:t>
      </w:r>
      <w:r>
        <w:t xml:space="preserve">data-driven ontology whose merges are auditable and coincide with the confusion of Figure 7. Because the</w:t>
      </w:r>
      <w:r>
        <w:t xml:space="preserve"> </w:t>
      </w:r>
      <w:r>
        <w:t xml:space="preserve">ambiguity is concentrated on a few pairs, a targeted merge removes most of it: at ten classes the derived</w:t>
      </w:r>
      <w:r>
        <w:t xml:space="preserve"> </w:t>
      </w:r>
      <w:r>
        <w:t xml:space="preserve">taxonomy leaves 20% of requests multi-acceptable against 31% for the average equal-size random merge, and at</w:t>
      </w:r>
      <w:r>
        <w:t xml:space="preserve"> </w:t>
      </w:r>
      <w:r>
        <w:t xml:space="preserve">eight classes 12% against 26%, lower than every one of 200 random merges with matched cluster sizes at each</w:t>
      </w:r>
      <w:r>
        <w:t xml:space="preserve"> </w:t>
      </w:r>
      <w:r>
        <w:t xml:space="preserve">granularity. The output is a concrete ontology revision a 311 consortium could adopt, derived from measured</w:t>
      </w:r>
      <w:r>
        <w:t xml:space="preserve"> </w:t>
      </w:r>
      <w:r>
        <w:t xml:space="preserve">ambiguity rather than intuition.</w:t>
      </w:r>
    </w:p>
    <w:bookmarkStart w:id="59" w:name="repairing-labels-for-training"/>
    <w:p>
      <w:pPr>
        <w:pStyle w:val="Heading3"/>
      </w:pPr>
      <w:r>
        <w:t xml:space="preserve">Repairing labels for training</w:t>
      </w:r>
    </w:p>
    <w:p>
      <w:pPr>
        <w:pStyle w:val="FirstParagraph"/>
      </w:pPr>
      <w:r>
        <w:t xml:space="preserve">The judge is also a training signal, which turns the diagnosis into an intervention. For each</w:t>
      </w:r>
      <w:r>
        <w:t xml:space="preserve"> </w:t>
      </w:r>
      <w:r>
        <w:t xml:space="preserve">leave-one-city-out fold we relabel the training requests whose recorded label the judge rejects (12.3% to 13.3%</w:t>
      </w:r>
      <w:r>
        <w:t xml:space="preserve"> </w:t>
      </w:r>
      <w:r>
        <w:t xml:space="preserve">per fold) to a judge-acceptable label, and fine-tune DistilBERT on the repaired pool. Pooled cross-city</w:t>
      </w:r>
      <w:r>
        <w:t xml:space="preserve"> </w:t>
      </w:r>
      <w:r>
        <w:t xml:space="preserve">macro-F1 rises from 0.559 on the raw labels to 0.615 (paired bootstrap +0.055, 95% CI [0.029, 0.080]). The gain</w:t>
      </w:r>
      <w:r>
        <w:t xml:space="preserve"> </w:t>
      </w:r>
      <w:r>
        <w:t xml:space="preserve">is the judge's signal rather than relabeling in itself: relabeling the same rows to a random class instead</w:t>
      </w:r>
      <w:r>
        <w:t xml:space="preserve"> </w:t>
      </w:r>
      <w:r>
        <w:t xml:space="preserve">reaches only 0.573, so the repaired-over-random margin is +0.041 (95% CI [0.018, 0.063]), and the judge</w:t>
      </w:r>
      <w:r>
        <w:t xml:space="preserve"> </w:t>
      </w:r>
      <w:r>
        <w:t xml:space="preserve">condition beats the random control on six of the seven folds. The improvement is a pooled, common-class effect</w:t>
      </w:r>
      <w:r>
        <w:t xml:space="preserve"> </w:t>
      </w:r>
      <w:r>
        <w:t xml:space="preserve">and varies by held-out city, with four of the seven cities improving; it is a pooled gain, not a uniform one.</w:t>
      </w:r>
      <w:r>
        <w:t xml:space="preserve"> </w:t>
      </w:r>
      <w:r>
        <w:t xml:space="preserve">Repairing administrative labels with the protocol therefore produces models that transfer measurably better,</w:t>
      </w:r>
      <w:r>
        <w:t xml:space="preserve"> </w:t>
      </w:r>
      <w:r>
        <w:t xml:space="preserve">and the random-relabel control shows the improvement tracks what the judges certify, not the act of changing</w:t>
      </w:r>
      <w:r>
        <w:t xml:space="preserve"> </w:t>
      </w:r>
      <w:r>
        <w:t xml:space="preserve">labels.</w:t>
      </w:r>
    </w:p>
    <w:bookmarkEnd w:id="59"/>
    <w:bookmarkEnd w:id="60"/>
    <w:bookmarkStart w:id="61" w:name="discussion"/>
    <w:p>
      <w:pPr>
        <w:pStyle w:val="Heading2"/>
      </w:pPr>
      <w:r>
        <w:t xml:space="preserve">8. Discussion</w:t>
      </w:r>
    </w:p>
    <w:p>
      <w:pPr>
        <w:pStyle w:val="FirstParagraph"/>
      </w:pPr>
      <w:r>
        <w:t xml:space="preserve">For civic-technology deployment, the result is a caution and an option. Across the seven jurisdictions</w:t>
      </w:r>
      <w:r>
        <w:t xml:space="preserve"> </w:t>
      </w:r>
      <w:r>
        <w:t xml:space="preserve">studied here, supervised transfer to an unseen city cost roughly a third of the in-domain macro-F1, driven</w:t>
      </w:r>
      <w:r>
        <w:t xml:space="preserve"> </w:t>
      </w:r>
      <w:r>
        <w:t xml:space="preserve">substantially by taxonomy mismatch rather than by the model; we do not claim a universal figure from seven</w:t>
      </w:r>
      <w:r>
        <w:t xml:space="preserve"> </w:t>
      </w:r>
      <w:r>
        <w:t xml:space="preserve">cities. GPT-4o-mini achieved the highest pooled cross-jurisdiction score, though its advantage was</w:t>
      </w:r>
      <w:r>
        <w:t xml:space="preserve"> </w:t>
      </w:r>
      <w:r>
        <w:t xml:space="preserve">heterogeneous across cities, so a zero-shot LLM with the target city's taxonomy in the prompt is a reasonable</w:t>
      </w:r>
      <w:r>
        <w:t xml:space="preserve"> </w:t>
      </w:r>
      <w:r>
        <w:t xml:space="preserve">starting point when a city lacks its own labels rather than a guaranteed winner.</w:t>
      </w:r>
    </w:p>
    <w:p>
      <w:pPr>
        <w:pStyle w:val="BodyText"/>
      </w:pPr>
      <w:r>
        <w:t xml:space="preserve">For benchmark builders, the broader lesson is that harmonizing labels across sources imports noise and</w:t>
      </w:r>
      <w:r>
        <w:t xml:space="preserve"> </w:t>
      </w:r>
      <w:r>
        <w:t xml:space="preserve">non-comparability that a single accuracy number hides; a defensibility-adjusted metric grounded in an</w:t>
      </w:r>
      <w:r>
        <w:t xml:space="preserve"> </w:t>
      </w:r>
      <w:r>
        <w:t xml:space="preserve">explicit acceptable-set judgment is a reusable correction for any administrative-text benchmark assembled</w:t>
      </w:r>
      <w:r>
        <w:t xml:space="preserve"> </w:t>
      </w:r>
      <w:r>
        <w:t xml:space="preserve">this way.</w:t>
      </w:r>
    </w:p>
    <w:bookmarkEnd w:id="61"/>
    <w:bookmarkStart w:id="62" w:name="limitations-and-scope"/>
    <w:p>
      <w:pPr>
        <w:pStyle w:val="Heading2"/>
      </w:pPr>
      <w:r>
        <w:t xml:space="preserve">9. Limitations and scope</w:t>
      </w:r>
    </w:p>
    <w:p>
      <w:pPr>
        <w:pStyle w:val="FirstParagraph"/>
      </w:pPr>
      <w:r>
        <w:t xml:space="preserve">The corpus covers seven cities, weighted toward small and mid-size municipalities where free text is openly</w:t>
      </w:r>
      <w:r>
        <w:t xml:space="preserve"> </w:t>
      </w:r>
      <w:r>
        <w:t xml:space="preserve">available, and source platform is confounded with city identity, so register shift and jurisdiction shift are</w:t>
      </w:r>
      <w:r>
        <w:t xml:space="preserve"> </w:t>
      </w:r>
      <w:r>
        <w:t xml:space="preserve">not fully separable; the same-platform Richmond and Auburn pair is the natural cell for isolating this and is</w:t>
      </w:r>
      <w:r>
        <w:t xml:space="preserve"> </w:t>
      </w:r>
      <w:r>
        <w:t xml:space="preserve">available in the corpus. San Francisco contributes only two content classes after administrative</w:t>
      </w:r>
      <w:r>
        <w:t xml:space="preserve"> </w:t>
      </w:r>
      <w:r>
        <w:t xml:space="preserve">categories are removed, so its per-city numbers are degenerate and it inflates unweighted aggregates; we</w:t>
      </w:r>
      <w:r>
        <w:t xml:space="preserve"> </w:t>
      </w:r>
      <w:r>
        <w:t xml:space="preserve">report San-Francisco-excluded variants throughout, and Honolulu (500 test requests, thirteen classes) is also</w:t>
      </w:r>
      <w:r>
        <w:t xml:space="preserve"> </w:t>
      </w:r>
      <w:r>
        <w:t xml:space="preserve">small. The harmonization is one defensible mapping among several, and its boundaries drive the confusions of</w:t>
      </w:r>
      <w:r>
        <w:t xml:space="preserve"> </w:t>
      </w:r>
      <w:r>
        <w:t xml:space="preserve">Section 7; a sensitivity analysis under an alternative mapping is future work. Labels are the cities' own</w:t>
      </w:r>
      <w:r>
        <w:t xml:space="preserve"> </w:t>
      </w:r>
      <w:r>
        <w:t xml:space="preserve">routing categories and carry the 14.2% noise the judge measures. The defensibility judgment is</w:t>
      </w:r>
      <w:r>
        <w:t xml:space="preserve"> </w:t>
      </w:r>
      <w:r>
        <w:t xml:space="preserve">LLM-adjudicated; validating a subset against multiple human annotators, with an agreement statistic, is the</w:t>
      </w:r>
      <w:r>
        <w:t xml:space="preserve"> </w:t>
      </w:r>
      <w:r>
        <w:t xml:space="preserve">next step and would ground the acceptable-set metric. We mitigate same-family bias between the judge and the</w:t>
      </w:r>
      <w:r>
        <w:t xml:space="preserve"> </w:t>
      </w:r>
      <w:r>
        <w:t xml:space="preserve">zero-shot arm by confirming the defensibility effect with an independent-family judge (Section 7), which</w:t>
      </w:r>
      <w:r>
        <w:t xml:space="preserve"> </w:t>
      </w:r>
      <w:r>
        <w:t xml:space="preserve">leaves the lenient scores nearly unchanged; a multi-annotator human study remains the definitive check. The LLM arm is a single model at temperature zero, and</w:t>
      </w:r>
      <w:r>
        <w:t xml:space="preserve"> </w:t>
      </w:r>
      <w:r>
        <w:t xml:space="preserve">the public portals may fall within its training data, though it never sees the harmonized labels paired with</w:t>
      </w:r>
      <w:r>
        <w:t xml:space="preserve"> </w:t>
      </w:r>
      <w:r>
        <w:t xml:space="preserve">text.</w:t>
      </w:r>
    </w:p>
    <w:bookmarkEnd w:id="62"/>
    <w:bookmarkStart w:id="63" w:name="ethics-and-data"/>
    <w:p>
      <w:pPr>
        <w:pStyle w:val="Heading2"/>
      </w:pPr>
      <w:r>
        <w:t xml:space="preserve">10. Ethics and data</w:t>
      </w:r>
    </w:p>
    <w:p>
      <w:pPr>
        <w:pStyle w:val="FirstParagraph"/>
      </w:pPr>
      <w:r>
        <w:t xml:space="preserve">311 requests are public records, but their free text contains personal data: street addresses,</w:t>
      </w:r>
      <w:r>
        <w:t xml:space="preserve"> </w:t>
      </w:r>
      <w:r>
        <w:t xml:space="preserve">occasional phone numbers, and sometimes names, and the Homelessness category concerns a vulnerable</w:t>
      </w:r>
      <w:r>
        <w:t xml:space="preserve"> </w:t>
      </w:r>
      <w:r>
        <w:t xml:space="preserve">population. The released corpus removes phone numbers (2,861 spans) and email addresses (726); street</w:t>
      </w:r>
      <w:r>
        <w:t xml:space="preserve"> </w:t>
      </w:r>
      <w:r>
        <w:t xml:space="preserve">addresses are retained, because they are intrinsic to a service request and are already public in the source</w:t>
      </w:r>
      <w:r>
        <w:t xml:space="preserve"> </w:t>
      </w:r>
      <w:r>
        <w:t xml:space="preserve">portals. Names are not systematically removed, which we flag as a residual-PII risk to be addressed before</w:t>
      </w:r>
      <w:r>
        <w:t xml:space="preserve"> </w:t>
      </w:r>
      <w:r>
        <w:t xml:space="preserve">wide redistribution. The reporting cities' open-data licenses are listed per source, and we distribute</w:t>
      </w:r>
      <w:r>
        <w:t xml:space="preserve"> </w:t>
      </w:r>
      <w:r>
        <w:t xml:space="preserve">derived, harmonized text for research use rather than a re-identifiable master record. We discourage using this benchmark for individual-level surveillance or</w:t>
      </w:r>
      <w:r>
        <w:t xml:space="preserve"> </w:t>
      </w:r>
      <w:r>
        <w:t xml:space="preserve">enforcement targeting.</w:t>
      </w:r>
    </w:p>
    <w:bookmarkEnd w:id="63"/>
    <w:bookmarkStart w:id="65" w:name="reproducibility"/>
    <w:p>
      <w:pPr>
        <w:pStyle w:val="Heading2"/>
      </w:pPr>
      <w:r>
        <w:t xml:space="preserve">11. Reproducibility</w:t>
      </w:r>
    </w:p>
    <w:p>
      <w:pPr>
        <w:pStyle w:val="FirstParagraph"/>
      </w:pPr>
      <w:r>
        <w:t xml:space="preserve">The code, the harmonized data, the mapping file, the frozen split, the per-example predictions for every</w:t>
      </w:r>
      <w:r>
        <w:t xml:space="preserve"> </w:t>
      </w:r>
      <w:r>
        <w:t xml:space="preserve">arm, the acceptable-set judgments, and the scored results with confidence intervals are all released at</w:t>
      </w:r>
      <w:r>
        <w:t xml:space="preserve"> </w:t>
      </w:r>
      <w:hyperlink r:id="rId21">
        <w:r>
          <w:rPr>
            <w:rStyle w:val="Hyperlink"/>
          </w:rPr>
          <w:t xml:space="preserve">github.com/ApartsinProjects/311</w:t>
        </w:r>
      </w:hyperlink>
      <w:r>
        <w:t xml:space="preserve">. The pipeline runs as</w:t>
      </w:r>
      <w:r>
        <w:t xml:space="preserve"> </w:t>
      </w:r>
      <w:r>
        <w:rPr>
          <w:rStyle w:val="VerbatimChar"/>
        </w:rPr>
        <w:t xml:space="preserve">collect_311.py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harmonize.py</w:t>
      </w:r>
      <w:r>
        <w:t xml:space="preserve">, the informativeness filter</w:t>
      </w:r>
      <w:r>
        <w:t xml:space="preserve"> </w:t>
      </w:r>
      <w:r>
        <w:rPr>
          <w:rStyle w:val="VerbatimChar"/>
        </w:rPr>
        <w:t xml:space="preserve">filter_labels.py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make_split.py</w:t>
      </w:r>
      <w:r>
        <w:t xml:space="preserve">, the three evaluation arms, the acceptable-set judge</w:t>
      </w:r>
      <w:r>
        <w:t xml:space="preserve"> </w:t>
      </w:r>
      <w:r>
        <w:rPr>
          <w:rStyle w:val="VerbatimChar"/>
        </w:rPr>
        <w:t xml:space="preserve">defensibility_judge.py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score_aligned.py</w:t>
      </w:r>
      <w:r>
        <w:t xml:space="preserve">. Together these regenerate every number</w:t>
      </w:r>
      <w:r>
        <w:t xml:space="preserve"> </w:t>
      </w:r>
      <w:r>
        <w:t xml:space="preserve">in this paper, including the confidence intervals, the defensibility-adjusted scores, and the text-label</w:t>
      </w:r>
      <w:r>
        <w:t xml:space="preserve"> </w:t>
      </w:r>
      <w:r>
        <w:t xml:space="preserve">mismatch rates, from the released artifacts. A</w:t>
      </w:r>
      <w:r>
        <w:t xml:space="preserve"> </w:t>
      </w:r>
      <w:hyperlink r:id="rId64">
        <w:r>
          <w:rPr>
            <w:rStyle w:val="Hyperlink"/>
          </w:rPr>
          <w:t xml:space="preserve">datasheet for the dataset</w:t>
        </w:r>
      </w:hyperlink>
      <w:r>
        <w:t xml:space="preserve"> </w:t>
      </w:r>
      <w:r>
        <w:t xml:space="preserve">(Gebru</w:t>
      </w:r>
      <w:r>
        <w:t xml:space="preserve"> </w:t>
      </w:r>
      <w:r>
        <w:t xml:space="preserve">et al.) accompanies the release.</w:t>
      </w:r>
    </w:p>
    <w:bookmarkEnd w:id="65"/>
    <w:bookmarkStart w:id="91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Benchmarks built from administrative labels measure two things at once: how well a model reads text, and how</w:t>
      </w:r>
      <w:r>
        <w:t xml:space="preserve"> </w:t>
      </w:r>
      <w:r>
        <w:t xml:space="preserve">well an institution's recorded category matches that text. We introduced a defensibility protocol, two blind</w:t>
      </w:r>
      <w:r>
        <w:t xml:space="preserve"> </w:t>
      </w:r>
      <w:r>
        <w:t xml:space="preserve">cross-family LLM judges with discriminant floors and a corpus-audit loop, that separates the two, and we</w:t>
      </w:r>
      <w:r>
        <w:t xml:space="preserve"> </w:t>
      </w:r>
      <w:r>
        <w:t xml:space="preserve">instantiated it on MC311, the first public multi-city free-text 311 benchmark. On MC311 the protocol shows that</w:t>
      </w:r>
      <w:r>
        <w:t xml:space="preserve"> </w:t>
      </w:r>
      <w:r>
        <w:t xml:space="preserve">most of the apparent cross-jurisdiction gap is defensible-label disagreement rather than model failure, that the</w:t>
      </w:r>
      <w:r>
        <w:t xml:space="preserve"> </w:t>
      </w:r>
      <w:r>
        <w:t xml:space="preserve">a significant gap between the two strongest models vanishes under the defensibility-adjusted metric, that annotator ambiguity and model</w:t>
      </w:r>
      <w:r>
        <w:t xml:space="preserve"> </w:t>
      </w:r>
      <w:r>
        <w:t xml:space="preserve">confusion fall on the same class boundaries (Spearman 0.75), and that relabeling judge-rejected training rows</w:t>
      </w:r>
      <w:r>
        <w:t xml:space="preserve"> </w:t>
      </w:r>
      <w:r>
        <w:t xml:space="preserve">improves pooled cross-jurisdiction transfer over both the raw labels and a random-relabel control. Run as an</w:t>
      </w:r>
      <w:r>
        <w:t xml:space="preserve"> </w:t>
      </w:r>
      <w:r>
        <w:t xml:space="preserve">audit, it located five real mapping errors in the corpus. The benchmark, its harmonization, and the protocol are released so that any</w:t>
      </w:r>
      <w:r>
        <w:t xml:space="preserve"> </w:t>
      </w:r>
      <w:r>
        <w:t xml:space="preserve">administrative-label benchmark can measure the distance between its labels and its text.</w:t>
      </w:r>
    </w:p>
    <w:p>
      <w:r>
        <w:pict>
          <v:rect style="width:0;height:1.5pt" o:hralign="center" o:hrstd="t" o:hr="t"/>
        </w:pict>
      </w:r>
    </w:p>
    <w:bookmarkStart w:id="90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bookmarkStart w:id="66" w:name="r1"/>
      <w:r>
        <w:t xml:space="preserve">Hashemi, M. (2022). Automatic Type Detection of 311 Service Requests Based on Customer Provided Descriptions.</w:t>
      </w:r>
      <w:r>
        <w:t xml:space="preserve"> </w:t>
      </w:r>
      <w:r>
        <w:rPr>
          <w:i/>
          <w:iCs/>
        </w:rPr>
        <w:t xml:space="preserve">Applied Artificial Intelligence</w:t>
      </w:r>
      <w:r>
        <w:t xml:space="preserve">, 36(1). doi:10.1080/08839514.2022.2073717.</w:t>
      </w:r>
      <w:bookmarkEnd w:id="66"/>
    </w:p>
    <w:p>
      <w:pPr>
        <w:pStyle w:val="Compact"/>
        <w:numPr>
          <w:ilvl w:val="0"/>
          <w:numId w:val="1002"/>
        </w:numPr>
      </w:pPr>
      <w:bookmarkStart w:id="67" w:name="r2"/>
      <w:r>
        <w:t xml:space="preserve">Wang, L., Qian, C., Kats, P., Kontokosta, C., &amp; Sobolevsky, S. (2017). Structure of 311 Service Requests as a Signature of Urban Location.</w:t>
      </w:r>
      <w:r>
        <w:t xml:space="preserve"> </w:t>
      </w:r>
      <w:r>
        <w:rPr>
          <w:i/>
          <w:iCs/>
        </w:rPr>
        <w:t xml:space="preserve">PLOS ONE</w:t>
      </w:r>
      <w:r>
        <w:t xml:space="preserve">, 12(10):e0186314.</w:t>
      </w:r>
      <w:bookmarkEnd w:id="67"/>
    </w:p>
    <w:p>
      <w:pPr>
        <w:pStyle w:val="Compact"/>
        <w:numPr>
          <w:ilvl w:val="0"/>
          <w:numId w:val="1002"/>
        </w:numPr>
      </w:pPr>
      <w:bookmarkStart w:id="68" w:name="r3"/>
      <w:r>
        <w:t xml:space="preserve">Sukel, M., Rudinac, S., &amp; Worring, M. (2019). Multimodal Classification of Urban Micro-Events. arXiv:1904.13349.</w:t>
      </w:r>
      <w:bookmarkEnd w:id="68"/>
    </w:p>
    <w:p>
      <w:pPr>
        <w:pStyle w:val="Compact"/>
        <w:numPr>
          <w:ilvl w:val="0"/>
          <w:numId w:val="1002"/>
        </w:numPr>
      </w:pPr>
      <w:bookmarkStart w:id="69" w:name="r4"/>
      <w:r>
        <w:t xml:space="preserve">Masdeval, C., &amp; Veloso, A. (2015). Mining citizen emotions to estimate the urgency of urban issues.</w:t>
      </w:r>
      <w:r>
        <w:t xml:space="preserve"> </w:t>
      </w:r>
      <w:r>
        <w:rPr>
          <w:i/>
          <w:iCs/>
        </w:rPr>
        <w:t xml:space="preserve">Information Systems</w:t>
      </w:r>
      <w:r>
        <w:t xml:space="preserve">, 54, 147-155.</w:t>
      </w:r>
      <w:bookmarkEnd w:id="69"/>
    </w:p>
    <w:p>
      <w:pPr>
        <w:pStyle w:val="Compact"/>
        <w:numPr>
          <w:ilvl w:val="0"/>
          <w:numId w:val="1002"/>
        </w:numPr>
      </w:pPr>
      <w:bookmarkStart w:id="70" w:name="r5"/>
      <w:r>
        <w:t xml:space="preserve">Wang, J., Lan, C., Liu, C., et al. (2023). Generalizing to Unseen Domains: A Survey on Domain Generalization.</w:t>
      </w:r>
      <w:r>
        <w:t xml:space="preserve"> </w:t>
      </w:r>
      <w:r>
        <w:rPr>
          <w:i/>
          <w:iCs/>
        </w:rPr>
        <w:t xml:space="preserve">IEEE TKDE</w:t>
      </w:r>
      <w:r>
        <w:t xml:space="preserve"> </w:t>
      </w:r>
      <w:r>
        <w:t xml:space="preserve">(arXiv:2103.03097).</w:t>
      </w:r>
      <w:bookmarkEnd w:id="70"/>
    </w:p>
    <w:p>
      <w:pPr>
        <w:pStyle w:val="Compact"/>
        <w:numPr>
          <w:ilvl w:val="0"/>
          <w:numId w:val="1002"/>
        </w:numPr>
      </w:pPr>
      <w:bookmarkStart w:id="71" w:name="r6"/>
      <w:r>
        <w:t xml:space="preserve">Yuan, X., et al. (2023). Out-of-Distribution Generalization in Text Classification: Past, Present, and Future. arXiv:2305.14104.</w:t>
      </w:r>
      <w:bookmarkEnd w:id="71"/>
    </w:p>
    <w:p>
      <w:pPr>
        <w:pStyle w:val="Compact"/>
        <w:numPr>
          <w:ilvl w:val="0"/>
          <w:numId w:val="1002"/>
        </w:numPr>
      </w:pPr>
      <w:bookmarkStart w:id="72" w:name="r7"/>
      <w:r>
        <w:t xml:space="preserve">Northcutt, C. G., Athalye, A., &amp; Mueller, J. (2021). Pervasive Label Errors in Test Sets Destabilize Machine Learning Benchmarks.</w:t>
      </w:r>
      <w:r>
        <w:t xml:space="preserve"> </w:t>
      </w:r>
      <w:r>
        <w:rPr>
          <w:i/>
          <w:iCs/>
        </w:rPr>
        <w:t xml:space="preserve">NeurIPS Datasets &amp; Benchmarks</w:t>
      </w:r>
      <w:r>
        <w:t xml:space="preserve"> </w:t>
      </w:r>
      <w:r>
        <w:t xml:space="preserve">(arXiv:2103.14749).</w:t>
      </w:r>
      <w:bookmarkEnd w:id="72"/>
    </w:p>
    <w:p>
      <w:pPr>
        <w:pStyle w:val="Compact"/>
        <w:numPr>
          <w:ilvl w:val="0"/>
          <w:numId w:val="1002"/>
        </w:numPr>
      </w:pPr>
      <w:bookmarkStart w:id="73" w:name="r8"/>
      <w:r>
        <w:t xml:space="preserve">Gururangan, S., Swayamdipta, S., Levy, O., Schwartz, R., Bowman, S., &amp; Smith, N. A. (2018). Annotation Artifacts in Natural Language Inference Data.</w:t>
      </w:r>
      <w:r>
        <w:t xml:space="preserve"> </w:t>
      </w:r>
      <w:r>
        <w:rPr>
          <w:i/>
          <w:iCs/>
        </w:rPr>
        <w:t xml:space="preserve">NAACL</w:t>
      </w:r>
      <w:r>
        <w:t xml:space="preserve"> </w:t>
      </w:r>
      <w:r>
        <w:t xml:space="preserve">(arXiv:1803.02324).</w:t>
      </w:r>
      <w:bookmarkEnd w:id="73"/>
    </w:p>
    <w:p>
      <w:pPr>
        <w:pStyle w:val="Compact"/>
        <w:numPr>
          <w:ilvl w:val="0"/>
          <w:numId w:val="1002"/>
        </w:numPr>
      </w:pPr>
      <w:bookmarkStart w:id="74" w:name="r9"/>
      <w:r>
        <w:t xml:space="preserve">Raji, I. D., Bender, E. M., Paullada, A., Denton, E., &amp; Hanna, A. (2021). AI and the Everything in the Whole Wide World Benchmark.</w:t>
      </w:r>
      <w:r>
        <w:t xml:space="preserve"> </w:t>
      </w:r>
      <w:r>
        <w:rPr>
          <w:i/>
          <w:iCs/>
        </w:rPr>
        <w:t xml:space="preserve">NeurIPS Datasets &amp; Benchmarks</w:t>
      </w:r>
      <w:r>
        <w:t xml:space="preserve"> </w:t>
      </w:r>
      <w:r>
        <w:t xml:space="preserve">(arXiv:2111.15366).</w:t>
      </w:r>
      <w:bookmarkEnd w:id="74"/>
    </w:p>
    <w:p>
      <w:pPr>
        <w:pStyle w:val="Compact"/>
        <w:numPr>
          <w:ilvl w:val="0"/>
          <w:numId w:val="1002"/>
        </w:numPr>
      </w:pPr>
      <w:bookmarkStart w:id="75" w:name="r10"/>
      <w:r>
        <w:t xml:space="preserve">Schierholz, M., &amp; Schonlau, M. (2023). Automated occupation coding with hierarchical features.</w:t>
      </w:r>
      <w:r>
        <w:t xml:space="preserve"> </w:t>
      </w:r>
      <w:r>
        <w:rPr>
          <w:i/>
          <w:iCs/>
        </w:rPr>
        <w:t xml:space="preserve">Discover Artificial Intelligence</w:t>
      </w:r>
      <w:r>
        <w:t xml:space="preserve">.</w:t>
      </w:r>
      <w:bookmarkEnd w:id="75"/>
    </w:p>
    <w:p>
      <w:pPr>
        <w:pStyle w:val="Compact"/>
        <w:numPr>
          <w:ilvl w:val="0"/>
          <w:numId w:val="1002"/>
        </w:numPr>
      </w:pPr>
      <w:bookmarkStart w:id="76" w:name="r11"/>
      <w:r>
        <w:t xml:space="preserve">Yin, W., Hay, J., &amp; Roth, D. (2019). Benchmarking Zero-shot Text Classification: Datasets, Evaluation and Entailment Approach.</w:t>
      </w:r>
      <w:r>
        <w:t xml:space="preserve"> </w:t>
      </w:r>
      <w:r>
        <w:rPr>
          <w:i/>
          <w:iCs/>
        </w:rPr>
        <w:t xml:space="preserve">EMNLP-IJCNLP</w:t>
      </w:r>
      <w:r>
        <w:t xml:space="preserve"> </w:t>
      </w:r>
      <w:r>
        <w:t xml:space="preserve">(arXiv:1909.00161).</w:t>
      </w:r>
      <w:bookmarkEnd w:id="76"/>
    </w:p>
    <w:p>
      <w:pPr>
        <w:pStyle w:val="Compact"/>
        <w:numPr>
          <w:ilvl w:val="0"/>
          <w:numId w:val="1002"/>
        </w:numPr>
      </w:pPr>
      <w:bookmarkStart w:id="77" w:name="r12"/>
      <w:r>
        <w:t xml:space="preserve">Bucher, M. J. J., &amp; Martini, M. (2024). Fine-Tuned "Small" LLMs (Still) Significantly Outperform Zero-Shot Generative AI Models in Text Classification. arXiv:2406.08660.</w:t>
      </w:r>
      <w:bookmarkEnd w:id="77"/>
    </w:p>
    <w:p>
      <w:pPr>
        <w:pStyle w:val="Compact"/>
        <w:numPr>
          <w:ilvl w:val="0"/>
          <w:numId w:val="1002"/>
        </w:numPr>
      </w:pPr>
      <w:bookmarkStart w:id="78" w:name="r13"/>
      <w:r>
        <w:t xml:space="preserve">Kontokosta, C. E., &amp; Hong, B. (2017). Equity in 311 Reporting: Socio-Spatial Differentials in the Propensity to Complain. arXiv:1710.02452.</w:t>
      </w:r>
      <w:bookmarkEnd w:id="78"/>
    </w:p>
    <w:p>
      <w:pPr>
        <w:pStyle w:val="Compact"/>
        <w:numPr>
          <w:ilvl w:val="0"/>
          <w:numId w:val="1002"/>
        </w:numPr>
      </w:pPr>
      <w:bookmarkStart w:id="79" w:name="r14"/>
      <w:r>
        <w:t xml:space="preserve">Ramponi, A., &amp; Plank, B. (2020). Neural Unsupervised Domain Adaptation in NLP: A Survey.</w:t>
      </w:r>
      <w:r>
        <w:t xml:space="preserve"> </w:t>
      </w:r>
      <w:r>
        <w:rPr>
          <w:i/>
          <w:iCs/>
        </w:rPr>
        <w:t xml:space="preserve">COLING</w:t>
      </w:r>
      <w:r>
        <w:t xml:space="preserve">. aclanthology.org/2020.coling-main.603.</w:t>
      </w:r>
      <w:bookmarkEnd w:id="79"/>
    </w:p>
    <w:p>
      <w:pPr>
        <w:pStyle w:val="Compact"/>
        <w:numPr>
          <w:ilvl w:val="0"/>
          <w:numId w:val="1002"/>
        </w:numPr>
      </w:pPr>
      <w:bookmarkStart w:id="80" w:name="r15"/>
      <w:r>
        <w:t xml:space="preserve">Plank, B. (2022). The "Problem" of Human Label Variation: On Ground Truth in Data, Modeling and Evaluation.</w:t>
      </w:r>
      <w:r>
        <w:t xml:space="preserve"> </w:t>
      </w:r>
      <w:r>
        <w:rPr>
          <w:i/>
          <w:iCs/>
        </w:rPr>
        <w:t xml:space="preserve">EMNLP</w:t>
      </w:r>
      <w:r>
        <w:t xml:space="preserve">. arXiv:2211.02570.</w:t>
      </w:r>
      <w:bookmarkEnd w:id="80"/>
    </w:p>
    <w:p>
      <w:pPr>
        <w:pStyle w:val="Compact"/>
        <w:numPr>
          <w:ilvl w:val="0"/>
          <w:numId w:val="1002"/>
        </w:numPr>
      </w:pPr>
      <w:bookmarkStart w:id="81" w:name="r16"/>
      <w:r>
        <w:t xml:space="preserve">Uma, A., Fornaciari, T., Hovy, D., Paun, S., Plank, B., &amp; Poesio, M. (2021). Learning from Disagreement: A Survey.</w:t>
      </w:r>
      <w:r>
        <w:t xml:space="preserve"> </w:t>
      </w:r>
      <w:r>
        <w:rPr>
          <w:i/>
          <w:iCs/>
        </w:rPr>
        <w:t xml:space="preserve">JAIR</w:t>
      </w:r>
      <w:r>
        <w:t xml:space="preserve">, 72, 1385-1470.</w:t>
      </w:r>
      <w:bookmarkEnd w:id="81"/>
    </w:p>
    <w:p>
      <w:pPr>
        <w:pStyle w:val="Compact"/>
        <w:numPr>
          <w:ilvl w:val="0"/>
          <w:numId w:val="1002"/>
        </w:numPr>
      </w:pPr>
      <w:bookmarkStart w:id="82" w:name="r17"/>
      <w:r>
        <w:t xml:space="preserve">Leonardelli, E., et al. (2023). SemEval-2023 Task 11: Learning with Disagreements (LeWiDi).</w:t>
      </w:r>
      <w:r>
        <w:t xml:space="preserve"> </w:t>
      </w:r>
      <w:r>
        <w:rPr>
          <w:i/>
          <w:iCs/>
        </w:rPr>
        <w:t xml:space="preserve">SemEval</w:t>
      </w:r>
      <w:r>
        <w:t xml:space="preserve">. arXiv:2304.14803.</w:t>
      </w:r>
      <w:bookmarkEnd w:id="82"/>
    </w:p>
    <w:p>
      <w:pPr>
        <w:pStyle w:val="Compact"/>
        <w:numPr>
          <w:ilvl w:val="0"/>
          <w:numId w:val="1002"/>
        </w:numPr>
      </w:pPr>
      <w:bookmarkStart w:id="83" w:name="r18"/>
      <w:r>
        <w:t xml:space="preserve">Nalchigar, S., &amp; Fox, M. S. (2017). Achieving Interoperability of Smart City Data: An Analysis of 311 Data.</w:t>
      </w:r>
      <w:r>
        <w:t xml:space="preserve"> </w:t>
      </w:r>
      <w:r>
        <w:rPr>
          <w:i/>
          <w:iCs/>
        </w:rPr>
        <w:t xml:space="preserve">Journal of Smart Cities</w:t>
      </w:r>
      <w:r>
        <w:t xml:space="preserve">, 3(1).</w:t>
      </w:r>
      <w:bookmarkEnd w:id="83"/>
    </w:p>
    <w:p>
      <w:pPr>
        <w:pStyle w:val="Compact"/>
        <w:numPr>
          <w:ilvl w:val="0"/>
          <w:numId w:val="1002"/>
        </w:numPr>
      </w:pPr>
      <w:bookmarkStart w:id="84" w:name="r19"/>
      <w:r>
        <w:t xml:space="preserve">Mullenbach, J., Wiegreffe, S., Duke, J., Sun, J., &amp; Eisenstein, J. (2018). Explainable Prediction of Medical Codes from Clinical Text.</w:t>
      </w:r>
      <w:r>
        <w:t xml:space="preserve"> </w:t>
      </w:r>
      <w:r>
        <w:rPr>
          <w:i/>
          <w:iCs/>
        </w:rPr>
        <w:t xml:space="preserve">NAACL-HLT</w:t>
      </w:r>
      <w:r>
        <w:t xml:space="preserve">. arXiv:1802.05695.</w:t>
      </w:r>
      <w:bookmarkEnd w:id="84"/>
    </w:p>
    <w:p>
      <w:pPr>
        <w:pStyle w:val="Compact"/>
        <w:numPr>
          <w:ilvl w:val="0"/>
          <w:numId w:val="1002"/>
        </w:numPr>
      </w:pPr>
      <w:bookmarkStart w:id="85" w:name="r20"/>
      <w:r>
        <w:t xml:space="preserve">Gweon, H., Schonlau, M., Kaczmirek, L., Blohm, M., &amp; Steiner, S. (2017). Three Methods for Occupation Coding Based on Statistical Learning.</w:t>
      </w:r>
      <w:r>
        <w:t xml:space="preserve"> </w:t>
      </w:r>
      <w:r>
        <w:rPr>
          <w:i/>
          <w:iCs/>
        </w:rPr>
        <w:t xml:space="preserve">Journal of Official Statistics</w:t>
      </w:r>
      <w:r>
        <w:t xml:space="preserve">, 33(1), 101-122.</w:t>
      </w:r>
      <w:bookmarkEnd w:id="85"/>
    </w:p>
    <w:p>
      <w:pPr>
        <w:pStyle w:val="Compact"/>
        <w:numPr>
          <w:ilvl w:val="0"/>
          <w:numId w:val="1002"/>
        </w:numPr>
      </w:pPr>
      <w:bookmarkStart w:id="86" w:name="r21"/>
      <w:r>
        <w:t xml:space="preserve">Gulrajani, I., &amp; Lopez-Paz, D. (2021). In Search of Lost Domain Generalization.</w:t>
      </w:r>
      <w:r>
        <w:t xml:space="preserve"> </w:t>
      </w:r>
      <w:r>
        <w:rPr>
          <w:i/>
          <w:iCs/>
        </w:rPr>
        <w:t xml:space="preserve">ICLR</w:t>
      </w:r>
      <w:r>
        <w:t xml:space="preserve">. arXiv:2007.01434.</w:t>
      </w:r>
      <w:bookmarkEnd w:id="86"/>
    </w:p>
    <w:p>
      <w:pPr>
        <w:pStyle w:val="Compact"/>
        <w:numPr>
          <w:ilvl w:val="0"/>
          <w:numId w:val="1002"/>
        </w:numPr>
      </w:pPr>
      <w:bookmarkStart w:id="87" w:name="r22"/>
      <w:r>
        <w:t xml:space="preserve">Mueller, A., Krone, J., Romeo, S., Mansour, S., Mansimov, E., Zhang, Y., &amp; Roth, D. (2022). Label Semantic Aware Pre-training for Few-shot Text Classification.</w:t>
      </w:r>
      <w:r>
        <w:t xml:space="preserve"> </w:t>
      </w:r>
      <w:r>
        <w:rPr>
          <w:i/>
          <w:iCs/>
        </w:rPr>
        <w:t xml:space="preserve">ACL</w:t>
      </w:r>
      <w:r>
        <w:t xml:space="preserve">. arXiv:2204.07128.</w:t>
      </w:r>
      <w:bookmarkEnd w:id="87"/>
    </w:p>
    <w:p>
      <w:pPr>
        <w:pStyle w:val="Compact"/>
        <w:numPr>
          <w:ilvl w:val="0"/>
          <w:numId w:val="1002"/>
        </w:numPr>
      </w:pPr>
      <w:bookmarkStart w:id="88" w:name="r23"/>
      <w:r>
        <w:t xml:space="preserve">Aroyo, L., &amp; Welty, C. (2015). Truth Is a Lie: Crowd Truth and the Seven Myths of Human Annotation.</w:t>
      </w:r>
      <w:r>
        <w:t xml:space="preserve"> </w:t>
      </w:r>
      <w:r>
        <w:rPr>
          <w:i/>
          <w:iCs/>
        </w:rPr>
        <w:t xml:space="preserve">AI Magazine</w:t>
      </w:r>
      <w:r>
        <w:t xml:space="preserve">, 36(1), 15-24.</w:t>
      </w:r>
      <w:bookmarkEnd w:id="88"/>
    </w:p>
    <w:p>
      <w:pPr>
        <w:pStyle w:val="Compact"/>
        <w:numPr>
          <w:ilvl w:val="0"/>
          <w:numId w:val="1002"/>
        </w:numPr>
      </w:pPr>
      <w:bookmarkStart w:id="89" w:name="r24"/>
      <w:r>
        <w:t xml:space="preserve">White, A., &amp; Trump, K. S. (2018). The Promises and Pitfalls of 311 Data.</w:t>
      </w:r>
      <w:r>
        <w:t xml:space="preserve"> </w:t>
      </w:r>
      <w:r>
        <w:rPr>
          <w:i/>
          <w:iCs/>
        </w:rPr>
        <w:t xml:space="preserve">Urban Affairs Review</w:t>
      </w:r>
      <w:r>
        <w:t xml:space="preserve">, 54(4), 794-823.</w:t>
      </w:r>
      <w:bookmarkEnd w:id="89"/>
    </w:p>
    <w:p>
      <w:pPr>
        <w:pStyle w:val="FirstParagraph"/>
      </w:pPr>
      <w:r>
        <w:t xml:space="preserve">Working paper. Every reported number is regenerated from the released predictions and</w:t>
      </w:r>
      <w:r>
        <w:t xml:space="preserve"> </w:t>
      </w:r>
      <w:r>
        <w:t xml:space="preserve">judgments by</w:t>
      </w:r>
      <w:r>
        <w:t xml:space="preserve"> </w:t>
      </w:r>
      <w:r>
        <w:rPr>
          <w:rStyle w:val="VerbatimChar"/>
        </w:rPr>
        <w:t xml:space="preserve">score_aligned.py</w:t>
      </w:r>
      <w:r>
        <w:t xml:space="preserve"> </w:t>
      </w:r>
      <w:r>
        <w:t xml:space="preserve">and the collection scripts. All references validated with</w:t>
      </w:r>
      <w:r>
        <w:t xml:space="preserve"> </w:t>
      </w:r>
      <w:r>
        <w:t xml:space="preserve">Crossref, OpenAlex, and arXiv.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hAnsi="Georgia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6" Type="http://schemas.openxmlformats.org/officeDocument/2006/relationships/image" Target="media/rId56.png"/><Relationship Id="rId30" Type="http://schemas.openxmlformats.org/officeDocument/2006/relationships/image" Target="media/rId30.png"/><Relationship Id="rId53" Type="http://schemas.openxmlformats.org/officeDocument/2006/relationships/image" Target="media/rId53.png"/><Relationship Id="rId45" Type="http://schemas.openxmlformats.org/officeDocument/2006/relationships/image" Target="media/rId45.png"/><Relationship Id="rId37" Type="http://schemas.openxmlformats.org/officeDocument/2006/relationships/image" Target="media/rId37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64" Type="http://schemas.openxmlformats.org/officeDocument/2006/relationships/hyperlink" Target="datasheet.html" TargetMode="External"/><Relationship Id="rId21" Type="http://schemas.openxmlformats.org/officeDocument/2006/relationships/hyperlink" Target="https://github.com/ApartsinProjects/311" TargetMode="External"/><Relationship Id="rId20" Type="http://schemas.openxmlformats.org/officeDocument/2006/relationships/hyperlink" Target="paper.docx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datasheet.html" TargetMode="External"/><Relationship Id="rId21" Type="http://schemas.openxmlformats.org/officeDocument/2006/relationships/hyperlink" Target="https://github.com/ApartsinProjects/311" TargetMode="External"/><Relationship Id="rId20" Type="http://schemas.openxmlformats.org/officeDocument/2006/relationships/hyperlink" Target="pape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MC311: Administrative Labels Are Not Ground Truth for Cross-Jurisdiction 311 Classification</dc:title>
  <dc:creator/>
  <dc:language>en</dc:language>
  <cp:keywords/>
  <dcterms:created xsi:type="dcterms:W3CDTF">2026-09-01T06:53:27Z</dcterms:created>
  <dcterms:modified xsi:type="dcterms:W3CDTF">2026-09-01T06:53:27Z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