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Stripping the glosses</w:t>
      </w:r>
      <w:r>
        <w:t xml:space="preserve"> </w:t>
      </w:r>
      <w:r>
        <w:t xml:space="preserve">to label names alone does not hurt and slightly helps (0.700, near gpt-4o), so the signal is carried by the</w:t>
      </w:r>
      <w:r>
        <w:t xml:space="preserve"> </w:t>
      </w:r>
      <w:r>
        <w:t xml:space="preserve">class names themselves rather than the descriptions. The advantage therefore comes from the target-label</w:t>
      </w:r>
      <w:r>
        <w:t xml:space="preserve"> </w:t>
      </w:r>
      <w:r>
        <w:t xml:space="preserve">semantics that the taxonomy places in the prompt, largely captured by the class names, rather than from richer</w:t>
      </w:r>
      <w:r>
        <w:t xml:space="preserve"> </w:t>
      </w:r>
      <w:r>
        <w:t xml:space="preserve">descriptions, few-shot demonstrations, or model scale alone. As a pipeline check, running gpt-4o-mini through</w:t>
      </w:r>
      <w:r>
        <w:t xml:space="preserve"> </w:t>
      </w:r>
      <w:r>
        <w:t xml:space="preserve">the batch 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the four cities that carry timestamps, training on the earliest 80% of requests and testing on the latest</w:t>
      </w:r>
      <w:r>
        <w:t xml:space="preserve"> </w:t>
      </w:r>
      <w:r>
        <w:t xml:space="preserve">20% yields in-city macro-F1 within 0.01 of a random split on average (0.753 versus 0.764), so random splitting</w:t>
      </w:r>
      <w:r>
        <w:t xml:space="preserve"> </w:t>
      </w:r>
      <w:r>
        <w:t xml:space="preserve">does not materially inflate in-city performance; the remaining three cities lack usable timestamps, a</w:t>
      </w:r>
      <w:r>
        <w:t xml:space="preserve"> </w:t>
      </w:r>
      <w:r>
        <w:t xml:space="preserve">limitation of the collection.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0.558).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  <w:jc w:val="both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  <w:jc w:val="both"/>
      </w:pPr>
      <w:r>
        <w:t xml:space="preserve">Across the 42 city pairs, transfer difficulty is predicted by distributional distance rather than channel.</w:t>
      </w:r>
      <w:r>
        <w:t xml:space="preserve"> </w:t>
      </w:r>
      <w:r>
        <w:t xml:space="preserve">Single-source transfer correlates strongly and negatively with vocabulary divergence between the two cities</w:t>
      </w:r>
      <w:r>
        <w:t xml:space="preserve"> </w:t>
      </w:r>
      <w:r>
        <w:t xml:space="preserve">(Spearman ρ = −0.83) and with class-distribution divergence (ρ = −0.70, both p &lt; 0.001),</w:t>
      </w:r>
      <w:r>
        <w:t xml:space="preserve"> </w:t>
      </w:r>
      <w:r>
        <w:t xml:space="preserve">and not significantly with text-length difference or shared platform. Cross-jurisdiction degradation therefore</w:t>
      </w:r>
      <w:r>
        <w:t xml:space="preserve"> </w:t>
      </w:r>
      <w:r>
        <w:t xml:space="preserve">tracks lexical and label-distribution shift between cities, which a shared taxonomy 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2026-08-30T10:47:57Z</dcterms:created>
  <dcterms:modified xsi:type="dcterms:W3CDTF">2026-08-30T10:47:57Z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