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e4a09554b6d7391971fc39a094d1fcd89a90d67"/>
    <w:p>
      <w:pPr>
        <w:pStyle w:val="Heading1"/>
      </w:pPr>
      <w:r>
        <w:t xml:space="preserve">MC311: A Multi-City Free-Text Benchmark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multi-city free-text 311 benchmark</w:t>
      </w:r>
      <w:r>
        <w:t xml:space="preserve"> </w:t>
      </w:r>
      <w:r>
        <w:t xml:space="preserve">exists. We build MC311, to our knowledge the first public 311 free-text benchmark spanning more than two US</w:t>
      </w:r>
      <w:r>
        <w:t xml:space="preserve"> </w:t>
      </w:r>
      <w:r>
        <w:t xml:space="preserve">cities: about 156,000 citizen narratives from seven cities, with each city's native taxonomy (545 native</w:t>
      </w:r>
      <w:r>
        <w:t xml:space="preserve"> </w:t>
      </w:r>
      <w:r>
        <w:t xml:space="preserve">categories) mapped into a shared 14-class civic ontology through an auditable rule set. Every model is scored on</w:t>
      </w:r>
      <w:r>
        <w:t xml:space="preserve"> </w:t>
      </w:r>
      <w:r>
        <w:t xml:space="preserve">one frozen test set of 3,502 requests. Crossing a</w:t>
      </w:r>
      <w:r>
        <w:t xml:space="preserve"> </w:t>
      </w:r>
      <w:r>
        <w:t xml:space="preserve">city boundary costs roughly a third of pooled macro-F1: fine-tuned DistilBERT drops from 0.827 in-city to 0.558</w:t>
      </w:r>
      <w:r>
        <w:t xml:space="preserve"> </w:t>
      </w:r>
      <w:r>
        <w:t xml:space="preserve">across cities (95% CI [0.54, 0.58]), while a language model prompted zero-shot with the taxonomy reaches 0.654,</w:t>
      </w:r>
      <w:r>
        <w:t xml:space="preserve"> </w:t>
      </w:r>
      <w:r>
        <w:t xml:space="preserve">significantly above both trained models. We then ask what this gap measures. Much of it is defensible: an LLM</w:t>
      </w:r>
      <w:r>
        <w:t xml:space="preserve"> </w:t>
      </w:r>
      <w:r>
        <w:t xml:space="preserve">judge blind to the model and to the city label finds that 14.2% of city labels are not entailed by the text and</w:t>
      </w:r>
      <w:r>
        <w:t xml:space="preserve"> </w:t>
      </w:r>
      <w:r>
        <w:t xml:space="preserve">that a third of requests admit more than one valid label. Crediting any judge-acceptable label raises cross-city</w:t>
      </w:r>
      <w:r>
        <w:t xml:space="preserve"> </w:t>
      </w:r>
      <w:r>
        <w:t xml:space="preserve">strict accuracy for every model (for the LLM, from 0.797 to 0.981), against a floor where a random label is</w:t>
      </w:r>
      <w:r>
        <w:t xml:space="preserve"> </w:t>
      </w:r>
      <w:r>
        <w:t xml:space="preserve">judge-accepted only 9.8% of the time, and an independent judge from a different model family reproduces it</w:t>
      </w:r>
      <w:r>
        <w:t xml:space="preserve"> </w:t>
      </w:r>
      <w:r>
        <w:t xml:space="preserve">(0.964). The residual trained-model shortfall is concentrated in rare, city-idiosyncratic classes where a</w:t>
      </w:r>
      <w:r>
        <w:t xml:space="preserve"> </w:t>
      </w:r>
      <w:r>
        <w:t xml:space="preserve">fixed label space collapses to zero cross-city F1 while label semantics in the prompt do not. MC311 makes</w:t>
      </w:r>
      <w:r>
        <w:t xml:space="preserve"> </w:t>
      </w:r>
      <w:r>
        <w:t xml:space="preserve">visible what strict single-label evaluation hides: requests admitting multiple defensible labels, and city</w:t>
      </w:r>
      <w:r>
        <w:t xml:space="preserve"> </w:t>
      </w:r>
      <w:r>
        <w:t xml:space="preserve">labels not inferable from the text. Human validation of these 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transfer, with the trained-model shortfall</w:t>
      </w:r>
      <w:r>
        <w:t xml:space="preserve"> </w:t>
      </w:r>
      <w:r>
        <w:t xml:space="preserve">concentrated in rare, city-idiosyncratic classes and the per-pair gap correlating with inter-city vocabulary</w:t>
      </w:r>
      <w:r>
        <w:t xml:space="preserve"> </w:t>
      </w:r>
      <w:r>
        <w:t xml:space="preserve">divergence.</w:t>
      </w:r>
    </w:p>
    <w:p>
      <w:pPr>
        <w:pStyle w:val="Compact"/>
        <w:numPr>
          <w:ilvl w:val="0"/>
          <w:numId w:val="1001"/>
        </w:numPr>
      </w:pPr>
      <w:r>
        <w:t xml:space="preserve">A defensibility-adjusted evaluation using two independent blind LLM judges: a measured rate of</w:t>
      </w:r>
      <w:r>
        <w:t xml:space="preserve"> </w:t>
      </w:r>
      <w:r>
        <w:t xml:space="preserve">textually-unsupported city labels, discriminant floors that show the metric is not vacuously generous, and an</w:t>
      </w:r>
      <w:r>
        <w:t xml:space="preserve"> </w:t>
      </w:r>
      <w:r>
        <w:t xml:space="preserve">audit that caught real taxonomy-mapping errors in the corpus itself.</w:t>
      </w:r>
    </w:p>
    <w:p>
      <w:pPr>
        <w:pStyle w:val="FirstParagrap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Stripping the glosses</w:t>
      </w:r>
      <w:r>
        <w:t xml:space="preserve"> </w:t>
      </w:r>
      <w:r>
        <w:t xml:space="preserve">to label names alone does not hurt and slightly helps (0.700, near gpt-4o), so the signal is carried by the</w:t>
      </w:r>
      <w:r>
        <w:t xml:space="preserve"> </w:t>
      </w:r>
      <w:r>
        <w:t xml:space="preserve">class names themselves rather than the descriptions. The advantage therefore comes from the target-label</w:t>
      </w:r>
      <w:r>
        <w:t xml:space="preserve"> </w:t>
      </w:r>
      <w:r>
        <w:t xml:space="preserve">semantics that the taxonomy places in the prompt, largely captured by the class names, rather than from richer</w:t>
      </w:r>
      <w:r>
        <w:t xml:space="preserve"> </w:t>
      </w:r>
      <w:r>
        <w:t xml:space="preserve">descriptions, few-shot demonstrations, or model scale alone. As a pipeline check, running gpt-4o-mini through</w:t>
      </w:r>
      <w:r>
        <w:t xml:space="preserve"> </w:t>
      </w:r>
      <w:r>
        <w:t xml:space="preserve">the batch API reproduces the synchronous result (0.644 versus 0.654,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0.558).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−0.53, p = 0.003);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−0.82,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2026-08-31T11:56:03Z</dcterms:created>
  <dcterms:modified xsi:type="dcterms:W3CDTF">2026-08-31T11:56:03Z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