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1" w:name="Xe4a09554b6d7391971fc39a094d1fcd89a90d67"/>
    <w:p>
      <w:pPr>
        <w:pStyle w:val="Heading1"/>
      </w:pPr>
      <w:r>
        <w:t xml:space="preserve">MC311: A Multi-City Free-Text Benchmark for Cross-Jurisdiction 311 Classification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Benchmarks assembled from operational labels, such as 311 service codes, clinical codes, or moderation queues,</w:t>
      </w:r>
      <w:r>
        <w:t xml:space="preserve"> </w:t>
      </w:r>
      <w:r>
        <w:t xml:space="preserve">treat those labels as ground truth, yet the category a bureaucracy recorded need not match what the citizen</w:t>
      </w:r>
      <w:r>
        <w:t xml:space="preserve"> </w:t>
      </w:r>
      <w:r>
        <w:t xml:space="preserve">wrote. We introduce a defensibility protocol that measures this gap: two language-model judges from different</w:t>
      </w:r>
      <w:r>
        <w:t xml:space="preserve"> </w:t>
      </w:r>
      <w:r>
        <w:t xml:space="preserve">families, each blind to the model and to the recorded label, certify the set of labels a text supports, with</w:t>
      </w:r>
      <w:r>
        <w:t xml:space="preserve"> </w:t>
      </w:r>
      <w:r>
        <w:t xml:space="preserve">discriminant floors that show the metric is not vacuously generous. We instantiate it on MC311, the first</w:t>
      </w:r>
      <w:r>
        <w:t xml:space="preserve"> </w:t>
      </w:r>
      <w:r>
        <w:t xml:space="preserve">public multi-city free-text 311 benchmark, drawing about 156,000 citizen narratives from seven US cities into</w:t>
      </w:r>
      <w:r>
        <w:t xml:space="preserve"> </w:t>
      </w:r>
      <w:r>
        <w:t xml:space="preserve">one frozen 3,502-row test set under a shared 14-class ontology. The protocol changes what the benchmark</w:t>
      </w:r>
      <w:r>
        <w:t xml:space="preserve"> </w:t>
      </w:r>
      <w:r>
        <w:t xml:space="preserve">reports. Crossing a city boundary appears to cost a third of pooled macro-F1 (DistilBERT 0.826 in-city to 0.557</w:t>
      </w:r>
      <w:r>
        <w:t xml:space="preserve"> </w:t>
      </w:r>
      <w:r>
        <w:t xml:space="preserve">across cities), but 14.2% of recorded labels are not entailed by the text and a third of requests admit more</w:t>
      </w:r>
      <w:r>
        <w:t xml:space="preserve"> </w:t>
      </w:r>
      <w:r>
        <w:t xml:space="preserve">than one valid label; crediting any judge-acceptable label rescues 91% of the strongest model's cross-city</w:t>
      </w:r>
      <w:r>
        <w:t xml:space="preserve"> </w:t>
      </w:r>
      <w:r>
        <w:t xml:space="preserve">errors (strict 0.797 to lenient 0.981), and the model ranking flips, gpt-4o leading on strict accuracy and</w:t>
      </w:r>
      <w:r>
        <w:t xml:space="preserve"> </w:t>
      </w:r>
      <w:r>
        <w:t xml:space="preserve">gpt-4o-mini on the defensibility-adjusted metric. The residual ambiguity is structured: the class pairs</w:t>
      </w:r>
      <w:r>
        <w:t xml:space="preserve"> </w:t>
      </w:r>
      <w:r>
        <w:t xml:space="preserve">annotators treat as interchangeable are the pairs models confuse (Spearman 0.75), and an ambiguity-derived</w:t>
      </w:r>
      <w:r>
        <w:t xml:space="preserve"> </w:t>
      </w:r>
      <w:r>
        <w:t xml:space="preserve">taxonomy removes more residual ambiguity than any equal-size random merge. Run as an audit, the same protocol</w:t>
      </w:r>
      <w:r>
        <w:t xml:space="preserve"> </w:t>
      </w:r>
      <w:r>
        <w:t xml:space="preserve">located five real mapping errors in the corpus. MC311 and the protocol are released so that other</w:t>
      </w:r>
      <w:r>
        <w:t xml:space="preserve"> </w:t>
      </w:r>
      <w:r>
        <w:t xml:space="preserve">administrative-label benchmarks can measure the distance between their labels and their text.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</w:pPr>
      <w:r>
        <w:t xml:space="preserve">This paper builds the missing benchmark and uses it to ask a question single-city work cannot: when a</w:t>
      </w:r>
      <w:r>
        <w:t xml:space="preserve"> </w:t>
      </w:r>
      <w:r>
        <w:t xml:space="preserve">classifier appears to fail on a new city, is the model wrong, or is the city's recorded label wrong? Answering</w:t>
      </w:r>
      <w:r>
        <w:t xml:space="preserve"> </w:t>
      </w:r>
      <w:r>
        <w:t xml:space="preserve">it requires an evaluation that does not assume the administrative label is ground truth, so the benchmark and</w:t>
      </w:r>
      <w:r>
        <w:t xml:space="preserve"> </w:t>
      </w:r>
      <w:r>
        <w:t xml:space="preserve">the protocol that reads it are joint contributions: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defensibility protocol</w:t>
      </w:r>
      <w:r>
        <w:t xml:space="preserve"> </w:t>
      </w:r>
      <w:r>
        <w:t xml:space="preserve">for benchmarks built from administrative labels: two blind LLM judges</w:t>
      </w:r>
      <w:r>
        <w:t xml:space="preserve"> </w:t>
      </w:r>
      <w:r>
        <w:t xml:space="preserve">from different model families certify the set of labels each text supports, with discriminant floors that show</w:t>
      </w:r>
      <w:r>
        <w:t xml:space="preserve"> </w:t>
      </w:r>
      <w:r>
        <w:t xml:space="preserve">the metric is not vacuously generous and a corpus-audit loop that turns the same judgments into bug-finding.</w:t>
      </w:r>
      <w:r>
        <w:t xml:space="preserve"> </w:t>
      </w:r>
      <w:r>
        <w:t xml:space="preserve">The protocol is corpus-agnostic; 311 is the case study.</w:t>
      </w:r>
    </w:p>
    <w:p>
      <w:pPr>
        <w:pStyle w:val="Compact"/>
        <w:numPr>
          <w:ilvl w:val="0"/>
          <w:numId w:val="1001"/>
        </w:numPr>
      </w:pPr>
      <w:r>
        <w:t xml:space="preserve">MC311, to our knowledge the first public multi-city free-text 311 benchmark (seven US cities, ~156k</w:t>
      </w:r>
      <w:r>
        <w:t xml:space="preserve"> </w:t>
      </w:r>
      <w:r>
        <w:t xml:space="preserve">citizen narratives) with an auditable 14-class harmonization of 545 native categories and one frozen aligned</w:t>
      </w:r>
      <w:r>
        <w:t xml:space="preserve"> </w:t>
      </w:r>
      <w:r>
        <w:t xml:space="preserve">test set, together with a verified survey of which 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Evidence that the protocol changes conclusions: on MC311, 14.2% of recorded labels are not entailed by the</w:t>
      </w:r>
      <w:r>
        <w:t xml:space="preserve"> </w:t>
      </w:r>
      <w:r>
        <w:t xml:space="preserve">text, 91% of the strongest model's cross-city errors are judge-defensible, and the model ranking flips between</w:t>
      </w:r>
      <w:r>
        <w:t xml:space="preserve"> </w:t>
      </w:r>
      <w:r>
        <w:t xml:space="preserve">the strict and the defensibility-adjusted metric.</w:t>
      </w:r>
    </w:p>
    <w:p>
      <w:pPr>
        <w:pStyle w:val="Compact"/>
        <w:numPr>
          <w:ilvl w:val="0"/>
          <w:numId w:val="1001"/>
        </w:numPr>
      </w:pPr>
      <w:r>
        <w:t xml:space="preserve">Evidence that the residual disagreement is structured, not noise: annotator-ambiguity coincides with</w:t>
      </w:r>
      <w:r>
        <w:t xml:space="preserve"> </w:t>
      </w:r>
      <w:r>
        <w:t xml:space="preserve">model-confusion (Spearman 0.75), and an ambiguity-derived taxonomy removes residual ambiguity more efficiently</w:t>
      </w:r>
      <w:r>
        <w:t xml:space="preserve"> </w:t>
      </w:r>
      <w:r>
        <w:t xml:space="preserve">than any equal-size random merge, yielding a data-driven ontology revision.</w:t>
      </w:r>
    </w:p>
    <w:p>
      <w:pPr>
        <w:pStyle w:val="Compact"/>
        <w:numPr>
          <w:ilvl w:val="0"/>
          <w:numId w:val="1001"/>
        </w:numPr>
      </w:pPr>
      <w:r>
        <w:t xml:space="preserve">A transfer study (TF-IDF, fine-tuned DistilBERT, zero-shot LLM) with a large, significant cross-jurisdiction</w:t>
      </w:r>
      <w:r>
        <w:t xml:space="preserve"> </w:t>
      </w:r>
      <w:r>
        <w:t xml:space="preserve">gap, the trained-model shortfall concentrated in rare, city-idiosyncratic classes, and the per-pair gap</w:t>
      </w:r>
      <w:r>
        <w:t xml:space="preserve"> </w:t>
      </w:r>
      <w:r>
        <w:t xml:space="preserve">correlating with inter-city vocabulary divergence.</w:t>
      </w:r>
    </w:p>
    <w:p>
      <w:pPr>
        <w:pStyle w:val="FirstParagraph"/>
      </w:pPr>
      <w:r>
        <w:t xml:space="preserve">The protocol is the point. Any benchmark built by harvesting the labels an institution already recorded</w:t>
      </w:r>
      <w:r>
        <w:t xml:space="preserve"> </w:t>
      </w:r>
      <w:r>
        <w:t xml:space="preserve">inherits those labels as if they were semantic ground truth; a multi-city 311 corpus, where seven bureaucracies</w:t>
      </w:r>
      <w:r>
        <w:t xml:space="preserve"> </w:t>
      </w:r>
      <w:r>
        <w:t xml:space="preserve">labeled the same kinds of request differently, makes the mismatch measurable. We show the mismatch is large,</w:t>
      </w:r>
      <w:r>
        <w:t xml:space="preserve"> </w:t>
      </w:r>
      <w:r>
        <w:t xml:space="preserve">structured, and consequential enough to change which model a leaderboard prefers, and we release the instrument</w:t>
      </w:r>
      <w:r>
        <w:t xml:space="preserve"> </w:t>
      </w:r>
      <w:r>
        <w:t xml:space="preserve">that measures it.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union of the gold and predicted labels in the pooled test set,</w:t>
      </w:r>
      <w:r>
        <w:t xml:space="preserve"> </w:t>
      </w:r>
      <w:r>
        <w:t xml:space="preserve">with 95% confidence intervals from 1,000 bootstrap resamples of the test examples. Averaging over the union</w:t>
      </w:r>
      <w:r>
        <w:t xml:space="preserve"> </w:t>
      </w:r>
      <w:r>
        <w:t xml:space="preserve">rather than the gold classes alone charges a model for predicting a label no request carries, which slightly</w:t>
      </w:r>
      <w:r>
        <w:t xml:space="preserve"> </w:t>
      </w:r>
      <w:r>
        <w:t xml:space="preserve">lowers the LLM's score (a handful of unparsed predictions add a zero-F1 class); we keep the union convention as</w:t>
      </w:r>
      <w:r>
        <w:t xml:space="preserve"> </w:t>
      </w:r>
      <w:r>
        <w:t xml:space="preserve">the conservative choice. Pooled macro-F1 concatenates all cities' test</w:t>
      </w:r>
      <w:r>
        <w:t xml:space="preserve"> </w:t>
      </w:r>
      <w:r>
        <w:t xml:space="preserve">rows and computes macro-F1 once over that union;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[.68,.73]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</w:tr>
    </w:tbl>
    <w:p>
      <w:pPr>
        <w:pStyle w:val="BodyText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</w:pPr>
      <w:r>
        <w:t xml:space="preserve">Two results are stable across models. Crossing city boundaries costs roughly a third of macro-F1, from 0.826</w:t>
      </w:r>
      <w:r>
        <w:t xml:space="preserve"> </w:t>
      </w:r>
      <w:r>
        <w:t xml:space="preserve">to 0.557 for DistilBERT and from 0.784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(0.655)</w:t>
      </w:r>
      <w:r>
        <w:t xml:space="preserve"> </w:t>
      </w:r>
      <w:r>
        <w:t xml:space="preserve">above DistilBERT (0.557) above TF-IDF (0.523), is significant: paired bootstrap over the shared test examples</w:t>
      </w:r>
      <w:r>
        <w:t xml:space="preserve"> </w:t>
      </w:r>
      <w:r>
        <w:t xml:space="preserve">gives a mean difference of +0.098 for LLM over DistilBERT and +0.130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single-source transfer (0.585, Figure 5) exceeds Richmond's leave-one-city-out score (0.477) while</w:t>
      </w:r>
      <w:r>
        <w:t xml:space="preserve"> </w:t>
      </w:r>
      <w:r>
        <w:t xml:space="preserve">Richmond-to-Auburn (0.338)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the full 7×7 single-source matrix is</w:t>
      </w:r>
      <w:r>
        <w:t xml:space="preserve"> </w:t>
      </w:r>
      <w:r>
        <w:t xml:space="preserve">Figure 5, analyzed in Section 7).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(0.655; paired bootstrap P&gt;0.99).</w:t>
      </w:r>
      <w:r>
        <w:t xml:space="preserve"> </w:t>
      </w:r>
      <w:r>
        <w:t xml:space="preserve">Clean in-context demonstrations add a modest further gain: one representative labeled exemplar per class drawn</w:t>
      </w:r>
      <w:r>
        <w:t xml:space="preserve"> </w:t>
      </w:r>
      <w:r>
        <w:t xml:space="preserve">from the training cities raises the cross-city score to 0.673 (bootstrap mean +0.025 over zero-shot, 95% CI</w:t>
      </w:r>
      <w:r>
        <w:t xml:space="preserve"> </w:t>
      </w:r>
      <w:r>
        <w:t xml:space="preserve">[+0.001, +0.075]). The larger prompt lever is the label space itself: stripping the glosses to class names alone</w:t>
      </w:r>
      <w:r>
        <w:t xml:space="preserve"> </w:t>
      </w:r>
      <w:r>
        <w:t xml:space="preserve">lifts the score to 0.700, near gpt-4o, so most of the signal is carried by the class names rather than their</w:t>
      </w:r>
      <w:r>
        <w:t xml:space="preserve"> </w:t>
      </w:r>
      <w:r>
        <w:t xml:space="preserve">descriptions or the demonstrations. The advantage therefore comes chiefly from the target-label</w:t>
      </w:r>
      <w:r>
        <w:t xml:space="preserve"> </w:t>
      </w:r>
      <w:r>
        <w:t xml:space="preserve">semantics that the taxonomy places in the prompt, largely captured by the class names, with smaller additive</w:t>
      </w:r>
      <w:r>
        <w:t xml:space="preserve"> </w:t>
      </w:r>
      <w:r>
        <w:t xml:space="preserve">contributions from clean demonstrations and from model scale (gpt-4o). As a pipeline check, running gpt-4o-mini</w:t>
      </w:r>
      <w:r>
        <w:t xml:space="preserve"> </w:t>
      </w:r>
      <w:r>
        <w:t xml:space="preserve">through the batch API reproduces the synchronous result (0.644 versus 0.655, not significant).</w:t>
      </w:r>
    </w:p>
    <w:p>
      <w:pPr>
        <w:pStyle w:val="BodyText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0.839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p>
      <w:pPr>
        <w:pStyle w:val="BodyText"/>
      </w:pPr>
      <w:r>
        <w:t xml:space="preserve">Decomposing the cross-city macro-F1 by class shows where the advantage lives. On the head classes the LLM</w:t>
      </w:r>
      <w:r>
        <w:t xml:space="preserve"> </w:t>
      </w:r>
      <w:r>
        <w:t xml:space="preserve">and the trained model are close: Waste and Sanitation (1,305 test requests) 0.853 for the LLM versus 0.825 for</w:t>
      </w:r>
      <w:r>
        <w:t xml:space="preserve"> </w:t>
      </w:r>
      <w:r>
        <w:t xml:space="preserve">DistilBERT across cities, Graffiti 0.927 versus 0.914, Street Lighting 0.881 versus 0.868. The separation is</w:t>
      </w:r>
      <w:r>
        <w:t xml:space="preserve"> </w:t>
      </w:r>
      <w:r>
        <w:t xml:space="preserve">concentrated in rare, city-idiosyncratic classes on which the leave-one-city-out DistilBERT collapses to zero:</w:t>
      </w:r>
      <w:r>
        <w:t xml:space="preserve"> </w:t>
      </w:r>
      <w:r>
        <w:t xml:space="preserve">Noise (12) 0.000 to 0.759, Transit (21) 0.000 to 0.500, Homelessness (176) 0.380 to 0.830, Parking (224) 0.636</w:t>
      </w:r>
      <w:r>
        <w:t xml:space="preserve"> </w:t>
      </w:r>
      <w:r>
        <w:t xml:space="preserve">to 0.773. A model trained on the other cities cannot represent a class that is thin or absent in its source</w:t>
      </w:r>
      <w:r>
        <w:t xml:space="preserve"> </w:t>
      </w:r>
      <w:r>
        <w:t xml:space="preserve">pool, whereas the class name in the prompt lets the LLM recognize it directly. The cross-jurisdiction ranking is</w:t>
      </w:r>
      <w:r>
        <w:t xml:space="preserve"> </w:t>
      </w:r>
      <w:r>
        <w:t xml:space="preserve">therefore a tail-class phenomenon, not a uniform margin.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0.557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all seven cities, pulling each city's records ordered by its native creation timestamp, training on the</w:t>
      </w:r>
      <w:r>
        <w:t xml:space="preserve"> </w:t>
      </w:r>
      <w:r>
        <w:t xml:space="preserve">earliest 80% of requests and testing on the latest 20% lowers in-city macro-F1 by 0.051 on average (0.740</w:t>
      </w:r>
      <w:r>
        <w:t xml:space="preserve"> </w:t>
      </w:r>
      <w:r>
        <w:t xml:space="preserve">versus 0.791 for a random split on the same rows), with the largest single-city drop 0.12 (Honolulu). This</w:t>
      </w:r>
      <w:r>
        <w:t xml:space="preserve"> </w:t>
      </w:r>
      <w:r>
        <w:t xml:space="preserve">temporal degradation is real but roughly five times smaller than the cross-jurisdiction gap, so the transfer</w:t>
      </w:r>
      <w:r>
        <w:t xml:space="preserve"> </w:t>
      </w:r>
      <w:r>
        <w:t xml:space="preserve">gap is not an artifact of random splitting.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0.557).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</w:pPr>
      <w:r>
        <w:t xml:space="preserve">Transfer difficulty is partly predictable from how far apart two cities' corpora are. Across the 30 city</w:t>
      </w:r>
      <w:r>
        <w:t xml:space="preserve"> </w:t>
      </w:r>
      <w:r>
        <w:t xml:space="preserve">pairs that exclude the degenerate San Francisco cell (whose single-source transfer is uniformly near zero),</w:t>
      </w:r>
      <w:r>
        <w:t xml:space="preserve"> </w:t>
      </w:r>
      <w:r>
        <w:t xml:space="preserve">single-source transfer correlates negatively with vocabulary divergence between the two cities</w:t>
      </w:r>
      <w:r>
        <w:t xml:space="preserve"> </w:t>
      </w:r>
      <w:r>
        <w:t xml:space="preserve">(Spearman ρ = −0.54, p = 0.002); the class-distribution and text-length distances and the shared-platform</w:t>
      </w:r>
      <w:r>
        <w:t xml:space="preserve"> </w:t>
      </w:r>
      <w:r>
        <w:t xml:space="preserve">indicator are not significant, and with a single same-platform pair the platform test is underpowered. Including</w:t>
      </w:r>
      <w:r>
        <w:t xml:space="preserve"> </w:t>
      </w:r>
      <w:r>
        <w:t xml:space="preserve">San Francisco inflates the vocabulary correlation to ρ = −0.83, so we report the San Francisco-excluded</w:t>
      </w:r>
      <w:r>
        <w:t xml:space="preserve"> </w:t>
      </w:r>
      <w:r>
        <w:t xml:space="preserve">value. Cross-jurisdiction degradation therefore tracks lexical shift between cities, which a shared taxonomy</w:t>
      </w:r>
      <w:r>
        <w:t xml:space="preserve"> </w:t>
      </w:r>
      <w:r>
        <w:t xml:space="preserve">alone cannot remove.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 Because</w:t>
      </w:r>
      <w:r>
        <w:t xml:space="preserve"> </w:t>
      </w:r>
      <w:r>
        <w:t xml:space="preserve">the mean acceptable set spans only 1.37 of the 14 classes, a randomly chosen label is judge-accepted just 9.8%</w:t>
      </w:r>
      <w:r>
        <w:t xml:space="preserve"> </w:t>
      </w:r>
      <w:r>
        <w:t xml:space="preserve">of the time and a constant majority-class predictor reaches 0.414 defensibility-adjusted accuracy; the lenient</w:t>
      </w:r>
      <w:r>
        <w:t xml:space="preserve"> </w:t>
      </w:r>
      <w:r>
        <w:t xml:space="preserve">scores below are read against these floors, so the metric is discriminating rather than vacuously generous.</w:t>
      </w:r>
    </w:p>
    <w:p>
      <w:pPr>
        <w:pStyle w:val="BodyText"/>
      </w:pPr>
      <w:r>
        <w:t xml:space="preserve">The judge also disagrees with the city's own label on 14.2%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The correction is consequential, not</w:t>
      </w:r>
      <w:r>
        <w:t xml:space="preserve"> </w:t>
      </w:r>
      <w:r>
        <w:t xml:space="preserve">cosmetic: the top of the leaderboard reorders. gpt-4o has the highest strict accuracy (0.832 versus 0.798 for</w:t>
      </w:r>
      <w:r>
        <w:t xml:space="preserve"> </w:t>
      </w:r>
      <w:r>
        <w:t xml:space="preserve">gpt-4o-mini), but gpt-4o-mini has the highest defensibility-adjusted accuracy (0.981 versus 0.979), so which</w:t>
      </w:r>
      <w:r>
        <w:t xml:space="preserve"> </w:t>
      </w:r>
      <w:r>
        <w:t xml:space="preserve">model a practitioner picks depends on whether the benchmark's labels are read as ground truth or as one</w:t>
      </w:r>
      <w:r>
        <w:t xml:space="preserve"> </w:t>
      </w:r>
      <w:r>
        <w:t xml:space="preserve">defensible answer among several.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9.6%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</w:t>
      </w:r>
    </w:p>
    <w:p>
      <w:pPr>
        <w:pStyle w:val="BodyText"/>
      </w:pPr>
      <w:r>
        <w:t xml:space="preserve">The separation between the LLM and the trained models lives precisely where a single answer exists. On the</w:t>
      </w:r>
      <w:r>
        <w:t xml:space="preserve"> </w:t>
      </w:r>
      <w:r>
        <w:t xml:space="preserve">requests the judge marks unambiguous (a single acceptable label, 2,329 of 3,502), the LLM's cross-city accuracy</w:t>
      </w:r>
      <w:r>
        <w:t xml:space="preserve"> </w:t>
      </w:r>
      <w:r>
        <w:t xml:space="preserve">is 0.850 against 0.776 for DistilBERT; on the multi-label requests the two converge (0.695 and 0.691), because</w:t>
      </w:r>
      <w:r>
        <w:t xml:space="preserve"> </w:t>
      </w:r>
      <w:r>
        <w:t xml:space="preserve">there is no single target to separate on. A router that auto-routes judge-unambiguous requests and escalates the</w:t>
      </w:r>
      <w:r>
        <w:t xml:space="preserve"> </w:t>
      </w:r>
      <w:r>
        <w:t xml:space="preserve">multi-label ones is a direct use of this structure.</w:t>
      </w:r>
    </w:p>
    <w:p>
      <w:pPr>
        <w:pStyle w:val="BodyText"/>
      </w:pPr>
      <w:r>
        <w:t xml:space="preserve">The two-judge consensus also functions as a corpus audit. Tracing the requests both judges reject back to</w:t>
      </w:r>
      <w:r>
        <w:t xml:space="preserve"> </w:t>
      </w:r>
      <w:r>
        <w:t xml:space="preserve">their native categories exposed five harmonization-rule errors, where a keyword fired the wrong first-match:</w:t>
      </w:r>
      <w:r>
        <w:t xml:space="preserve"> </w:t>
      </w:r>
      <w:r>
        <w:t xml:space="preserve">garbage-collection reports routed to drainage through a "leak" token, sewer backups routed to waste through a</w:t>
      </w:r>
      <w:r>
        <w:t xml:space="preserve"> </w:t>
      </w:r>
      <w:r>
        <w:t xml:space="preserve">"backup" token, and street grading routed to waste. Correcting the rules relabels 619 corpus rows (7 of the</w:t>
      </w:r>
      <w:r>
        <w:t xml:space="preserve"> </w:t>
      </w:r>
      <w:r>
        <w:t xml:space="preserve">3,502 test rows); every pooled macro-F1 moves by at most 0.001, so the results below stand on the corrected</w:t>
      </w:r>
      <w:r>
        <w:t xml:space="preserve"> </w:t>
      </w:r>
      <w:r>
        <w:t xml:space="preserve">corpus, which is the one released. The measured cross-jurisdiction gap therefore conflates three effects this</w:t>
      </w:r>
      <w:r>
        <w:t xml:space="preserve"> </w:t>
      </w:r>
      <w:r>
        <w:t xml:space="preserve">analysis makes visible without cleanly separating: genuine domain shift between cities, non-comparability of the</w:t>
      </w:r>
      <w:r>
        <w:t xml:space="preserve"> </w:t>
      </w:r>
      <w:r>
        <w:t xml:space="preserve">harmonized taxonomy at its boundaries, and text-label mismatch. The confusion structure identifies where the</w:t>
      </w:r>
      <w:r>
        <w:t xml:space="preserve"> </w:t>
      </w:r>
      <w:r>
        <w:t xml:space="preserve">boundary effects concentrate 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</w:t>
      </w:r>
    </w:p>
    <w:p>
      <w:pPr>
        <w:pStyle w:val="BodyText"/>
      </w:pPr>
      <w:r>
        <w:t xml:space="preserve">The disagreement between annotators and the confusion between models are the same object. Correlating the</w:t>
      </w:r>
      <w:r>
        <w:t xml:space="preserve"> </w:t>
      </w:r>
      <w:r>
        <w:t xml:space="preserve">two-judge co-acceptability graph over the 14 classes (how often a pair of labels is jointly acceptable for one</w:t>
      </w:r>
      <w:r>
        <w:t xml:space="preserve"> </w:t>
      </w:r>
      <w:r>
        <w:t xml:space="preserve">request) with the cross-city confusion matrix gives Spearman ρ = 0.75 (p &lt; 10</w:t>
      </w:r>
      <w:r>
        <w:rPr>
          <w:vertAlign w:val="superscript"/>
        </w:rPr>
        <w:t xml:space="preserve">−17</w:t>
      </w:r>
      <w:r>
        <w:t xml:space="preserve">): the</w:t>
      </w:r>
      <w:r>
        <w:t xml:space="preserve"> </w:t>
      </w:r>
      <w:r>
        <w:t xml:space="preserve">pairs a judge accepts interchangeably, Trees and Waste, Streets and Trees, Homelessness and Waste, are the pairs</w:t>
      </w:r>
      <w:r>
        <w:t xml:space="preserve"> </w:t>
      </w:r>
      <w:r>
        <w:t xml:space="preserve">the trained model mixes up. The cross-jurisdiction gap is concentrated where the taxonomy is ambiguous, not</w:t>
      </w:r>
      <w:r>
        <w:t xml:space="preserve"> </w:t>
      </w:r>
      <w:r>
        <w:t xml:space="preserve">spread evenly across the label space.</w:t>
      </w:r>
    </w:p>
    <w:p>
      <w:pPr>
        <w:pStyle w:val="BodyText"/>
      </w:pPr>
      <w:r>
        <w:t xml:space="preserve">This turns the boundary into a design lever. Agglomerating the classes by co-acceptability yields a</w:t>
      </w:r>
      <w:r>
        <w:t xml:space="preserve"> </w:t>
      </w:r>
      <w:r>
        <w:t xml:space="preserve">data-driven ontology whose merges are auditable and coincide with the confusion of Figure 7. Because the</w:t>
      </w:r>
      <w:r>
        <w:t xml:space="preserve"> </w:t>
      </w:r>
      <w:r>
        <w:t xml:space="preserve">ambiguity is concentrated on a few pairs, a targeted merge removes most of it: at ten classes the derived</w:t>
      </w:r>
      <w:r>
        <w:t xml:space="preserve"> </w:t>
      </w:r>
      <w:r>
        <w:t xml:space="preserve">taxonomy leaves 20% of requests multi-acceptable against 31% for the average equal-size random merge, and at</w:t>
      </w:r>
      <w:r>
        <w:t xml:space="preserve"> </w:t>
      </w:r>
      <w:r>
        <w:t xml:space="preserve">eight classes 12% against 26%, lower than every one of 200 random merges with matched cluster sizes at each</w:t>
      </w:r>
      <w:r>
        <w:t xml:space="preserve"> </w:t>
      </w:r>
      <w:r>
        <w:t xml:space="preserve">granularity. The output is a concrete ontology revision a 311 consortium could adopt, derived from measured</w:t>
      </w:r>
      <w:r>
        <w:t xml:space="preserve"> </w:t>
      </w:r>
      <w:r>
        <w:t xml:space="preserve">ambiguity rather than intuition.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14.2%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4" w:name="reproducibility"/>
    <w:p>
      <w:pPr>
        <w:pStyle w:val="Heading2"/>
      </w:pPr>
      <w:r>
        <w:t xml:space="preserve">11. Reproducibility</w:t>
      </w:r>
    </w:p>
    <w:p>
      <w:pPr>
        <w:pStyle w:val="FirstParagrap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3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4"/>
    <w:bookmarkStart w:id="90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Benchmarks built from administrative labels measure two things at once: how well a model reads text, and how</w:t>
      </w:r>
      <w:r>
        <w:t xml:space="preserve"> </w:t>
      </w:r>
      <w:r>
        <w:t xml:space="preserve">well an institution's recorded category matches that text. We introduced a defensibility protocol, two blind</w:t>
      </w:r>
      <w:r>
        <w:t xml:space="preserve"> </w:t>
      </w:r>
      <w:r>
        <w:t xml:space="preserve">cross-family LLM judges with discriminant floors and a corpus-audit loop, that separates the two, and we</w:t>
      </w:r>
      <w:r>
        <w:t xml:space="preserve"> </w:t>
      </w:r>
      <w:r>
        <w:t xml:space="preserve">instantiated it on MC311, the first public multi-city free-text 311 benchmark. On MC311 the protocol shows that</w:t>
      </w:r>
      <w:r>
        <w:t xml:space="preserve"> </w:t>
      </w:r>
      <w:r>
        <w:t xml:space="preserve">most of the apparent cross-jurisdiction gap is defensible-label disagreement rather than model failure, that the</w:t>
      </w:r>
      <w:r>
        <w:t xml:space="preserve"> </w:t>
      </w:r>
      <w:r>
        <w:t xml:space="preserve">model ranking flips between the strict and the defensibility-adjusted metric, that annotator ambiguity and model</w:t>
      </w:r>
      <w:r>
        <w:t xml:space="preserve"> </w:t>
      </w:r>
      <w:r>
        <w:t xml:space="preserve">confusion fall on the same class boundaries (Spearman 0.75), and that an ambiguity-derived taxonomy removes that</w:t>
      </w:r>
      <w:r>
        <w:t xml:space="preserve"> </w:t>
      </w:r>
      <w:r>
        <w:t xml:space="preserve">ambiguity more efficiently than any equal-size random merge. Run as an audit, it located five real mapping</w:t>
      </w:r>
      <w:r>
        <w:t xml:space="preserve"> </w:t>
      </w:r>
      <w:r>
        <w:t xml:space="preserve">errors in the corpus. The benchmark, its harmonization, and the protocol are released so that any</w:t>
      </w:r>
      <w:r>
        <w:t xml:space="preserve"> </w:t>
      </w:r>
      <w:r>
        <w:t xml:space="preserve">administrative-label benchmark can measure the distance between its labels and its text.</w:t>
      </w:r>
    </w:p>
    <w:p>
      <w:r>
        <w:pict>
          <v:rect style="width:0;height:1.5pt" o:hralign="center" o:hrstd="t" o:hr="t"/>
        </w:pict>
      </w:r>
    </w:p>
    <w:bookmarkStart w:id="8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3"/>
      <w:r>
        <w:t xml:space="preserve">Sukel, M., Rudinac, S., &amp; Worring, M. (2019). Multimodal Classification of Urban Micro-Events. arXiv:1904.13349.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6"/>
      <w:r>
        <w:t xml:space="preserve">Yuan, X., et al. (2023). Out-of-Distribution Generalization in Text Classification: Past, Present, and Future. arXiv:2305.14104.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3"/>
      <w:r>
        <w:t xml:space="preserve">Kontokosta, C. E., &amp; Hong, B. (2017). Equity in 311 Reporting: Socio-Spatial Differentials in the Propensity to Complain. arXiv:1710.02452.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4"/>
      <w:r>
        <w:t xml:space="preserve">Ramponi, A., &amp; Plank, B. (2020). Neural Unsupervised Domain Adaptation in NLP: 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8"/>
    </w:p>
    <w:p>
      <w:pPr>
        <w:pStyle w:val="FirstParagrap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2026-08-31T13:27:24Z</dcterms:created>
  <dcterms:modified xsi:type="dcterms:W3CDTF">2026-08-31T13:27:24Z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