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e4a09554b6d7391971fc39a094d1fcd89a90d67"/>
    <w:p>
      <w:pPr>
        <w:pStyle w:val="Heading1"/>
      </w:pPr>
      <w:r>
        <w:t xml:space="preserve">MC311: A Multi-City Free-Text Benchmark for Cross-Jurisdiction 311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multi-city free-text 311 benchmark</w:t>
      </w:r>
      <w:r>
        <w:t xml:space="preserve"> </w:t>
      </w:r>
      <w:r>
        <w:t xml:space="preserve">exists. We build MC311, to our knowledge the first public 311 free-text benchmark spanning more than two US</w:t>
      </w:r>
      <w:r>
        <w:t xml:space="preserve"> </w:t>
      </w:r>
      <w:r>
        <w:t xml:space="preserve">cities: about 156,000 citizen narratives from seven cities, with each city's native taxonomy (545 native</w:t>
      </w:r>
      <w:r>
        <w:t xml:space="preserve"> </w:t>
      </w:r>
      <w:r>
        <w:t xml:space="preserve">categories) mapped into a shared 14-class civic ontology through an auditable rule set. Every model is scored on</w:t>
      </w:r>
      <w:r>
        <w:t xml:space="preserve"> </w:t>
      </w:r>
      <w:r>
        <w:t xml:space="preserve">one frozen test set of 3,502 requests. Crossing a</w:t>
      </w:r>
      <w:r>
        <w:t xml:space="preserve"> </w:t>
      </w:r>
      <w:r>
        <w:t xml:space="preserve">city boundary costs roughly a third of pooled macro-F1: fine-tuned DistilBERT drops from 0.826 in-city to 0.557</w:t>
      </w:r>
      <w:r>
        <w:t xml:space="preserve"> </w:t>
      </w:r>
      <w:r>
        <w:t xml:space="preserve">across cities (95% CI [0.54, 0.58]), while a language model prompted zero-shot with the taxonomy reaches 0.655,</w:t>
      </w:r>
      <w:r>
        <w:t xml:space="preserve"> </w:t>
      </w:r>
      <w:r>
        <w:t xml:space="preserve">significantly above both trained models. We then ask what this gap measures. Much of it is defensible: an LLM</w:t>
      </w:r>
      <w:r>
        <w:t xml:space="preserve"> </w:t>
      </w:r>
      <w:r>
        <w:t xml:space="preserve">judge blind to the model and to the city label finds that 14.2% of city labels are not entailed by the text and</w:t>
      </w:r>
      <w:r>
        <w:t xml:space="preserve"> </w:t>
      </w:r>
      <w:r>
        <w:t xml:space="preserve">that a third of requests admit more than one valid label. Crediting any judge-acceptable label raises cross-city</w:t>
      </w:r>
      <w:r>
        <w:t xml:space="preserve"> </w:t>
      </w:r>
      <w:r>
        <w:t xml:space="preserve">strict accuracy for every model (for the LLM, from 0.797 to 0.981), against a floor where a random label is</w:t>
      </w:r>
      <w:r>
        <w:t xml:space="preserve"> </w:t>
      </w:r>
      <w:r>
        <w:t xml:space="preserve">judge-accepted only 9.8% of the time, and an independent judge from a different model family reproduces it</w:t>
      </w:r>
      <w:r>
        <w:t xml:space="preserve"> </w:t>
      </w:r>
      <w:r>
        <w:t xml:space="preserve">(0.964). The residual trained-model shortfall is concentrated in rare, city-idiosyncratic classes where a</w:t>
      </w:r>
      <w:r>
        <w:t xml:space="preserve"> </w:t>
      </w:r>
      <w:r>
        <w:t xml:space="preserve">fixed label space collapses to zero cross-city F1 while label semantics in the prompt do not. MC311 makes</w:t>
      </w:r>
      <w:r>
        <w:t xml:space="preserve"> </w:t>
      </w:r>
      <w:r>
        <w:t xml:space="preserve">visible what strict single-label evaluation hides: requests admitting multiple defensible labels, and city</w:t>
      </w:r>
      <w:r>
        <w:t xml:space="preserve"> </w:t>
      </w:r>
      <w:r>
        <w:t xml:space="preserve">labels not inferable from the text. Human validation of these 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transfer, with the trained-model shortfall</w:t>
      </w:r>
      <w:r>
        <w:t xml:space="preserve"> </w:t>
      </w:r>
      <w:r>
        <w:t xml:space="preserve">concentrated in rare, city-idiosyncratic classes and the per-pair gap correlating with inter-city vocabulary</w:t>
      </w:r>
      <w:r>
        <w:t xml:space="preserve"> </w:t>
      </w:r>
      <w:r>
        <w:t xml:space="preserve">divergence.</w:t>
      </w:r>
    </w:p>
    <w:p>
      <w:pPr>
        <w:pStyle w:val="Compact"/>
        <w:numPr>
          <w:ilvl w:val="0"/>
          <w:numId w:val="1001"/>
        </w:numPr>
      </w:pPr>
      <w:r>
        <w:t xml:space="preserve">A defensibility-adjusted evaluation using two independent blind LLM judges: a measured rate of</w:t>
      </w:r>
      <w:r>
        <w:t xml:space="preserve"> </w:t>
      </w:r>
      <w:r>
        <w:t xml:space="preserve">textually-unsupported city labels, discriminant floors that show the metric is not vacuously generous, and an</w:t>
      </w:r>
      <w:r>
        <w:t xml:space="preserve"> </w:t>
      </w:r>
      <w:r>
        <w:t xml:space="preserve">audit that caught real taxonomy-mapping errors in the corpus itself.</w:t>
      </w:r>
    </w:p>
    <w:p>
      <w:pPr>
        <w:pStyle w:val="FirstParagrap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union of the gold and predicted labels in the pooled test set,</w:t>
      </w:r>
      <w:r>
        <w:t xml:space="preserve"> </w:t>
      </w:r>
      <w:r>
        <w:t xml:space="preserve">with 95% confidence intervals from 1,000 bootstrap resamples of the test examples. Averaging over the union</w:t>
      </w:r>
      <w:r>
        <w:t xml:space="preserve"> </w:t>
      </w:r>
      <w:r>
        <w:t xml:space="preserve">rather than the gold classes alone charges a model for predicting a label no request carries, which slightly</w:t>
      </w:r>
      <w:r>
        <w:t xml:space="preserve"> </w:t>
      </w:r>
      <w:r>
        <w:t xml:space="preserve">lowers the LLM's score (a handful of unparsed predictions add a zero-F1 class); we keep the union convention as</w:t>
      </w:r>
      <w:r>
        <w:t xml:space="preserve"> </w:t>
      </w:r>
      <w:r>
        <w:t xml:space="preserve">the conservative choice. Pooled macro-F1 concatenates all cities' test</w:t>
      </w:r>
      <w:r>
        <w:t xml:space="preserve"> </w:t>
      </w:r>
      <w:r>
        <w:t xml:space="preserve">rows and computes macro-F1 once over that union;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[.68,.73]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0.826</w:t>
      </w:r>
      <w:r>
        <w:t xml:space="preserve"> </w:t>
      </w:r>
      <w:r>
        <w:t xml:space="preserve">to 0.557 for DistilBERT and from 0.784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(0.655)</w:t>
      </w:r>
      <w:r>
        <w:t xml:space="preserve"> </w:t>
      </w:r>
      <w:r>
        <w:t xml:space="preserve">above DistilBERT (0.557) above TF-IDF (0.523), is significant: paired bootstrap over the shared test examples</w:t>
      </w:r>
      <w:r>
        <w:t xml:space="preserve"> </w:t>
      </w:r>
      <w:r>
        <w:t xml:space="preserve">gives a mean difference of +0.098 for LLM over DistilBERT and +0.130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single-source transfer (0.585, Figure 5) exceeds Richmond's leave-one-city-out score (0.477) while</w:t>
      </w:r>
      <w:r>
        <w:t xml:space="preserve"> </w:t>
      </w:r>
      <w:r>
        <w:t xml:space="preserve">Richmond-to-Auburn (0.338)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(0.655; paired bootstrap P&gt;0.99).</w:t>
      </w:r>
      <w:r>
        <w:t xml:space="preserve"> </w:t>
      </w:r>
      <w:r>
        <w:t xml:space="preserve">Clean in-context demonstrations add a modest further gain: one representative labeled exemplar per class drawn</w:t>
      </w:r>
      <w:r>
        <w:t xml:space="preserve"> </w:t>
      </w:r>
      <w:r>
        <w:t xml:space="preserve">from the training cities raises the cross-city score to 0.673 (bootstrap mean +0.025 over zero-shot, 95% CI</w:t>
      </w:r>
      <w:r>
        <w:t xml:space="preserve"> </w:t>
      </w:r>
      <w:r>
        <w:t xml:space="preserve">[+0.001, +0.075]). The larger prompt lever is the label space itself: stripping the glosses to class names alone</w:t>
      </w:r>
      <w:r>
        <w:t xml:space="preserve"> </w:t>
      </w:r>
      <w:r>
        <w:t xml:space="preserve">lifts the score to 0.700, near gpt-4o, so most of the signal is carried by the class names rather than their</w:t>
      </w:r>
      <w:r>
        <w:t xml:space="preserve"> </w:t>
      </w:r>
      <w:r>
        <w:t xml:space="preserve">descriptions or the demonstrations. The advantage therefore comes chiefly from the target-label</w:t>
      </w:r>
      <w:r>
        <w:t xml:space="preserve"> </w:t>
      </w:r>
      <w:r>
        <w:t xml:space="preserve">semantics that the taxonomy places in the prompt, largely captured by the class names, with smaller additive</w:t>
      </w:r>
      <w:r>
        <w:t xml:space="preserve"> </w:t>
      </w:r>
      <w:r>
        <w:t xml:space="preserve">contributions from clean demonstrations and from model scale (gpt-4o). As a pipeline check, running gpt-4o-mini</w:t>
      </w:r>
      <w:r>
        <w:t xml:space="preserve"> </w:t>
      </w:r>
      <w:r>
        <w:t xml:space="preserve">through the batch API reproduces the synchronous result (0.644 versus 0.655,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0.839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p>
      <w:pPr>
        <w:pStyle w:val="BodyText"/>
      </w:pPr>
      <w:r>
        <w:t xml:space="preserve">Decomposing the cross-city macro-F1 by class shows where the advantage lives. On the head classes the LLM</w:t>
      </w:r>
      <w:r>
        <w:t xml:space="preserve"> </w:t>
      </w:r>
      <w:r>
        <w:t xml:space="preserve">and the trained model are close: Waste and Sanitation (1,305 test requests) 0.853 for the LLM versus 0.825 for</w:t>
      </w:r>
      <w:r>
        <w:t xml:space="preserve"> </w:t>
      </w:r>
      <w:r>
        <w:t xml:space="preserve">DistilBERT across cities, Graffiti 0.927 versus 0.914, Street Lighting 0.881 versus 0.868. The separation is</w:t>
      </w:r>
      <w:r>
        <w:t xml:space="preserve"> </w:t>
      </w:r>
      <w:r>
        <w:t xml:space="preserve">concentrated in rare, city-idiosyncratic classes on which the leave-one-city-out DistilBERT collapses to zero:</w:t>
      </w:r>
      <w:r>
        <w:t xml:space="preserve"> </w:t>
      </w:r>
      <w:r>
        <w:t xml:space="preserve">Noise (12) 0.000 to 0.759, Transit (21) 0.000 to 0.500, Homelessness (176) 0.380 to 0.830, Parking (224) 0.636</w:t>
      </w:r>
      <w:r>
        <w:t xml:space="preserve"> </w:t>
      </w:r>
      <w:r>
        <w:t xml:space="preserve">to 0.773. A model trained on the other cities cannot represent a class that is thin or absent in its source</w:t>
      </w:r>
      <w:r>
        <w:t xml:space="preserve"> </w:t>
      </w:r>
      <w:r>
        <w:t xml:space="preserve">pool, whereas the class name in the prompt lets the LLM recognize it directly. The cross-jurisdiction ranking is</w:t>
      </w:r>
      <w:r>
        <w:t xml:space="preserve"> </w:t>
      </w:r>
      <w:r>
        <w:t xml:space="preserve">therefore a tail-class phenomenon, not a uniform margin.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0.557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0.557).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Transfer difficulty is partly predictable from how far apart two cities' corpora are. Across the 30 city</w:t>
      </w:r>
      <w:r>
        <w:t xml:space="preserve"> </w:t>
      </w:r>
      <w:r>
        <w:t xml:space="preserve">pairs that exclude the degenerate San Francisco cell (whose single-source transfer is uniformly near zero),</w:t>
      </w:r>
      <w:r>
        <w:t xml:space="preserve"> </w:t>
      </w:r>
      <w:r>
        <w:t xml:space="preserve">single-source transfer correlates negatively with vocabulary divergence between the two cities</w:t>
      </w:r>
      <w:r>
        <w:t xml:space="preserve"> </w:t>
      </w:r>
      <w:r>
        <w:t xml:space="preserve">(Spearman ρ = −0.54, p = 0.002); the class-distribution and text-length distances and the shared-platform</w:t>
      </w:r>
      <w:r>
        <w:t xml:space="preserve"> </w:t>
      </w:r>
      <w:r>
        <w:t xml:space="preserve">indicator are not significant, and with a single same-platform pair the platform test is underpowered. Including</w:t>
      </w:r>
      <w:r>
        <w:t xml:space="preserve"> </w:t>
      </w:r>
      <w:r>
        <w:t xml:space="preserve">San Francisco inflates the vocabulary correlation to ρ = −0.83, so we report the San Francisco-excluded</w:t>
      </w:r>
      <w:r>
        <w:t xml:space="preserve"> </w:t>
      </w:r>
      <w:r>
        <w:t xml:space="preserve">value. Cross-jurisdiction degradation therefore tracks lexical shift between cities, which a shared taxonomy</w:t>
      </w:r>
      <w:r>
        <w:t xml:space="preserve"> </w:t>
      </w:r>
      <w:r>
        <w:t xml:space="preserve">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 Because</w:t>
      </w:r>
      <w:r>
        <w:t xml:space="preserve"> </w:t>
      </w:r>
      <w:r>
        <w:t xml:space="preserve">the mean acceptable set spans only 1.37 of the 14 classes, a randomly chosen label is judge-accepted just 9.8%</w:t>
      </w:r>
      <w:r>
        <w:t xml:space="preserve"> </w:t>
      </w:r>
      <w:r>
        <w:t xml:space="preserve">of the time and a constant majority-class predictor reaches 0.414 defensibility-adjusted accuracy; the lenient</w:t>
      </w:r>
      <w:r>
        <w:t xml:space="preserve"> </w:t>
      </w:r>
      <w:r>
        <w:t xml:space="preserve">scores below are read against these floors, so the metric is discriminating rather than vacuously generous.</w:t>
      </w:r>
    </w:p>
    <w:p>
      <w:pPr>
        <w:pStyle w:val="BodyText"/>
      </w:pPr>
      <w:r>
        <w:t xml:space="preserve">The judge also disagrees with the city's own label on 14.2%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9.6%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</w:t>
      </w:r>
    </w:p>
    <w:p>
      <w:pPr>
        <w:pStyle w:val="BodyText"/>
      </w:pPr>
      <w:r>
        <w:t xml:space="preserve">The separation between the LLM and the trained models lives precisely where a single answer exists. On the</w:t>
      </w:r>
      <w:r>
        <w:t xml:space="preserve"> </w:t>
      </w:r>
      <w:r>
        <w:t xml:space="preserve">requests the judge marks unambiguous (a single acceptable label, 2,329 of 3,502), the LLM's cross-city accuracy</w:t>
      </w:r>
      <w:r>
        <w:t xml:space="preserve"> </w:t>
      </w:r>
      <w:r>
        <w:t xml:space="preserve">is 0.850 against 0.776 for DistilBERT; on the multi-label requests the two converge (0.695 and 0.691), because</w:t>
      </w:r>
      <w:r>
        <w:t xml:space="preserve"> </w:t>
      </w:r>
      <w:r>
        <w:t xml:space="preserve">there is no single target to separate on. A router that auto-routes judge-unambiguous requests and escalates the</w:t>
      </w:r>
      <w:r>
        <w:t xml:space="preserve"> </w:t>
      </w:r>
      <w:r>
        <w:t xml:space="preserve">multi-label ones is a direct use of this structure.</w:t>
      </w:r>
    </w:p>
    <w:p>
      <w:pPr>
        <w:pStyle w:val="BodyText"/>
      </w:pPr>
      <w:r>
        <w:t xml:space="preserve">The two-judge consensus also functions as a corpus audit. Tracing the requests both judges reject back to</w:t>
      </w:r>
      <w:r>
        <w:t xml:space="preserve"> </w:t>
      </w:r>
      <w:r>
        <w:t xml:space="preserve">their native categories exposed five harmonization-rule errors, where a keyword fired the wrong first-match:</w:t>
      </w:r>
      <w:r>
        <w:t xml:space="preserve"> </w:t>
      </w:r>
      <w:r>
        <w:t xml:space="preserve">garbage-collection reports routed to drainage through a "leak" token, sewer backups routed to waste through a</w:t>
      </w:r>
      <w:r>
        <w:t xml:space="preserve"> </w:t>
      </w:r>
      <w:r>
        <w:t xml:space="preserve">"backup" token, and street grading routed to waste. Correcting the rules relabels 619 corpus rows (7 of the</w:t>
      </w:r>
      <w:r>
        <w:t xml:space="preserve"> </w:t>
      </w:r>
      <w:r>
        <w:t xml:space="preserve">3,502 test rows); every pooled macro-F1 moves by at most 0.001, so the results below stand on the corrected</w:t>
      </w:r>
      <w:r>
        <w:t xml:space="preserve"> </w:t>
      </w:r>
      <w:r>
        <w:t xml:space="preserve">corpus, which is the one released. The measured cross-jurisdiction gap therefore conflates three effects this</w:t>
      </w:r>
      <w:r>
        <w:t xml:space="preserve"> </w:t>
      </w:r>
      <w:r>
        <w:t xml:space="preserve">analysis makes visible without cleanly separating: genuine domain shift between cities, non-comparability of the</w:t>
      </w:r>
      <w:r>
        <w:t xml:space="preserve"> </w:t>
      </w:r>
      <w:r>
        <w:t xml:space="preserve">harmonized taxonomy at its boundaries, and text-label mismatch. The confusion structure identifies where the</w:t>
      </w:r>
      <w:r>
        <w:t xml:space="preserve"> </w:t>
      </w:r>
      <w:r>
        <w:t xml:space="preserve">boundary effects concentrate 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14.2%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2026-08-31T12:55:24Z</dcterms:created>
  <dcterms:modified xsi:type="dcterms:W3CDTF">2026-08-31T12:55:24Z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