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0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7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Model family:</w:t>
      </w:r>
      <w:r>
        <w:t xml:space="preserve"> </w:t>
      </w:r>
      <w:r>
        <w:t xml:space="preserve">a stronger encoder and simple label-semantic classifiers, above, do not close it either. The gap is not</w:t>
      </w:r>
      <w:r>
        <w:t xml:space="preserve"> </w:t>
      </w:r>
      <w:r>
        <w:t xml:space="preserve">specific to one architecture, split, or taxonomy granularity.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  <w:jc w:val="both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63"/>
    <w:bookmarkStart w:id="89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88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3"/>
      <w:r>
        <w:t xml:space="preserve">Sukel, M., Rudinac, S., &amp; Worring, M. (2019). Multimodal Classification of Urban Micro-Events. arXiv:1904.13349.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6"/>
      <w:r>
        <w:t xml:space="preserve">Yuan, X., et al. (2023). Out-of-Distribution Generalization in Text Classification: Past, Present, and Future. arXiv:2305.14104.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3"/>
      <w:r>
        <w:t xml:space="preserve">Kontokosta, C. E., &amp; Hong, B. (2017). Equity in 311 Reporting: Socio-Spatial Differentials in the Propensity to Complain. arXiv:1710.02452.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7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8"/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2026-08-30T09:08:52Z</dcterms:created>
  <dcterms:modified xsi:type="dcterms:W3CDTF">2026-08-30T09:08:52Z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